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oter3.xml" ContentType="application/vnd.openxmlformats-officedocument.wordprocessingml.footer+xml"/>
  <Override PartName="/word/charts/chart6.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5F282" w14:textId="77777777" w:rsidR="00C879FB" w:rsidRPr="000F0D8B" w:rsidRDefault="00C879FB" w:rsidP="009E3AD8">
      <w:pPr>
        <w:widowControl w:val="0"/>
        <w:autoSpaceDE w:val="0"/>
        <w:autoSpaceDN w:val="0"/>
        <w:adjustRightInd w:val="0"/>
        <w:spacing w:line="276" w:lineRule="auto"/>
        <w:jc w:val="center"/>
        <w:rPr>
          <w:rFonts w:asciiTheme="minorHAnsi" w:hAnsiTheme="minorHAnsi" w:cstheme="minorHAnsi"/>
          <w:b/>
          <w:sz w:val="26"/>
          <w:szCs w:val="26"/>
        </w:rPr>
      </w:pPr>
    </w:p>
    <w:p w14:paraId="351546A2" w14:textId="77777777" w:rsidR="00C879FB" w:rsidRPr="000F0D8B" w:rsidRDefault="00C879FB" w:rsidP="009E3AD8">
      <w:pPr>
        <w:widowControl w:val="0"/>
        <w:autoSpaceDE w:val="0"/>
        <w:autoSpaceDN w:val="0"/>
        <w:adjustRightInd w:val="0"/>
        <w:spacing w:line="276" w:lineRule="auto"/>
        <w:jc w:val="center"/>
        <w:rPr>
          <w:rFonts w:asciiTheme="minorHAnsi" w:hAnsiTheme="minorHAnsi" w:cstheme="minorHAnsi"/>
          <w:b/>
          <w:sz w:val="26"/>
          <w:szCs w:val="26"/>
        </w:rPr>
      </w:pPr>
    </w:p>
    <w:p w14:paraId="7F4F9692" w14:textId="77777777" w:rsidR="00F2303F" w:rsidRPr="000F0D8B" w:rsidRDefault="00F2303F" w:rsidP="009E3AD8">
      <w:pPr>
        <w:tabs>
          <w:tab w:val="center" w:pos="4848"/>
          <w:tab w:val="left" w:pos="8850"/>
          <w:tab w:val="right" w:pos="9697"/>
        </w:tabs>
        <w:spacing w:before="2400" w:line="276" w:lineRule="auto"/>
        <w:jc w:val="center"/>
        <w:rPr>
          <w:rFonts w:asciiTheme="minorHAnsi" w:hAnsiTheme="minorHAnsi" w:cstheme="minorHAnsi"/>
          <w:b/>
          <w:sz w:val="26"/>
          <w:szCs w:val="26"/>
        </w:rPr>
      </w:pPr>
      <w:r w:rsidRPr="000F0D8B">
        <w:rPr>
          <w:rFonts w:asciiTheme="minorHAnsi" w:hAnsiTheme="minorHAnsi" w:cstheme="minorHAnsi"/>
          <w:b/>
          <w:sz w:val="26"/>
          <w:szCs w:val="26"/>
        </w:rPr>
        <w:t>R A P O R T</w:t>
      </w:r>
    </w:p>
    <w:p w14:paraId="2B506AC8" w14:textId="77777777" w:rsidR="00F2303F" w:rsidRPr="000F0D8B" w:rsidRDefault="00F2303F" w:rsidP="009E3AD8">
      <w:pPr>
        <w:spacing w:line="276" w:lineRule="auto"/>
        <w:jc w:val="center"/>
        <w:rPr>
          <w:rFonts w:asciiTheme="minorHAnsi" w:hAnsiTheme="minorHAnsi" w:cstheme="minorHAnsi"/>
          <w:b/>
          <w:sz w:val="26"/>
          <w:szCs w:val="26"/>
        </w:rPr>
      </w:pPr>
    </w:p>
    <w:p w14:paraId="471D4B5B" w14:textId="77777777" w:rsidR="00F2303F" w:rsidRPr="000F0D8B" w:rsidRDefault="00F2303F" w:rsidP="009E3AD8">
      <w:pPr>
        <w:spacing w:line="276" w:lineRule="auto"/>
        <w:jc w:val="center"/>
        <w:rPr>
          <w:rFonts w:asciiTheme="minorHAnsi" w:hAnsiTheme="minorHAnsi" w:cstheme="minorHAnsi"/>
          <w:b/>
          <w:sz w:val="26"/>
          <w:szCs w:val="26"/>
        </w:rPr>
      </w:pPr>
      <w:r w:rsidRPr="000F0D8B">
        <w:rPr>
          <w:rFonts w:asciiTheme="minorHAnsi" w:hAnsiTheme="minorHAnsi" w:cstheme="minorHAnsi"/>
          <w:b/>
          <w:sz w:val="26"/>
          <w:szCs w:val="26"/>
        </w:rPr>
        <w:t xml:space="preserve">PRIVIND ACTIVITATEA </w:t>
      </w:r>
    </w:p>
    <w:p w14:paraId="49E0AD96" w14:textId="77777777" w:rsidR="00F2303F" w:rsidRPr="000F0D8B" w:rsidRDefault="00F2303F" w:rsidP="009E3AD8">
      <w:pPr>
        <w:spacing w:line="276" w:lineRule="auto"/>
        <w:jc w:val="center"/>
        <w:rPr>
          <w:rFonts w:asciiTheme="minorHAnsi" w:hAnsiTheme="minorHAnsi" w:cstheme="minorHAnsi"/>
          <w:b/>
          <w:sz w:val="26"/>
          <w:szCs w:val="26"/>
        </w:rPr>
      </w:pPr>
      <w:r w:rsidRPr="000F0D8B">
        <w:rPr>
          <w:rFonts w:asciiTheme="minorHAnsi" w:hAnsiTheme="minorHAnsi" w:cstheme="minorHAnsi"/>
          <w:b/>
          <w:sz w:val="26"/>
          <w:szCs w:val="26"/>
        </w:rPr>
        <w:t xml:space="preserve">CONSILIULUI SUPERIOR AL MAGISTRATURII </w:t>
      </w:r>
    </w:p>
    <w:p w14:paraId="4B7030ED" w14:textId="7AF4DEC0" w:rsidR="00F2303F" w:rsidRPr="000F0D8B" w:rsidRDefault="00F2303F" w:rsidP="009E3AD8">
      <w:pPr>
        <w:spacing w:line="276" w:lineRule="auto"/>
        <w:jc w:val="center"/>
        <w:rPr>
          <w:rFonts w:asciiTheme="minorHAnsi" w:hAnsiTheme="minorHAnsi" w:cstheme="minorHAnsi"/>
          <w:b/>
          <w:sz w:val="26"/>
          <w:szCs w:val="26"/>
        </w:rPr>
      </w:pPr>
      <w:r w:rsidRPr="000F0D8B">
        <w:rPr>
          <w:rFonts w:asciiTheme="minorHAnsi" w:hAnsiTheme="minorHAnsi" w:cstheme="minorHAnsi"/>
          <w:b/>
          <w:sz w:val="26"/>
          <w:szCs w:val="26"/>
        </w:rPr>
        <w:t>ÎN ANUL 202</w:t>
      </w:r>
      <w:r w:rsidR="00D22146" w:rsidRPr="000F0D8B">
        <w:rPr>
          <w:rFonts w:asciiTheme="minorHAnsi" w:hAnsiTheme="minorHAnsi" w:cstheme="minorHAnsi"/>
          <w:b/>
          <w:sz w:val="26"/>
          <w:szCs w:val="26"/>
        </w:rPr>
        <w:t>5</w:t>
      </w:r>
    </w:p>
    <w:p w14:paraId="2A11E158" w14:textId="77777777" w:rsidR="00F2303F" w:rsidRPr="000F0D8B" w:rsidRDefault="00F2303F" w:rsidP="009E3AD8">
      <w:pPr>
        <w:tabs>
          <w:tab w:val="left" w:pos="525"/>
          <w:tab w:val="left" w:pos="1320"/>
          <w:tab w:val="center" w:pos="5102"/>
        </w:tabs>
        <w:spacing w:line="276" w:lineRule="auto"/>
        <w:ind w:firstLine="284"/>
        <w:jc w:val="center"/>
        <w:rPr>
          <w:rFonts w:asciiTheme="minorHAnsi" w:hAnsiTheme="minorHAnsi" w:cstheme="minorHAnsi"/>
          <w:sz w:val="26"/>
          <w:szCs w:val="26"/>
        </w:rPr>
      </w:pPr>
      <w:r w:rsidRPr="000F0D8B">
        <w:rPr>
          <w:rFonts w:asciiTheme="minorHAnsi" w:hAnsiTheme="minorHAnsi" w:cstheme="minorHAnsi"/>
          <w:b/>
          <w:noProof/>
          <w:sz w:val="26"/>
          <w:szCs w:val="26"/>
          <w:lang w:val="en-GB" w:eastAsia="en-GB"/>
        </w:rPr>
        <w:drawing>
          <wp:inline distT="0" distB="0" distL="0" distR="0" wp14:anchorId="034A34A0" wp14:editId="50D19F9D">
            <wp:extent cx="3139440" cy="313944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39440" cy="3139440"/>
                    </a:xfrm>
                    <a:prstGeom prst="rect">
                      <a:avLst/>
                    </a:prstGeom>
                    <a:noFill/>
                    <a:ln>
                      <a:noFill/>
                    </a:ln>
                  </pic:spPr>
                </pic:pic>
              </a:graphicData>
            </a:graphic>
          </wp:inline>
        </w:drawing>
      </w:r>
    </w:p>
    <w:p w14:paraId="0AFEC05E" w14:textId="77777777" w:rsidR="00F2303F" w:rsidRPr="000F0D8B" w:rsidRDefault="00F2303F" w:rsidP="009E3AD8">
      <w:pPr>
        <w:spacing w:line="276" w:lineRule="auto"/>
        <w:jc w:val="both"/>
        <w:rPr>
          <w:rFonts w:asciiTheme="minorHAnsi" w:hAnsiTheme="minorHAnsi" w:cstheme="minorHAnsi"/>
          <w:sz w:val="26"/>
          <w:szCs w:val="26"/>
        </w:rPr>
      </w:pPr>
    </w:p>
    <w:p w14:paraId="6A268FFE" w14:textId="77777777" w:rsidR="00F2303F" w:rsidRPr="000F0D8B" w:rsidRDefault="00F2303F" w:rsidP="009E3AD8">
      <w:pPr>
        <w:spacing w:line="276" w:lineRule="auto"/>
        <w:jc w:val="both"/>
        <w:rPr>
          <w:rFonts w:asciiTheme="minorHAnsi" w:hAnsiTheme="minorHAnsi" w:cstheme="minorHAnsi"/>
          <w:sz w:val="26"/>
          <w:szCs w:val="26"/>
        </w:rPr>
      </w:pPr>
    </w:p>
    <w:p w14:paraId="646EE5CD" w14:textId="77777777" w:rsidR="00F2303F" w:rsidRPr="000F0D8B" w:rsidRDefault="00F2303F" w:rsidP="009E3AD8">
      <w:pPr>
        <w:tabs>
          <w:tab w:val="left" w:pos="1215"/>
        </w:tabs>
        <w:spacing w:line="276" w:lineRule="auto"/>
        <w:jc w:val="both"/>
        <w:rPr>
          <w:rFonts w:asciiTheme="minorHAnsi" w:hAnsiTheme="minorHAnsi" w:cstheme="minorHAnsi"/>
          <w:sz w:val="26"/>
          <w:szCs w:val="26"/>
        </w:rPr>
      </w:pPr>
      <w:r w:rsidRPr="000F0D8B">
        <w:rPr>
          <w:rFonts w:asciiTheme="minorHAnsi" w:hAnsiTheme="minorHAnsi" w:cstheme="minorHAnsi"/>
          <w:sz w:val="26"/>
          <w:szCs w:val="26"/>
        </w:rPr>
        <w:tab/>
      </w:r>
    </w:p>
    <w:p w14:paraId="0D72E435" w14:textId="77777777" w:rsidR="00F2303F" w:rsidRPr="000F0D8B" w:rsidRDefault="00F2303F" w:rsidP="009E3AD8">
      <w:pPr>
        <w:tabs>
          <w:tab w:val="left" w:pos="1215"/>
        </w:tabs>
        <w:spacing w:line="276" w:lineRule="auto"/>
        <w:jc w:val="both"/>
        <w:rPr>
          <w:rFonts w:asciiTheme="minorHAnsi" w:hAnsiTheme="minorHAnsi" w:cstheme="minorHAnsi"/>
          <w:sz w:val="26"/>
          <w:szCs w:val="26"/>
        </w:rPr>
      </w:pPr>
      <w:r w:rsidRPr="000F0D8B">
        <w:rPr>
          <w:rFonts w:asciiTheme="minorHAnsi" w:hAnsiTheme="minorHAnsi" w:cstheme="minorHAnsi"/>
          <w:sz w:val="26"/>
          <w:szCs w:val="26"/>
        </w:rPr>
        <w:tab/>
      </w:r>
    </w:p>
    <w:p w14:paraId="0BA98CF7" w14:textId="77777777" w:rsidR="00F2303F" w:rsidRPr="000F0D8B" w:rsidRDefault="00F2303F" w:rsidP="009E3AD8">
      <w:pPr>
        <w:tabs>
          <w:tab w:val="left" w:pos="1215"/>
        </w:tabs>
        <w:spacing w:line="276" w:lineRule="auto"/>
        <w:jc w:val="both"/>
        <w:rPr>
          <w:rFonts w:asciiTheme="minorHAnsi" w:hAnsiTheme="minorHAnsi" w:cstheme="minorHAnsi"/>
          <w:sz w:val="26"/>
          <w:szCs w:val="26"/>
        </w:rPr>
      </w:pPr>
    </w:p>
    <w:p w14:paraId="376C4601" w14:textId="77777777" w:rsidR="00F2303F" w:rsidRPr="000F0D8B" w:rsidRDefault="00F2303F" w:rsidP="009E3AD8">
      <w:pPr>
        <w:tabs>
          <w:tab w:val="left" w:pos="1215"/>
        </w:tabs>
        <w:spacing w:line="276" w:lineRule="auto"/>
        <w:jc w:val="both"/>
        <w:rPr>
          <w:rFonts w:asciiTheme="minorHAnsi" w:hAnsiTheme="minorHAnsi" w:cstheme="minorHAnsi"/>
          <w:sz w:val="26"/>
          <w:szCs w:val="26"/>
        </w:rPr>
      </w:pPr>
    </w:p>
    <w:p w14:paraId="4FC658FF" w14:textId="77777777" w:rsidR="00F2303F" w:rsidRPr="000F0D8B" w:rsidRDefault="00F2303F" w:rsidP="009E3AD8">
      <w:pPr>
        <w:tabs>
          <w:tab w:val="left" w:pos="1215"/>
        </w:tabs>
        <w:spacing w:line="276" w:lineRule="auto"/>
        <w:jc w:val="both"/>
        <w:rPr>
          <w:rFonts w:asciiTheme="minorHAnsi" w:hAnsiTheme="minorHAnsi" w:cstheme="minorHAnsi"/>
          <w:sz w:val="26"/>
          <w:szCs w:val="26"/>
        </w:rPr>
      </w:pPr>
    </w:p>
    <w:p w14:paraId="0751172A" w14:textId="77777777" w:rsidR="00F2303F" w:rsidRPr="000F0D8B" w:rsidRDefault="00F2303F" w:rsidP="009E3AD8">
      <w:pPr>
        <w:spacing w:line="276" w:lineRule="auto"/>
        <w:jc w:val="both"/>
        <w:rPr>
          <w:rFonts w:asciiTheme="minorHAnsi" w:hAnsiTheme="minorHAnsi" w:cstheme="minorHAnsi"/>
          <w:sz w:val="26"/>
          <w:szCs w:val="26"/>
        </w:rPr>
      </w:pPr>
    </w:p>
    <w:p w14:paraId="4CF268A5" w14:textId="77777777" w:rsidR="00F2303F" w:rsidRPr="000F0D8B" w:rsidRDefault="00F2303F" w:rsidP="009E3AD8">
      <w:pPr>
        <w:tabs>
          <w:tab w:val="center" w:pos="4536"/>
          <w:tab w:val="right" w:pos="9072"/>
        </w:tabs>
        <w:spacing w:line="276" w:lineRule="auto"/>
        <w:jc w:val="center"/>
        <w:rPr>
          <w:rFonts w:asciiTheme="minorHAnsi" w:hAnsiTheme="minorHAnsi" w:cstheme="minorHAnsi"/>
          <w:sz w:val="26"/>
          <w:szCs w:val="26"/>
        </w:rPr>
      </w:pPr>
      <w:r w:rsidRPr="000F0D8B">
        <w:rPr>
          <w:rFonts w:asciiTheme="minorHAnsi" w:hAnsiTheme="minorHAnsi" w:cstheme="minorHAnsi"/>
          <w:sz w:val="26"/>
          <w:szCs w:val="26"/>
        </w:rPr>
        <w:t>Adresa: Bucureşti, Calea Plevnei, Nr. 141 B, Sector 6</w:t>
      </w:r>
    </w:p>
    <w:p w14:paraId="0AA5593D" w14:textId="77777777" w:rsidR="00F2303F" w:rsidRPr="000F0D8B" w:rsidRDefault="00F2303F" w:rsidP="009E3AD8">
      <w:pPr>
        <w:tabs>
          <w:tab w:val="center" w:pos="4536"/>
          <w:tab w:val="right" w:pos="9072"/>
        </w:tabs>
        <w:spacing w:line="276" w:lineRule="auto"/>
        <w:jc w:val="center"/>
        <w:rPr>
          <w:rFonts w:asciiTheme="minorHAnsi" w:hAnsiTheme="minorHAnsi" w:cstheme="minorHAnsi"/>
          <w:sz w:val="26"/>
          <w:szCs w:val="26"/>
        </w:rPr>
      </w:pPr>
      <w:r w:rsidRPr="000F0D8B">
        <w:rPr>
          <w:rFonts w:asciiTheme="minorHAnsi" w:hAnsiTheme="minorHAnsi" w:cstheme="minorHAnsi"/>
          <w:sz w:val="26"/>
          <w:szCs w:val="26"/>
        </w:rPr>
        <w:t>Tel 311 69 33; Fax 311 69 42</w:t>
      </w:r>
    </w:p>
    <w:p w14:paraId="565D2106" w14:textId="3BAE95C2" w:rsidR="00C879FB" w:rsidRPr="000F0D8B" w:rsidRDefault="00F2303F" w:rsidP="009E3AD8">
      <w:pPr>
        <w:tabs>
          <w:tab w:val="center" w:pos="4536"/>
          <w:tab w:val="right" w:pos="9072"/>
        </w:tabs>
        <w:spacing w:line="276" w:lineRule="auto"/>
        <w:jc w:val="center"/>
        <w:rPr>
          <w:rFonts w:asciiTheme="minorHAnsi" w:hAnsiTheme="minorHAnsi" w:cstheme="minorHAnsi"/>
          <w:sz w:val="26"/>
          <w:szCs w:val="26"/>
          <w:u w:val="single"/>
        </w:rPr>
      </w:pPr>
      <w:r w:rsidRPr="000F0D8B">
        <w:rPr>
          <w:rFonts w:asciiTheme="minorHAnsi" w:hAnsiTheme="minorHAnsi" w:cstheme="minorHAnsi"/>
          <w:sz w:val="26"/>
          <w:szCs w:val="26"/>
        </w:rPr>
        <w:t xml:space="preserve">Web: </w:t>
      </w:r>
      <w:hyperlink r:id="rId9" w:history="1">
        <w:r w:rsidR="00EC6B7B" w:rsidRPr="000F0D8B">
          <w:rPr>
            <w:rStyle w:val="Hyperlink"/>
            <w:rFonts w:asciiTheme="minorHAnsi" w:hAnsiTheme="minorHAnsi" w:cstheme="minorHAnsi"/>
            <w:sz w:val="26"/>
            <w:szCs w:val="26"/>
          </w:rPr>
          <w:t>www.csm1909.ro</w:t>
        </w:r>
      </w:hyperlink>
    </w:p>
    <w:p w14:paraId="25DE2DD8" w14:textId="77777777" w:rsidR="000B3441" w:rsidRPr="000F0D8B" w:rsidRDefault="000B3441" w:rsidP="009E3AD8">
      <w:pPr>
        <w:tabs>
          <w:tab w:val="center" w:pos="4536"/>
          <w:tab w:val="right" w:pos="9072"/>
        </w:tabs>
        <w:spacing w:line="276" w:lineRule="auto"/>
        <w:jc w:val="center"/>
        <w:rPr>
          <w:rFonts w:asciiTheme="minorHAnsi" w:hAnsiTheme="minorHAnsi" w:cstheme="minorHAnsi"/>
          <w:sz w:val="26"/>
          <w:szCs w:val="26"/>
          <w:u w:val="single"/>
        </w:rPr>
      </w:pPr>
    </w:p>
    <w:p w14:paraId="225CFC4F" w14:textId="051EA3B2" w:rsidR="00833C83" w:rsidRDefault="00833C83">
      <w:pPr>
        <w:spacing w:after="160" w:line="259" w:lineRule="auto"/>
        <w:rPr>
          <w:rFonts w:asciiTheme="minorHAnsi" w:hAnsiTheme="minorHAnsi" w:cstheme="minorHAnsi"/>
          <w:b/>
          <w:sz w:val="26"/>
          <w:szCs w:val="26"/>
        </w:rPr>
      </w:pPr>
      <w:r>
        <w:rPr>
          <w:rFonts w:asciiTheme="minorHAnsi" w:hAnsiTheme="minorHAnsi" w:cstheme="minorHAnsi"/>
          <w:b/>
          <w:sz w:val="26"/>
          <w:szCs w:val="26"/>
        </w:rPr>
        <w:br w:type="page"/>
      </w:r>
    </w:p>
    <w:p w14:paraId="530B54E1" w14:textId="05B9DCDE" w:rsidR="00833C83" w:rsidRDefault="00833C83">
      <w:pPr>
        <w:spacing w:after="160" w:line="259" w:lineRule="auto"/>
        <w:rPr>
          <w:rFonts w:asciiTheme="minorHAnsi" w:hAnsiTheme="minorHAnsi" w:cstheme="minorHAnsi"/>
          <w:b/>
          <w:sz w:val="26"/>
          <w:szCs w:val="26"/>
        </w:rPr>
      </w:pPr>
      <w:r>
        <w:rPr>
          <w:rFonts w:asciiTheme="minorHAnsi" w:hAnsiTheme="minorHAnsi" w:cstheme="minorHAnsi"/>
          <w:b/>
          <w:sz w:val="26"/>
          <w:szCs w:val="26"/>
        </w:rPr>
        <w:lastRenderedPageBreak/>
        <w:br w:type="page"/>
      </w:r>
    </w:p>
    <w:p w14:paraId="465AE28D" w14:textId="77777777" w:rsidR="00712FF3" w:rsidRPr="000F0D8B" w:rsidRDefault="00712FF3" w:rsidP="009E3AD8">
      <w:pPr>
        <w:widowControl w:val="0"/>
        <w:autoSpaceDE w:val="0"/>
        <w:autoSpaceDN w:val="0"/>
        <w:adjustRightInd w:val="0"/>
        <w:spacing w:line="276" w:lineRule="auto"/>
        <w:ind w:firstLine="851"/>
        <w:jc w:val="center"/>
        <w:rPr>
          <w:rFonts w:asciiTheme="minorHAnsi" w:hAnsiTheme="minorHAnsi" w:cstheme="minorHAnsi"/>
          <w:b/>
          <w:sz w:val="26"/>
          <w:szCs w:val="26"/>
        </w:rPr>
        <w:sectPr w:rsidR="00712FF3" w:rsidRPr="000F0D8B" w:rsidSect="00EC1936">
          <w:footerReference w:type="default" r:id="rId10"/>
          <w:pgSz w:w="11906" w:h="16838" w:code="9"/>
          <w:pgMar w:top="567" w:right="851" w:bottom="567" w:left="851" w:header="567" w:footer="284" w:gutter="0"/>
          <w:cols w:space="708"/>
          <w:docGrid w:linePitch="381"/>
        </w:sectPr>
      </w:pPr>
    </w:p>
    <w:p w14:paraId="046FE232" w14:textId="77777777" w:rsidR="00712FF3" w:rsidRPr="000F0D8B" w:rsidRDefault="00712FF3" w:rsidP="009E3AD8">
      <w:pPr>
        <w:widowControl w:val="0"/>
        <w:autoSpaceDE w:val="0"/>
        <w:autoSpaceDN w:val="0"/>
        <w:adjustRightInd w:val="0"/>
        <w:spacing w:line="276" w:lineRule="auto"/>
        <w:ind w:firstLine="851"/>
        <w:jc w:val="center"/>
        <w:rPr>
          <w:rFonts w:asciiTheme="minorHAnsi" w:hAnsiTheme="minorHAnsi" w:cstheme="minorHAnsi"/>
          <w:b/>
          <w:sz w:val="26"/>
          <w:szCs w:val="26"/>
        </w:rPr>
      </w:pPr>
    </w:p>
    <w:p w14:paraId="15897A06" w14:textId="77777777" w:rsidR="008C03E4" w:rsidRPr="000F0D8B" w:rsidRDefault="008C03E4" w:rsidP="009E3AD8">
      <w:pPr>
        <w:widowControl w:val="0"/>
        <w:autoSpaceDE w:val="0"/>
        <w:autoSpaceDN w:val="0"/>
        <w:adjustRightInd w:val="0"/>
        <w:spacing w:line="276" w:lineRule="auto"/>
        <w:ind w:firstLine="851"/>
        <w:jc w:val="center"/>
        <w:rPr>
          <w:rFonts w:asciiTheme="minorHAnsi" w:hAnsiTheme="minorHAnsi" w:cstheme="minorHAnsi"/>
          <w:b/>
          <w:sz w:val="26"/>
          <w:szCs w:val="26"/>
        </w:rPr>
      </w:pPr>
    </w:p>
    <w:p w14:paraId="4C343B37" w14:textId="07C1782B" w:rsidR="003175C4" w:rsidRPr="000F0D8B" w:rsidRDefault="003175C4" w:rsidP="009E3AD8">
      <w:pPr>
        <w:widowControl w:val="0"/>
        <w:autoSpaceDE w:val="0"/>
        <w:autoSpaceDN w:val="0"/>
        <w:adjustRightInd w:val="0"/>
        <w:spacing w:line="276" w:lineRule="auto"/>
        <w:jc w:val="center"/>
        <w:rPr>
          <w:rFonts w:asciiTheme="minorHAnsi" w:hAnsiTheme="minorHAnsi" w:cstheme="minorHAnsi"/>
          <w:b/>
          <w:sz w:val="26"/>
          <w:szCs w:val="26"/>
        </w:rPr>
      </w:pPr>
      <w:r w:rsidRPr="000F0D8B">
        <w:rPr>
          <w:rFonts w:asciiTheme="minorHAnsi" w:hAnsiTheme="minorHAnsi" w:cstheme="minorHAnsi"/>
          <w:b/>
          <w:sz w:val="26"/>
          <w:szCs w:val="26"/>
        </w:rPr>
        <w:t>CUPRINS</w:t>
      </w:r>
    </w:p>
    <w:sdt>
      <w:sdtPr>
        <w:rPr>
          <w:rFonts w:ascii="Arial" w:eastAsia="Times New Roman" w:hAnsi="Arial" w:cstheme="minorHAnsi"/>
          <w:b w:val="0"/>
          <w:color w:val="auto"/>
          <w:sz w:val="26"/>
          <w:szCs w:val="26"/>
          <w:lang w:val="ro-RO"/>
        </w:rPr>
        <w:id w:val="117108643"/>
        <w:docPartObj>
          <w:docPartGallery w:val="Table of Contents"/>
          <w:docPartUnique/>
        </w:docPartObj>
      </w:sdtPr>
      <w:sdtEndPr>
        <w:rPr>
          <w:bCs/>
        </w:rPr>
      </w:sdtEndPr>
      <w:sdtContent>
        <w:p w14:paraId="24506C4B" w14:textId="3BAF5B4D" w:rsidR="005625CB" w:rsidRPr="000F0D8B" w:rsidRDefault="005625CB" w:rsidP="009E3AD8">
          <w:pPr>
            <w:pStyle w:val="TOCHeading"/>
            <w:spacing w:line="276" w:lineRule="auto"/>
            <w:rPr>
              <w:rFonts w:cstheme="minorHAnsi"/>
              <w:color w:val="auto"/>
              <w:sz w:val="26"/>
              <w:szCs w:val="26"/>
              <w:lang w:val="ro-RO"/>
            </w:rPr>
          </w:pPr>
        </w:p>
        <w:p w14:paraId="1ABCAAE9" w14:textId="64D6E0D3" w:rsidR="000C6CDA" w:rsidRDefault="005625CB">
          <w:pPr>
            <w:pStyle w:val="TOC1"/>
            <w:rPr>
              <w:rFonts w:asciiTheme="minorHAnsi" w:eastAsiaTheme="minorEastAsia" w:hAnsiTheme="minorHAnsi" w:cstheme="minorBidi"/>
              <w:b w:val="0"/>
              <w:noProof/>
              <w:kern w:val="2"/>
              <w:sz w:val="24"/>
              <w:szCs w:val="24"/>
              <w:lang w:eastAsia="ro-RO"/>
              <w14:ligatures w14:val="standardContextual"/>
            </w:rPr>
          </w:pPr>
          <w:r w:rsidRPr="000F0D8B">
            <w:rPr>
              <w:rFonts w:asciiTheme="minorHAnsi" w:hAnsiTheme="minorHAnsi" w:cstheme="minorHAnsi"/>
              <w:szCs w:val="26"/>
            </w:rPr>
            <w:fldChar w:fldCharType="begin"/>
          </w:r>
          <w:r w:rsidRPr="000F0D8B">
            <w:rPr>
              <w:rFonts w:asciiTheme="minorHAnsi" w:hAnsiTheme="minorHAnsi" w:cstheme="minorHAnsi"/>
              <w:szCs w:val="26"/>
            </w:rPr>
            <w:instrText xml:space="preserve"> TOC \o "1-3" \h \z \u </w:instrText>
          </w:r>
          <w:r w:rsidRPr="000F0D8B">
            <w:rPr>
              <w:rFonts w:asciiTheme="minorHAnsi" w:hAnsiTheme="minorHAnsi" w:cstheme="minorHAnsi"/>
              <w:szCs w:val="26"/>
            </w:rPr>
            <w:fldChar w:fldCharType="separate"/>
          </w:r>
          <w:hyperlink w:anchor="_Toc219287933" w:history="1">
            <w:r w:rsidR="000C6CDA" w:rsidRPr="004E5CAD">
              <w:rPr>
                <w:rStyle w:val="Hyperlink"/>
                <w:rFonts w:cstheme="minorHAnsi"/>
                <w:noProof/>
              </w:rPr>
              <w:t>Cuvânt înainte al preşedintelui Consiliului Superior al Magistraturii</w:t>
            </w:r>
            <w:r w:rsidR="000C6CDA">
              <w:rPr>
                <w:noProof/>
                <w:webHidden/>
              </w:rPr>
              <w:tab/>
            </w:r>
            <w:r w:rsidR="000C6CDA">
              <w:rPr>
                <w:noProof/>
                <w:webHidden/>
              </w:rPr>
              <w:fldChar w:fldCharType="begin"/>
            </w:r>
            <w:r w:rsidR="000C6CDA">
              <w:rPr>
                <w:noProof/>
                <w:webHidden/>
              </w:rPr>
              <w:instrText xml:space="preserve"> PAGEREF _Toc219287933 \h </w:instrText>
            </w:r>
            <w:r w:rsidR="000C6CDA">
              <w:rPr>
                <w:noProof/>
                <w:webHidden/>
              </w:rPr>
            </w:r>
            <w:r w:rsidR="000C6CDA">
              <w:rPr>
                <w:noProof/>
                <w:webHidden/>
              </w:rPr>
              <w:fldChar w:fldCharType="separate"/>
            </w:r>
            <w:r w:rsidR="000C6CDA">
              <w:rPr>
                <w:noProof/>
                <w:webHidden/>
              </w:rPr>
              <w:t>7</w:t>
            </w:r>
            <w:r w:rsidR="000C6CDA">
              <w:rPr>
                <w:noProof/>
                <w:webHidden/>
              </w:rPr>
              <w:fldChar w:fldCharType="end"/>
            </w:r>
          </w:hyperlink>
        </w:p>
        <w:p w14:paraId="52F57D0B" w14:textId="08EA34E0" w:rsidR="000C6CDA" w:rsidRDefault="000C6CDA">
          <w:pPr>
            <w:pStyle w:val="TOC1"/>
            <w:rPr>
              <w:rFonts w:asciiTheme="minorHAnsi" w:eastAsiaTheme="minorEastAsia" w:hAnsiTheme="minorHAnsi" w:cstheme="minorBidi"/>
              <w:b w:val="0"/>
              <w:noProof/>
              <w:kern w:val="2"/>
              <w:sz w:val="24"/>
              <w:szCs w:val="24"/>
              <w:lang w:eastAsia="ro-RO"/>
              <w14:ligatures w14:val="standardContextual"/>
            </w:rPr>
          </w:pPr>
          <w:hyperlink w:anchor="_Toc219287934" w:history="1">
            <w:r w:rsidRPr="004E5CAD">
              <w:rPr>
                <w:rStyle w:val="Hyperlink"/>
                <w:rFonts w:cstheme="minorHAnsi"/>
                <w:noProof/>
              </w:rPr>
              <w:t>CAPITOLUL I</w:t>
            </w:r>
            <w:r>
              <w:rPr>
                <w:noProof/>
                <w:webHidden/>
              </w:rPr>
              <w:tab/>
            </w:r>
            <w:r>
              <w:rPr>
                <w:noProof/>
                <w:webHidden/>
              </w:rPr>
              <w:fldChar w:fldCharType="begin"/>
            </w:r>
            <w:r>
              <w:rPr>
                <w:noProof/>
                <w:webHidden/>
              </w:rPr>
              <w:instrText xml:space="preserve"> PAGEREF _Toc219287934 \h </w:instrText>
            </w:r>
            <w:r>
              <w:rPr>
                <w:noProof/>
                <w:webHidden/>
              </w:rPr>
            </w:r>
            <w:r>
              <w:rPr>
                <w:noProof/>
                <w:webHidden/>
              </w:rPr>
              <w:fldChar w:fldCharType="separate"/>
            </w:r>
            <w:r>
              <w:rPr>
                <w:noProof/>
                <w:webHidden/>
              </w:rPr>
              <w:t>10</w:t>
            </w:r>
            <w:r>
              <w:rPr>
                <w:noProof/>
                <w:webHidden/>
              </w:rPr>
              <w:fldChar w:fldCharType="end"/>
            </w:r>
          </w:hyperlink>
        </w:p>
        <w:p w14:paraId="2ECAE504" w14:textId="0B611BA2" w:rsidR="000C6CDA" w:rsidRDefault="000C6CDA">
          <w:pPr>
            <w:pStyle w:val="TOC1"/>
            <w:rPr>
              <w:rFonts w:asciiTheme="minorHAnsi" w:eastAsiaTheme="minorEastAsia" w:hAnsiTheme="minorHAnsi" w:cstheme="minorBidi"/>
              <w:b w:val="0"/>
              <w:noProof/>
              <w:kern w:val="2"/>
              <w:sz w:val="24"/>
              <w:szCs w:val="24"/>
              <w:lang w:eastAsia="ro-RO"/>
              <w14:ligatures w14:val="standardContextual"/>
            </w:rPr>
          </w:pPr>
          <w:hyperlink w:anchor="_Toc219287935" w:history="1">
            <w:r w:rsidRPr="004E5CAD">
              <w:rPr>
                <w:rStyle w:val="Hyperlink"/>
                <w:rFonts w:cstheme="minorHAnsi"/>
                <w:noProof/>
              </w:rPr>
              <w:t>Îndeplinirea rolului constituţional de garant al independenţei justiţiei</w:t>
            </w:r>
            <w:r>
              <w:rPr>
                <w:noProof/>
                <w:webHidden/>
              </w:rPr>
              <w:tab/>
            </w:r>
            <w:r>
              <w:rPr>
                <w:noProof/>
                <w:webHidden/>
              </w:rPr>
              <w:fldChar w:fldCharType="begin"/>
            </w:r>
            <w:r>
              <w:rPr>
                <w:noProof/>
                <w:webHidden/>
              </w:rPr>
              <w:instrText xml:space="preserve"> PAGEREF _Toc219287935 \h </w:instrText>
            </w:r>
            <w:r>
              <w:rPr>
                <w:noProof/>
                <w:webHidden/>
              </w:rPr>
            </w:r>
            <w:r>
              <w:rPr>
                <w:noProof/>
                <w:webHidden/>
              </w:rPr>
              <w:fldChar w:fldCharType="separate"/>
            </w:r>
            <w:r>
              <w:rPr>
                <w:noProof/>
                <w:webHidden/>
              </w:rPr>
              <w:t>10</w:t>
            </w:r>
            <w:r>
              <w:rPr>
                <w:noProof/>
                <w:webHidden/>
              </w:rPr>
              <w:fldChar w:fldCharType="end"/>
            </w:r>
          </w:hyperlink>
        </w:p>
        <w:p w14:paraId="38C09203" w14:textId="3936342C" w:rsidR="000C6CDA" w:rsidRDefault="000C6CDA">
          <w:pPr>
            <w:pStyle w:val="TOC2"/>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36" w:history="1">
            <w:r w:rsidRPr="004E5CAD">
              <w:rPr>
                <w:rStyle w:val="Hyperlink"/>
                <w:rFonts w:cstheme="minorHAnsi"/>
                <w:noProof/>
              </w:rPr>
              <w:t>I.1. Procedurile derulate privind ocuparea celor mai înalte funcţii din cadrul Înaltei Curţi de Casaţie şi Justiţie</w:t>
            </w:r>
            <w:r>
              <w:rPr>
                <w:noProof/>
                <w:webHidden/>
              </w:rPr>
              <w:tab/>
            </w:r>
            <w:r>
              <w:rPr>
                <w:noProof/>
                <w:webHidden/>
              </w:rPr>
              <w:fldChar w:fldCharType="begin"/>
            </w:r>
            <w:r>
              <w:rPr>
                <w:noProof/>
                <w:webHidden/>
              </w:rPr>
              <w:instrText xml:space="preserve"> PAGEREF _Toc219287936 \h </w:instrText>
            </w:r>
            <w:r>
              <w:rPr>
                <w:noProof/>
                <w:webHidden/>
              </w:rPr>
            </w:r>
            <w:r>
              <w:rPr>
                <w:noProof/>
                <w:webHidden/>
              </w:rPr>
              <w:fldChar w:fldCharType="separate"/>
            </w:r>
            <w:r>
              <w:rPr>
                <w:noProof/>
                <w:webHidden/>
              </w:rPr>
              <w:t>10</w:t>
            </w:r>
            <w:r>
              <w:rPr>
                <w:noProof/>
                <w:webHidden/>
              </w:rPr>
              <w:fldChar w:fldCharType="end"/>
            </w:r>
          </w:hyperlink>
        </w:p>
        <w:p w14:paraId="4EAE4279" w14:textId="0EBEDF4B" w:rsidR="000C6CDA" w:rsidRDefault="000C6CDA">
          <w:pPr>
            <w:pStyle w:val="TOC2"/>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37" w:history="1">
            <w:r w:rsidRPr="004E5CAD">
              <w:rPr>
                <w:rStyle w:val="Hyperlink"/>
                <w:rFonts w:cstheme="minorHAnsi"/>
                <w:noProof/>
              </w:rPr>
              <w:t>I.2. Procedurile derulate privind ocuparea celor mai înalte funcţii din cadrul Parchetului de pe lângă Înalta Curte de Casaţie şi Justiţie</w:t>
            </w:r>
            <w:r>
              <w:rPr>
                <w:noProof/>
                <w:webHidden/>
              </w:rPr>
              <w:tab/>
            </w:r>
            <w:r>
              <w:rPr>
                <w:noProof/>
                <w:webHidden/>
              </w:rPr>
              <w:fldChar w:fldCharType="begin"/>
            </w:r>
            <w:r>
              <w:rPr>
                <w:noProof/>
                <w:webHidden/>
              </w:rPr>
              <w:instrText xml:space="preserve"> PAGEREF _Toc219287937 \h </w:instrText>
            </w:r>
            <w:r>
              <w:rPr>
                <w:noProof/>
                <w:webHidden/>
              </w:rPr>
            </w:r>
            <w:r>
              <w:rPr>
                <w:noProof/>
                <w:webHidden/>
              </w:rPr>
              <w:fldChar w:fldCharType="separate"/>
            </w:r>
            <w:r>
              <w:rPr>
                <w:noProof/>
                <w:webHidden/>
              </w:rPr>
              <w:t>11</w:t>
            </w:r>
            <w:r>
              <w:rPr>
                <w:noProof/>
                <w:webHidden/>
              </w:rPr>
              <w:fldChar w:fldCharType="end"/>
            </w:r>
          </w:hyperlink>
        </w:p>
        <w:p w14:paraId="0E38FD71" w14:textId="6364AA90" w:rsidR="000C6CDA" w:rsidRDefault="000C6CDA">
          <w:pPr>
            <w:pStyle w:val="TOC2"/>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38" w:history="1">
            <w:r w:rsidRPr="004E5CAD">
              <w:rPr>
                <w:rStyle w:val="Hyperlink"/>
                <w:rFonts w:cstheme="minorHAnsi"/>
                <w:noProof/>
              </w:rPr>
              <w:t>I.3. Demersuri pentru consolidarea capacităţii instituţionale a Consiliului Superior al Magistraturii</w:t>
            </w:r>
            <w:r>
              <w:rPr>
                <w:noProof/>
                <w:webHidden/>
              </w:rPr>
              <w:tab/>
            </w:r>
            <w:r>
              <w:rPr>
                <w:noProof/>
                <w:webHidden/>
              </w:rPr>
              <w:fldChar w:fldCharType="begin"/>
            </w:r>
            <w:r>
              <w:rPr>
                <w:noProof/>
                <w:webHidden/>
              </w:rPr>
              <w:instrText xml:space="preserve"> PAGEREF _Toc219287938 \h </w:instrText>
            </w:r>
            <w:r>
              <w:rPr>
                <w:noProof/>
                <w:webHidden/>
              </w:rPr>
            </w:r>
            <w:r>
              <w:rPr>
                <w:noProof/>
                <w:webHidden/>
              </w:rPr>
              <w:fldChar w:fldCharType="separate"/>
            </w:r>
            <w:r>
              <w:rPr>
                <w:noProof/>
                <w:webHidden/>
              </w:rPr>
              <w:t>11</w:t>
            </w:r>
            <w:r>
              <w:rPr>
                <w:noProof/>
                <w:webHidden/>
              </w:rPr>
              <w:fldChar w:fldCharType="end"/>
            </w:r>
          </w:hyperlink>
        </w:p>
        <w:p w14:paraId="3B5F9797" w14:textId="465CC3DB" w:rsidR="000C6CDA" w:rsidRDefault="000C6CDA">
          <w:pPr>
            <w:pStyle w:val="TOC3"/>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39" w:history="1">
            <w:r w:rsidRPr="004E5CAD">
              <w:rPr>
                <w:rStyle w:val="Hyperlink"/>
                <w:rFonts w:eastAsia="Calibri"/>
                <w:noProof/>
              </w:rPr>
              <w:t>I.3.1. Structura Consiliului Superior al Magistraturii</w:t>
            </w:r>
            <w:r>
              <w:rPr>
                <w:noProof/>
                <w:webHidden/>
              </w:rPr>
              <w:tab/>
            </w:r>
            <w:r>
              <w:rPr>
                <w:noProof/>
                <w:webHidden/>
              </w:rPr>
              <w:fldChar w:fldCharType="begin"/>
            </w:r>
            <w:r>
              <w:rPr>
                <w:noProof/>
                <w:webHidden/>
              </w:rPr>
              <w:instrText xml:space="preserve"> PAGEREF _Toc219287939 \h </w:instrText>
            </w:r>
            <w:r>
              <w:rPr>
                <w:noProof/>
                <w:webHidden/>
              </w:rPr>
            </w:r>
            <w:r>
              <w:rPr>
                <w:noProof/>
                <w:webHidden/>
              </w:rPr>
              <w:fldChar w:fldCharType="separate"/>
            </w:r>
            <w:r>
              <w:rPr>
                <w:noProof/>
                <w:webHidden/>
              </w:rPr>
              <w:t>11</w:t>
            </w:r>
            <w:r>
              <w:rPr>
                <w:noProof/>
                <w:webHidden/>
              </w:rPr>
              <w:fldChar w:fldCharType="end"/>
            </w:r>
          </w:hyperlink>
        </w:p>
        <w:p w14:paraId="5D4756E4" w14:textId="784EE6D4" w:rsidR="000C6CDA" w:rsidRDefault="000C6CDA">
          <w:pPr>
            <w:pStyle w:val="TOC3"/>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40" w:history="1">
            <w:r w:rsidRPr="004E5CAD">
              <w:rPr>
                <w:rStyle w:val="Hyperlink"/>
                <w:noProof/>
              </w:rPr>
              <w:t>I.3.2. Proceduri pentru ocuparea funcţiilor de execuţie şi de conducere din aparatul propriu al Consiliului Superior al Magistraturii</w:t>
            </w:r>
            <w:r>
              <w:rPr>
                <w:noProof/>
                <w:webHidden/>
              </w:rPr>
              <w:tab/>
            </w:r>
            <w:r>
              <w:rPr>
                <w:noProof/>
                <w:webHidden/>
              </w:rPr>
              <w:fldChar w:fldCharType="begin"/>
            </w:r>
            <w:r>
              <w:rPr>
                <w:noProof/>
                <w:webHidden/>
              </w:rPr>
              <w:instrText xml:space="preserve"> PAGEREF _Toc219287940 \h </w:instrText>
            </w:r>
            <w:r>
              <w:rPr>
                <w:noProof/>
                <w:webHidden/>
              </w:rPr>
            </w:r>
            <w:r>
              <w:rPr>
                <w:noProof/>
                <w:webHidden/>
              </w:rPr>
              <w:fldChar w:fldCharType="separate"/>
            </w:r>
            <w:r>
              <w:rPr>
                <w:noProof/>
                <w:webHidden/>
              </w:rPr>
              <w:t>11</w:t>
            </w:r>
            <w:r>
              <w:rPr>
                <w:noProof/>
                <w:webHidden/>
              </w:rPr>
              <w:fldChar w:fldCharType="end"/>
            </w:r>
          </w:hyperlink>
        </w:p>
        <w:p w14:paraId="14DD5D45" w14:textId="6F855B05" w:rsidR="000C6CDA" w:rsidRDefault="000C6CDA">
          <w:pPr>
            <w:pStyle w:val="TOC3"/>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41" w:history="1">
            <w:r w:rsidRPr="004E5CAD">
              <w:rPr>
                <w:rStyle w:val="Hyperlink"/>
                <w:noProof/>
              </w:rPr>
              <w:t>I.3.2.1. Posturi de execuţie</w:t>
            </w:r>
            <w:r>
              <w:rPr>
                <w:noProof/>
                <w:webHidden/>
              </w:rPr>
              <w:tab/>
            </w:r>
            <w:r>
              <w:rPr>
                <w:noProof/>
                <w:webHidden/>
              </w:rPr>
              <w:fldChar w:fldCharType="begin"/>
            </w:r>
            <w:r>
              <w:rPr>
                <w:noProof/>
                <w:webHidden/>
              </w:rPr>
              <w:instrText xml:space="preserve"> PAGEREF _Toc219287941 \h </w:instrText>
            </w:r>
            <w:r>
              <w:rPr>
                <w:noProof/>
                <w:webHidden/>
              </w:rPr>
            </w:r>
            <w:r>
              <w:rPr>
                <w:noProof/>
                <w:webHidden/>
              </w:rPr>
              <w:fldChar w:fldCharType="separate"/>
            </w:r>
            <w:r>
              <w:rPr>
                <w:noProof/>
                <w:webHidden/>
              </w:rPr>
              <w:t>11</w:t>
            </w:r>
            <w:r>
              <w:rPr>
                <w:noProof/>
                <w:webHidden/>
              </w:rPr>
              <w:fldChar w:fldCharType="end"/>
            </w:r>
          </w:hyperlink>
        </w:p>
        <w:p w14:paraId="0B4FDDE3" w14:textId="5F4808FA" w:rsidR="000C6CDA" w:rsidRDefault="000C6CDA">
          <w:pPr>
            <w:pStyle w:val="TOC3"/>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42" w:history="1">
            <w:r w:rsidRPr="004E5CAD">
              <w:rPr>
                <w:rStyle w:val="Hyperlink"/>
                <w:noProof/>
              </w:rPr>
              <w:t>I.3.2.2. Funcţii de conducere</w:t>
            </w:r>
            <w:r>
              <w:rPr>
                <w:noProof/>
                <w:webHidden/>
              </w:rPr>
              <w:tab/>
            </w:r>
            <w:r>
              <w:rPr>
                <w:noProof/>
                <w:webHidden/>
              </w:rPr>
              <w:fldChar w:fldCharType="begin"/>
            </w:r>
            <w:r>
              <w:rPr>
                <w:noProof/>
                <w:webHidden/>
              </w:rPr>
              <w:instrText xml:space="preserve"> PAGEREF _Toc219287942 \h </w:instrText>
            </w:r>
            <w:r>
              <w:rPr>
                <w:noProof/>
                <w:webHidden/>
              </w:rPr>
            </w:r>
            <w:r>
              <w:rPr>
                <w:noProof/>
                <w:webHidden/>
              </w:rPr>
              <w:fldChar w:fldCharType="separate"/>
            </w:r>
            <w:r>
              <w:rPr>
                <w:noProof/>
                <w:webHidden/>
              </w:rPr>
              <w:t>12</w:t>
            </w:r>
            <w:r>
              <w:rPr>
                <w:noProof/>
                <w:webHidden/>
              </w:rPr>
              <w:fldChar w:fldCharType="end"/>
            </w:r>
          </w:hyperlink>
        </w:p>
        <w:p w14:paraId="11FFFB53" w14:textId="6CD9F980" w:rsidR="000C6CDA" w:rsidRDefault="000C6CDA">
          <w:pPr>
            <w:pStyle w:val="TOC2"/>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43" w:history="1">
            <w:r w:rsidRPr="004E5CAD">
              <w:rPr>
                <w:rStyle w:val="Hyperlink"/>
                <w:rFonts w:cstheme="minorHAnsi"/>
                <w:noProof/>
              </w:rPr>
              <w:t>I.4. Demersuri pentru dezvoltarea capacităţii Institutului Naţional al Magistraturii şi a Şcolii Naţionale de Grefieri</w:t>
            </w:r>
            <w:r>
              <w:rPr>
                <w:noProof/>
                <w:webHidden/>
              </w:rPr>
              <w:tab/>
            </w:r>
            <w:r>
              <w:rPr>
                <w:noProof/>
                <w:webHidden/>
              </w:rPr>
              <w:fldChar w:fldCharType="begin"/>
            </w:r>
            <w:r>
              <w:rPr>
                <w:noProof/>
                <w:webHidden/>
              </w:rPr>
              <w:instrText xml:space="preserve"> PAGEREF _Toc219287943 \h </w:instrText>
            </w:r>
            <w:r>
              <w:rPr>
                <w:noProof/>
                <w:webHidden/>
              </w:rPr>
            </w:r>
            <w:r>
              <w:rPr>
                <w:noProof/>
                <w:webHidden/>
              </w:rPr>
              <w:fldChar w:fldCharType="separate"/>
            </w:r>
            <w:r>
              <w:rPr>
                <w:noProof/>
                <w:webHidden/>
              </w:rPr>
              <w:t>12</w:t>
            </w:r>
            <w:r>
              <w:rPr>
                <w:noProof/>
                <w:webHidden/>
              </w:rPr>
              <w:fldChar w:fldCharType="end"/>
            </w:r>
          </w:hyperlink>
        </w:p>
        <w:p w14:paraId="245958ED" w14:textId="647886A9" w:rsidR="000C6CDA" w:rsidRDefault="000C6CDA">
          <w:pPr>
            <w:pStyle w:val="TOC3"/>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44" w:history="1">
            <w:r w:rsidRPr="004E5CAD">
              <w:rPr>
                <w:rStyle w:val="Hyperlink"/>
                <w:rFonts w:cstheme="minorHAnsi"/>
                <w:noProof/>
              </w:rPr>
              <w:t>I.4.1. Consolidarea capacității instituționale</w:t>
            </w:r>
            <w:r>
              <w:rPr>
                <w:noProof/>
                <w:webHidden/>
              </w:rPr>
              <w:tab/>
            </w:r>
            <w:r>
              <w:rPr>
                <w:noProof/>
                <w:webHidden/>
              </w:rPr>
              <w:fldChar w:fldCharType="begin"/>
            </w:r>
            <w:r>
              <w:rPr>
                <w:noProof/>
                <w:webHidden/>
              </w:rPr>
              <w:instrText xml:space="preserve"> PAGEREF _Toc219287944 \h </w:instrText>
            </w:r>
            <w:r>
              <w:rPr>
                <w:noProof/>
                <w:webHidden/>
              </w:rPr>
            </w:r>
            <w:r>
              <w:rPr>
                <w:noProof/>
                <w:webHidden/>
              </w:rPr>
              <w:fldChar w:fldCharType="separate"/>
            </w:r>
            <w:r>
              <w:rPr>
                <w:noProof/>
                <w:webHidden/>
              </w:rPr>
              <w:t>13</w:t>
            </w:r>
            <w:r>
              <w:rPr>
                <w:noProof/>
                <w:webHidden/>
              </w:rPr>
              <w:fldChar w:fldCharType="end"/>
            </w:r>
          </w:hyperlink>
        </w:p>
        <w:p w14:paraId="12B5314D" w14:textId="7C6D7032" w:rsidR="000C6CDA" w:rsidRDefault="000C6CDA">
          <w:pPr>
            <w:pStyle w:val="TOC3"/>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45" w:history="1">
            <w:r w:rsidRPr="004E5CAD">
              <w:rPr>
                <w:rStyle w:val="Hyperlink"/>
                <w:rFonts w:cstheme="minorHAnsi"/>
                <w:noProof/>
              </w:rPr>
              <w:t>I.4.2. Consolidarea corpului personalului de instruire</w:t>
            </w:r>
            <w:r>
              <w:rPr>
                <w:noProof/>
                <w:webHidden/>
              </w:rPr>
              <w:tab/>
            </w:r>
            <w:r>
              <w:rPr>
                <w:noProof/>
                <w:webHidden/>
              </w:rPr>
              <w:fldChar w:fldCharType="begin"/>
            </w:r>
            <w:r>
              <w:rPr>
                <w:noProof/>
                <w:webHidden/>
              </w:rPr>
              <w:instrText xml:space="preserve"> PAGEREF _Toc219287945 \h </w:instrText>
            </w:r>
            <w:r>
              <w:rPr>
                <w:noProof/>
                <w:webHidden/>
              </w:rPr>
            </w:r>
            <w:r>
              <w:rPr>
                <w:noProof/>
                <w:webHidden/>
              </w:rPr>
              <w:fldChar w:fldCharType="separate"/>
            </w:r>
            <w:r>
              <w:rPr>
                <w:noProof/>
                <w:webHidden/>
              </w:rPr>
              <w:t>13</w:t>
            </w:r>
            <w:r>
              <w:rPr>
                <w:noProof/>
                <w:webHidden/>
              </w:rPr>
              <w:fldChar w:fldCharType="end"/>
            </w:r>
          </w:hyperlink>
        </w:p>
        <w:p w14:paraId="4C310919" w14:textId="0673C537" w:rsidR="000C6CDA" w:rsidRDefault="000C6CDA">
          <w:pPr>
            <w:pStyle w:val="TOC3"/>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46" w:history="1">
            <w:r w:rsidRPr="004E5CAD">
              <w:rPr>
                <w:rStyle w:val="Hyperlink"/>
                <w:rFonts w:cstheme="minorHAnsi"/>
                <w:noProof/>
              </w:rPr>
              <w:t>I.4.3. Protocoale de colaborare încheiate de I.N.M. cu diverse instituții</w:t>
            </w:r>
            <w:r>
              <w:rPr>
                <w:noProof/>
                <w:webHidden/>
              </w:rPr>
              <w:tab/>
            </w:r>
            <w:r>
              <w:rPr>
                <w:noProof/>
                <w:webHidden/>
              </w:rPr>
              <w:fldChar w:fldCharType="begin"/>
            </w:r>
            <w:r>
              <w:rPr>
                <w:noProof/>
                <w:webHidden/>
              </w:rPr>
              <w:instrText xml:space="preserve"> PAGEREF _Toc219287946 \h </w:instrText>
            </w:r>
            <w:r>
              <w:rPr>
                <w:noProof/>
                <w:webHidden/>
              </w:rPr>
            </w:r>
            <w:r>
              <w:rPr>
                <w:noProof/>
                <w:webHidden/>
              </w:rPr>
              <w:fldChar w:fldCharType="separate"/>
            </w:r>
            <w:r>
              <w:rPr>
                <w:noProof/>
                <w:webHidden/>
              </w:rPr>
              <w:t>14</w:t>
            </w:r>
            <w:r>
              <w:rPr>
                <w:noProof/>
                <w:webHidden/>
              </w:rPr>
              <w:fldChar w:fldCharType="end"/>
            </w:r>
          </w:hyperlink>
        </w:p>
        <w:p w14:paraId="1036F1C8" w14:textId="10D6BFB0" w:rsidR="000C6CDA" w:rsidRDefault="000C6CDA">
          <w:pPr>
            <w:pStyle w:val="TOC2"/>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47" w:history="1">
            <w:r w:rsidRPr="004E5CAD">
              <w:rPr>
                <w:rStyle w:val="Hyperlink"/>
                <w:rFonts w:cstheme="minorHAnsi"/>
                <w:noProof/>
              </w:rPr>
              <w:t>I.5. Contribuţia la dezvoltarea spaţiului judiciar comun european</w:t>
            </w:r>
            <w:r>
              <w:rPr>
                <w:noProof/>
                <w:webHidden/>
              </w:rPr>
              <w:tab/>
            </w:r>
            <w:r>
              <w:rPr>
                <w:noProof/>
                <w:webHidden/>
              </w:rPr>
              <w:fldChar w:fldCharType="begin"/>
            </w:r>
            <w:r>
              <w:rPr>
                <w:noProof/>
                <w:webHidden/>
              </w:rPr>
              <w:instrText xml:space="preserve"> PAGEREF _Toc219287947 \h </w:instrText>
            </w:r>
            <w:r>
              <w:rPr>
                <w:noProof/>
                <w:webHidden/>
              </w:rPr>
            </w:r>
            <w:r>
              <w:rPr>
                <w:noProof/>
                <w:webHidden/>
              </w:rPr>
              <w:fldChar w:fldCharType="separate"/>
            </w:r>
            <w:r>
              <w:rPr>
                <w:noProof/>
                <w:webHidden/>
              </w:rPr>
              <w:t>16</w:t>
            </w:r>
            <w:r>
              <w:rPr>
                <w:noProof/>
                <w:webHidden/>
              </w:rPr>
              <w:fldChar w:fldCharType="end"/>
            </w:r>
          </w:hyperlink>
        </w:p>
        <w:p w14:paraId="26E63623" w14:textId="0CE74DD8" w:rsidR="000C6CDA" w:rsidRDefault="000C6CDA">
          <w:pPr>
            <w:pStyle w:val="TOC3"/>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48" w:history="1">
            <w:r w:rsidRPr="004E5CAD">
              <w:rPr>
                <w:rStyle w:val="Hyperlink"/>
                <w:noProof/>
              </w:rPr>
              <w:t>I.5.1. Contribuția I.N.M. în cadrul rețelelor de formare judiciară</w:t>
            </w:r>
            <w:r>
              <w:rPr>
                <w:noProof/>
                <w:webHidden/>
              </w:rPr>
              <w:tab/>
            </w:r>
            <w:r>
              <w:rPr>
                <w:noProof/>
                <w:webHidden/>
              </w:rPr>
              <w:fldChar w:fldCharType="begin"/>
            </w:r>
            <w:r>
              <w:rPr>
                <w:noProof/>
                <w:webHidden/>
              </w:rPr>
              <w:instrText xml:space="preserve"> PAGEREF _Toc219287948 \h </w:instrText>
            </w:r>
            <w:r>
              <w:rPr>
                <w:noProof/>
                <w:webHidden/>
              </w:rPr>
            </w:r>
            <w:r>
              <w:rPr>
                <w:noProof/>
                <w:webHidden/>
              </w:rPr>
              <w:fldChar w:fldCharType="separate"/>
            </w:r>
            <w:r>
              <w:rPr>
                <w:noProof/>
                <w:webHidden/>
              </w:rPr>
              <w:t>17</w:t>
            </w:r>
            <w:r>
              <w:rPr>
                <w:noProof/>
                <w:webHidden/>
              </w:rPr>
              <w:fldChar w:fldCharType="end"/>
            </w:r>
          </w:hyperlink>
        </w:p>
        <w:p w14:paraId="68B7A432" w14:textId="026864A7" w:rsidR="000C6CDA" w:rsidRDefault="000C6CDA">
          <w:pPr>
            <w:pStyle w:val="TOC2"/>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49" w:history="1">
            <w:r w:rsidRPr="004E5CAD">
              <w:rPr>
                <w:rStyle w:val="Hyperlink"/>
                <w:rFonts w:cstheme="minorHAnsi"/>
                <w:noProof/>
              </w:rPr>
              <w:t>I.6. Apărarea independenţei, imparţialităţii şi a reputaţiei profesionale</w:t>
            </w:r>
            <w:r>
              <w:rPr>
                <w:noProof/>
                <w:webHidden/>
              </w:rPr>
              <w:tab/>
            </w:r>
            <w:r>
              <w:rPr>
                <w:noProof/>
                <w:webHidden/>
              </w:rPr>
              <w:fldChar w:fldCharType="begin"/>
            </w:r>
            <w:r>
              <w:rPr>
                <w:noProof/>
                <w:webHidden/>
              </w:rPr>
              <w:instrText xml:space="preserve"> PAGEREF _Toc219287949 \h </w:instrText>
            </w:r>
            <w:r>
              <w:rPr>
                <w:noProof/>
                <w:webHidden/>
              </w:rPr>
            </w:r>
            <w:r>
              <w:rPr>
                <w:noProof/>
                <w:webHidden/>
              </w:rPr>
              <w:fldChar w:fldCharType="separate"/>
            </w:r>
            <w:r>
              <w:rPr>
                <w:noProof/>
                <w:webHidden/>
              </w:rPr>
              <w:t>34</w:t>
            </w:r>
            <w:r>
              <w:rPr>
                <w:noProof/>
                <w:webHidden/>
              </w:rPr>
              <w:fldChar w:fldCharType="end"/>
            </w:r>
          </w:hyperlink>
        </w:p>
        <w:p w14:paraId="6822F6F1" w14:textId="223EDDDA" w:rsidR="000C6CDA" w:rsidRDefault="000C6CDA">
          <w:pPr>
            <w:pStyle w:val="TOC2"/>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50" w:history="1">
            <w:r w:rsidRPr="004E5CAD">
              <w:rPr>
                <w:rStyle w:val="Hyperlink"/>
                <w:rFonts w:cstheme="minorHAnsi"/>
                <w:noProof/>
              </w:rPr>
              <w:t>I.7. Raporturile Consiliului Superior al Magistraturii cu puterea legislativă şi cea  executivă</w:t>
            </w:r>
            <w:r>
              <w:rPr>
                <w:noProof/>
                <w:webHidden/>
              </w:rPr>
              <w:tab/>
            </w:r>
            <w:r>
              <w:rPr>
                <w:noProof/>
                <w:webHidden/>
              </w:rPr>
              <w:fldChar w:fldCharType="begin"/>
            </w:r>
            <w:r>
              <w:rPr>
                <w:noProof/>
                <w:webHidden/>
              </w:rPr>
              <w:instrText xml:space="preserve"> PAGEREF _Toc219287950 \h </w:instrText>
            </w:r>
            <w:r>
              <w:rPr>
                <w:noProof/>
                <w:webHidden/>
              </w:rPr>
            </w:r>
            <w:r>
              <w:rPr>
                <w:noProof/>
                <w:webHidden/>
              </w:rPr>
              <w:fldChar w:fldCharType="separate"/>
            </w:r>
            <w:r>
              <w:rPr>
                <w:noProof/>
                <w:webHidden/>
              </w:rPr>
              <w:t>36</w:t>
            </w:r>
            <w:r>
              <w:rPr>
                <w:noProof/>
                <w:webHidden/>
              </w:rPr>
              <w:fldChar w:fldCharType="end"/>
            </w:r>
          </w:hyperlink>
        </w:p>
        <w:p w14:paraId="20686128" w14:textId="68FFE1CA" w:rsidR="000C6CDA" w:rsidRDefault="000C6CDA">
          <w:pPr>
            <w:pStyle w:val="TOC1"/>
            <w:rPr>
              <w:rFonts w:asciiTheme="minorHAnsi" w:eastAsiaTheme="minorEastAsia" w:hAnsiTheme="minorHAnsi" w:cstheme="minorBidi"/>
              <w:b w:val="0"/>
              <w:noProof/>
              <w:kern w:val="2"/>
              <w:sz w:val="24"/>
              <w:szCs w:val="24"/>
              <w:lang w:eastAsia="ro-RO"/>
              <w14:ligatures w14:val="standardContextual"/>
            </w:rPr>
          </w:pPr>
          <w:hyperlink w:anchor="_Toc219287951" w:history="1">
            <w:r w:rsidRPr="004E5CAD">
              <w:rPr>
                <w:rStyle w:val="Hyperlink"/>
                <w:rFonts w:cstheme="minorHAnsi"/>
                <w:noProof/>
              </w:rPr>
              <w:t>CAPITOLUL II</w:t>
            </w:r>
            <w:r>
              <w:rPr>
                <w:noProof/>
                <w:webHidden/>
              </w:rPr>
              <w:tab/>
            </w:r>
            <w:r>
              <w:rPr>
                <w:noProof/>
                <w:webHidden/>
              </w:rPr>
              <w:fldChar w:fldCharType="begin"/>
            </w:r>
            <w:r>
              <w:rPr>
                <w:noProof/>
                <w:webHidden/>
              </w:rPr>
              <w:instrText xml:space="preserve"> PAGEREF _Toc219287951 \h </w:instrText>
            </w:r>
            <w:r>
              <w:rPr>
                <w:noProof/>
                <w:webHidden/>
              </w:rPr>
            </w:r>
            <w:r>
              <w:rPr>
                <w:noProof/>
                <w:webHidden/>
              </w:rPr>
              <w:fldChar w:fldCharType="separate"/>
            </w:r>
            <w:r>
              <w:rPr>
                <w:noProof/>
                <w:webHidden/>
              </w:rPr>
              <w:t>61</w:t>
            </w:r>
            <w:r>
              <w:rPr>
                <w:noProof/>
                <w:webHidden/>
              </w:rPr>
              <w:fldChar w:fldCharType="end"/>
            </w:r>
          </w:hyperlink>
        </w:p>
        <w:p w14:paraId="5F63FAB2" w14:textId="1AF0B647" w:rsidR="000C6CDA" w:rsidRDefault="000C6CDA">
          <w:pPr>
            <w:pStyle w:val="TOC1"/>
            <w:rPr>
              <w:rFonts w:asciiTheme="minorHAnsi" w:eastAsiaTheme="minorEastAsia" w:hAnsiTheme="minorHAnsi" w:cstheme="minorBidi"/>
              <w:b w:val="0"/>
              <w:noProof/>
              <w:kern w:val="2"/>
              <w:sz w:val="24"/>
              <w:szCs w:val="24"/>
              <w:lang w:eastAsia="ro-RO"/>
              <w14:ligatures w14:val="standardContextual"/>
            </w:rPr>
          </w:pPr>
          <w:hyperlink w:anchor="_Toc219287952" w:history="1">
            <w:r w:rsidRPr="004E5CAD">
              <w:rPr>
                <w:rStyle w:val="Hyperlink"/>
                <w:rFonts w:cstheme="minorHAnsi"/>
                <w:noProof/>
              </w:rPr>
              <w:t>Activităţi derulate în legătură cu atribuţiile administrative ale Consiliului Superior al Magistraturii</w:t>
            </w:r>
            <w:r>
              <w:rPr>
                <w:noProof/>
                <w:webHidden/>
              </w:rPr>
              <w:tab/>
            </w:r>
            <w:r>
              <w:rPr>
                <w:noProof/>
                <w:webHidden/>
              </w:rPr>
              <w:fldChar w:fldCharType="begin"/>
            </w:r>
            <w:r>
              <w:rPr>
                <w:noProof/>
                <w:webHidden/>
              </w:rPr>
              <w:instrText xml:space="preserve"> PAGEREF _Toc219287952 \h </w:instrText>
            </w:r>
            <w:r>
              <w:rPr>
                <w:noProof/>
                <w:webHidden/>
              </w:rPr>
            </w:r>
            <w:r>
              <w:rPr>
                <w:noProof/>
                <w:webHidden/>
              </w:rPr>
              <w:fldChar w:fldCharType="separate"/>
            </w:r>
            <w:r>
              <w:rPr>
                <w:noProof/>
                <w:webHidden/>
              </w:rPr>
              <w:t>61</w:t>
            </w:r>
            <w:r>
              <w:rPr>
                <w:noProof/>
                <w:webHidden/>
              </w:rPr>
              <w:fldChar w:fldCharType="end"/>
            </w:r>
          </w:hyperlink>
        </w:p>
        <w:p w14:paraId="19955D3A" w14:textId="108DED1B" w:rsidR="000C6CDA" w:rsidRDefault="000C6CDA">
          <w:pPr>
            <w:pStyle w:val="TOC2"/>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53" w:history="1">
            <w:r w:rsidRPr="004E5CAD">
              <w:rPr>
                <w:rStyle w:val="Hyperlink"/>
                <w:rFonts w:cstheme="minorHAnsi"/>
                <w:noProof/>
              </w:rPr>
              <w:t>II.1. Gestionarea carierei profesionale a judecătorilor și procurorilor</w:t>
            </w:r>
            <w:r>
              <w:rPr>
                <w:noProof/>
                <w:webHidden/>
              </w:rPr>
              <w:tab/>
            </w:r>
            <w:r>
              <w:rPr>
                <w:noProof/>
                <w:webHidden/>
              </w:rPr>
              <w:fldChar w:fldCharType="begin"/>
            </w:r>
            <w:r>
              <w:rPr>
                <w:noProof/>
                <w:webHidden/>
              </w:rPr>
              <w:instrText xml:space="preserve"> PAGEREF _Toc219287953 \h </w:instrText>
            </w:r>
            <w:r>
              <w:rPr>
                <w:noProof/>
                <w:webHidden/>
              </w:rPr>
            </w:r>
            <w:r>
              <w:rPr>
                <w:noProof/>
                <w:webHidden/>
              </w:rPr>
              <w:fldChar w:fldCharType="separate"/>
            </w:r>
            <w:r>
              <w:rPr>
                <w:noProof/>
                <w:webHidden/>
              </w:rPr>
              <w:t>61</w:t>
            </w:r>
            <w:r>
              <w:rPr>
                <w:noProof/>
                <w:webHidden/>
              </w:rPr>
              <w:fldChar w:fldCharType="end"/>
            </w:r>
          </w:hyperlink>
        </w:p>
        <w:p w14:paraId="12263664" w14:textId="05AD48AE" w:rsidR="000C6CDA" w:rsidRDefault="000C6CDA">
          <w:pPr>
            <w:pStyle w:val="TOC2"/>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54" w:history="1">
            <w:r w:rsidRPr="004E5CAD">
              <w:rPr>
                <w:rStyle w:val="Hyperlink"/>
                <w:rFonts w:cstheme="minorHAnsi"/>
                <w:noProof/>
              </w:rPr>
              <w:t>II.2. Organizarea instanţelor judecătoreşti şi a parchetelor</w:t>
            </w:r>
            <w:r>
              <w:rPr>
                <w:noProof/>
                <w:webHidden/>
              </w:rPr>
              <w:tab/>
            </w:r>
            <w:r>
              <w:rPr>
                <w:noProof/>
                <w:webHidden/>
              </w:rPr>
              <w:fldChar w:fldCharType="begin"/>
            </w:r>
            <w:r>
              <w:rPr>
                <w:noProof/>
                <w:webHidden/>
              </w:rPr>
              <w:instrText xml:space="preserve"> PAGEREF _Toc219287954 \h </w:instrText>
            </w:r>
            <w:r>
              <w:rPr>
                <w:noProof/>
                <w:webHidden/>
              </w:rPr>
            </w:r>
            <w:r>
              <w:rPr>
                <w:noProof/>
                <w:webHidden/>
              </w:rPr>
              <w:fldChar w:fldCharType="separate"/>
            </w:r>
            <w:r>
              <w:rPr>
                <w:noProof/>
                <w:webHidden/>
              </w:rPr>
              <w:t>71</w:t>
            </w:r>
            <w:r>
              <w:rPr>
                <w:noProof/>
                <w:webHidden/>
              </w:rPr>
              <w:fldChar w:fldCharType="end"/>
            </w:r>
          </w:hyperlink>
        </w:p>
        <w:p w14:paraId="5F015645" w14:textId="54F36651" w:rsidR="000C6CDA" w:rsidRDefault="000C6CDA">
          <w:pPr>
            <w:pStyle w:val="TOC3"/>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55" w:history="1">
            <w:r w:rsidRPr="004E5CAD">
              <w:rPr>
                <w:rStyle w:val="Hyperlink"/>
                <w:noProof/>
              </w:rPr>
              <w:t>II.2.1. Instanţele judecătoreşti</w:t>
            </w:r>
            <w:r>
              <w:rPr>
                <w:noProof/>
                <w:webHidden/>
              </w:rPr>
              <w:tab/>
            </w:r>
            <w:r>
              <w:rPr>
                <w:noProof/>
                <w:webHidden/>
              </w:rPr>
              <w:fldChar w:fldCharType="begin"/>
            </w:r>
            <w:r>
              <w:rPr>
                <w:noProof/>
                <w:webHidden/>
              </w:rPr>
              <w:instrText xml:space="preserve"> PAGEREF _Toc219287955 \h </w:instrText>
            </w:r>
            <w:r>
              <w:rPr>
                <w:noProof/>
                <w:webHidden/>
              </w:rPr>
            </w:r>
            <w:r>
              <w:rPr>
                <w:noProof/>
                <w:webHidden/>
              </w:rPr>
              <w:fldChar w:fldCharType="separate"/>
            </w:r>
            <w:r>
              <w:rPr>
                <w:noProof/>
                <w:webHidden/>
              </w:rPr>
              <w:t>71</w:t>
            </w:r>
            <w:r>
              <w:rPr>
                <w:noProof/>
                <w:webHidden/>
              </w:rPr>
              <w:fldChar w:fldCharType="end"/>
            </w:r>
          </w:hyperlink>
        </w:p>
        <w:p w14:paraId="51577AE5" w14:textId="27A38711" w:rsidR="000C6CDA" w:rsidRDefault="000C6CDA">
          <w:pPr>
            <w:pStyle w:val="TOC3"/>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56" w:history="1">
            <w:r w:rsidRPr="004E5CAD">
              <w:rPr>
                <w:rStyle w:val="Hyperlink"/>
                <w:noProof/>
              </w:rPr>
              <w:t>II.2.2. Parchetele de pe lângă instanţele judecătoreşti</w:t>
            </w:r>
            <w:r>
              <w:rPr>
                <w:noProof/>
                <w:webHidden/>
              </w:rPr>
              <w:tab/>
            </w:r>
            <w:r>
              <w:rPr>
                <w:noProof/>
                <w:webHidden/>
              </w:rPr>
              <w:fldChar w:fldCharType="begin"/>
            </w:r>
            <w:r>
              <w:rPr>
                <w:noProof/>
                <w:webHidden/>
              </w:rPr>
              <w:instrText xml:space="preserve"> PAGEREF _Toc219287956 \h </w:instrText>
            </w:r>
            <w:r>
              <w:rPr>
                <w:noProof/>
                <w:webHidden/>
              </w:rPr>
            </w:r>
            <w:r>
              <w:rPr>
                <w:noProof/>
                <w:webHidden/>
              </w:rPr>
              <w:fldChar w:fldCharType="separate"/>
            </w:r>
            <w:r>
              <w:rPr>
                <w:noProof/>
                <w:webHidden/>
              </w:rPr>
              <w:t>72</w:t>
            </w:r>
            <w:r>
              <w:rPr>
                <w:noProof/>
                <w:webHidden/>
              </w:rPr>
              <w:fldChar w:fldCharType="end"/>
            </w:r>
          </w:hyperlink>
        </w:p>
        <w:p w14:paraId="24127743" w14:textId="4A35CB02" w:rsidR="000C6CDA" w:rsidRDefault="000C6CDA">
          <w:pPr>
            <w:pStyle w:val="TOC2"/>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57" w:history="1">
            <w:r w:rsidRPr="004E5CAD">
              <w:rPr>
                <w:rStyle w:val="Hyperlink"/>
                <w:rFonts w:cstheme="minorHAnsi"/>
                <w:noProof/>
              </w:rPr>
              <w:t>II.3. Activitatea în domeniul formării profesionale a magistraţilor şi a personalului auxiliar</w:t>
            </w:r>
            <w:r>
              <w:rPr>
                <w:noProof/>
                <w:webHidden/>
              </w:rPr>
              <w:tab/>
            </w:r>
            <w:r>
              <w:rPr>
                <w:noProof/>
                <w:webHidden/>
              </w:rPr>
              <w:fldChar w:fldCharType="begin"/>
            </w:r>
            <w:r>
              <w:rPr>
                <w:noProof/>
                <w:webHidden/>
              </w:rPr>
              <w:instrText xml:space="preserve"> PAGEREF _Toc219287957 \h </w:instrText>
            </w:r>
            <w:r>
              <w:rPr>
                <w:noProof/>
                <w:webHidden/>
              </w:rPr>
            </w:r>
            <w:r>
              <w:rPr>
                <w:noProof/>
                <w:webHidden/>
              </w:rPr>
              <w:fldChar w:fldCharType="separate"/>
            </w:r>
            <w:r>
              <w:rPr>
                <w:noProof/>
                <w:webHidden/>
              </w:rPr>
              <w:t>72</w:t>
            </w:r>
            <w:r>
              <w:rPr>
                <w:noProof/>
                <w:webHidden/>
              </w:rPr>
              <w:fldChar w:fldCharType="end"/>
            </w:r>
          </w:hyperlink>
        </w:p>
        <w:p w14:paraId="73761789" w14:textId="50C5D313" w:rsidR="000C6CDA" w:rsidRDefault="000C6CDA">
          <w:pPr>
            <w:pStyle w:val="TOC3"/>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58" w:history="1">
            <w:r w:rsidRPr="004E5CAD">
              <w:rPr>
                <w:rStyle w:val="Hyperlink"/>
                <w:rFonts w:cstheme="minorHAnsi"/>
                <w:noProof/>
              </w:rPr>
              <w:t>II.3.3. Școala Națională de Grefieri</w:t>
            </w:r>
            <w:r>
              <w:rPr>
                <w:noProof/>
                <w:webHidden/>
              </w:rPr>
              <w:tab/>
            </w:r>
            <w:r>
              <w:rPr>
                <w:noProof/>
                <w:webHidden/>
              </w:rPr>
              <w:fldChar w:fldCharType="begin"/>
            </w:r>
            <w:r>
              <w:rPr>
                <w:noProof/>
                <w:webHidden/>
              </w:rPr>
              <w:instrText xml:space="preserve"> PAGEREF _Toc219287958 \h </w:instrText>
            </w:r>
            <w:r>
              <w:rPr>
                <w:noProof/>
                <w:webHidden/>
              </w:rPr>
            </w:r>
            <w:r>
              <w:rPr>
                <w:noProof/>
                <w:webHidden/>
              </w:rPr>
              <w:fldChar w:fldCharType="separate"/>
            </w:r>
            <w:r>
              <w:rPr>
                <w:noProof/>
                <w:webHidden/>
              </w:rPr>
              <w:t>94</w:t>
            </w:r>
            <w:r>
              <w:rPr>
                <w:noProof/>
                <w:webHidden/>
              </w:rPr>
              <w:fldChar w:fldCharType="end"/>
            </w:r>
          </w:hyperlink>
        </w:p>
        <w:p w14:paraId="1471C694" w14:textId="29965D5E" w:rsidR="000C6CDA" w:rsidRDefault="000C6CDA">
          <w:pPr>
            <w:pStyle w:val="TOC3"/>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59" w:history="1">
            <w:r w:rsidRPr="004E5CAD">
              <w:rPr>
                <w:rStyle w:val="Hyperlink"/>
                <w:rFonts w:cstheme="minorHAnsi"/>
                <w:noProof/>
              </w:rPr>
              <w:t>Activitatea în domeniul formării profesionale a personalului auxiliar</w:t>
            </w:r>
            <w:r>
              <w:rPr>
                <w:noProof/>
                <w:webHidden/>
              </w:rPr>
              <w:tab/>
            </w:r>
            <w:r>
              <w:rPr>
                <w:noProof/>
                <w:webHidden/>
              </w:rPr>
              <w:fldChar w:fldCharType="begin"/>
            </w:r>
            <w:r>
              <w:rPr>
                <w:noProof/>
                <w:webHidden/>
              </w:rPr>
              <w:instrText xml:space="preserve"> PAGEREF _Toc219287959 \h </w:instrText>
            </w:r>
            <w:r>
              <w:rPr>
                <w:noProof/>
                <w:webHidden/>
              </w:rPr>
            </w:r>
            <w:r>
              <w:rPr>
                <w:noProof/>
                <w:webHidden/>
              </w:rPr>
              <w:fldChar w:fldCharType="separate"/>
            </w:r>
            <w:r>
              <w:rPr>
                <w:noProof/>
                <w:webHidden/>
              </w:rPr>
              <w:t>94</w:t>
            </w:r>
            <w:r>
              <w:rPr>
                <w:noProof/>
                <w:webHidden/>
              </w:rPr>
              <w:fldChar w:fldCharType="end"/>
            </w:r>
          </w:hyperlink>
        </w:p>
        <w:p w14:paraId="6BDBCD24" w14:textId="007E0FF7" w:rsidR="000C6CDA" w:rsidRDefault="000C6CDA">
          <w:pPr>
            <w:pStyle w:val="TOC2"/>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60" w:history="1">
            <w:r w:rsidRPr="004E5CAD">
              <w:rPr>
                <w:rStyle w:val="Hyperlink"/>
                <w:rFonts w:cstheme="minorHAnsi"/>
                <w:noProof/>
              </w:rPr>
              <w:t>II.4. Evaluarea profesională a magistraţilor</w:t>
            </w:r>
            <w:r>
              <w:rPr>
                <w:noProof/>
                <w:webHidden/>
              </w:rPr>
              <w:tab/>
            </w:r>
            <w:r>
              <w:rPr>
                <w:noProof/>
                <w:webHidden/>
              </w:rPr>
              <w:fldChar w:fldCharType="begin"/>
            </w:r>
            <w:r>
              <w:rPr>
                <w:noProof/>
                <w:webHidden/>
              </w:rPr>
              <w:instrText xml:space="preserve"> PAGEREF _Toc219287960 \h </w:instrText>
            </w:r>
            <w:r>
              <w:rPr>
                <w:noProof/>
                <w:webHidden/>
              </w:rPr>
            </w:r>
            <w:r>
              <w:rPr>
                <w:noProof/>
                <w:webHidden/>
              </w:rPr>
              <w:fldChar w:fldCharType="separate"/>
            </w:r>
            <w:r>
              <w:rPr>
                <w:noProof/>
                <w:webHidden/>
              </w:rPr>
              <w:t>99</w:t>
            </w:r>
            <w:r>
              <w:rPr>
                <w:noProof/>
                <w:webHidden/>
              </w:rPr>
              <w:fldChar w:fldCharType="end"/>
            </w:r>
          </w:hyperlink>
        </w:p>
        <w:p w14:paraId="6A59D2D0" w14:textId="023E4639" w:rsidR="000C6CDA" w:rsidRDefault="000C6CDA">
          <w:pPr>
            <w:pStyle w:val="TOC1"/>
            <w:rPr>
              <w:rFonts w:asciiTheme="minorHAnsi" w:eastAsiaTheme="minorEastAsia" w:hAnsiTheme="minorHAnsi" w:cstheme="minorBidi"/>
              <w:b w:val="0"/>
              <w:noProof/>
              <w:kern w:val="2"/>
              <w:sz w:val="24"/>
              <w:szCs w:val="24"/>
              <w:lang w:eastAsia="ro-RO"/>
              <w14:ligatures w14:val="standardContextual"/>
            </w:rPr>
          </w:pPr>
          <w:hyperlink w:anchor="_Toc219287961" w:history="1">
            <w:r w:rsidRPr="004E5CAD">
              <w:rPr>
                <w:rStyle w:val="Hyperlink"/>
                <w:rFonts w:cstheme="minorHAnsi"/>
                <w:noProof/>
              </w:rPr>
              <w:t>CAPITOLUL III</w:t>
            </w:r>
            <w:r>
              <w:rPr>
                <w:noProof/>
                <w:webHidden/>
              </w:rPr>
              <w:tab/>
            </w:r>
            <w:r>
              <w:rPr>
                <w:noProof/>
                <w:webHidden/>
              </w:rPr>
              <w:fldChar w:fldCharType="begin"/>
            </w:r>
            <w:r>
              <w:rPr>
                <w:noProof/>
                <w:webHidden/>
              </w:rPr>
              <w:instrText xml:space="preserve"> PAGEREF _Toc219287961 \h </w:instrText>
            </w:r>
            <w:r>
              <w:rPr>
                <w:noProof/>
                <w:webHidden/>
              </w:rPr>
            </w:r>
            <w:r>
              <w:rPr>
                <w:noProof/>
                <w:webHidden/>
              </w:rPr>
              <w:fldChar w:fldCharType="separate"/>
            </w:r>
            <w:r>
              <w:rPr>
                <w:noProof/>
                <w:webHidden/>
              </w:rPr>
              <w:t>100</w:t>
            </w:r>
            <w:r>
              <w:rPr>
                <w:noProof/>
                <w:webHidden/>
              </w:rPr>
              <w:fldChar w:fldCharType="end"/>
            </w:r>
          </w:hyperlink>
        </w:p>
        <w:p w14:paraId="12F975C5" w14:textId="11A900B2" w:rsidR="000C6CDA" w:rsidRDefault="000C6CDA">
          <w:pPr>
            <w:pStyle w:val="TOC1"/>
            <w:rPr>
              <w:rFonts w:asciiTheme="minorHAnsi" w:eastAsiaTheme="minorEastAsia" w:hAnsiTheme="minorHAnsi" w:cstheme="minorBidi"/>
              <w:b w:val="0"/>
              <w:noProof/>
              <w:kern w:val="2"/>
              <w:sz w:val="24"/>
              <w:szCs w:val="24"/>
              <w:lang w:eastAsia="ro-RO"/>
              <w14:ligatures w14:val="standardContextual"/>
            </w:rPr>
          </w:pPr>
          <w:hyperlink w:anchor="_Toc219287962" w:history="1">
            <w:r w:rsidRPr="004E5CAD">
              <w:rPr>
                <w:rStyle w:val="Hyperlink"/>
                <w:noProof/>
              </w:rPr>
              <w:t>Activităţi derulate în legătură cu atribuţiile în materie legislativă ale</w:t>
            </w:r>
            <w:r w:rsidRPr="004E5CAD">
              <w:rPr>
                <w:rStyle w:val="Hyperlink"/>
                <w:rFonts w:cstheme="minorHAnsi"/>
                <w:noProof/>
              </w:rPr>
              <w:t xml:space="preserve"> Consiliului Superior al Magistraturii</w:t>
            </w:r>
            <w:r>
              <w:rPr>
                <w:noProof/>
                <w:webHidden/>
              </w:rPr>
              <w:tab/>
            </w:r>
            <w:r>
              <w:rPr>
                <w:noProof/>
                <w:webHidden/>
              </w:rPr>
              <w:fldChar w:fldCharType="begin"/>
            </w:r>
            <w:r>
              <w:rPr>
                <w:noProof/>
                <w:webHidden/>
              </w:rPr>
              <w:instrText xml:space="preserve"> PAGEREF _Toc219287962 \h </w:instrText>
            </w:r>
            <w:r>
              <w:rPr>
                <w:noProof/>
                <w:webHidden/>
              </w:rPr>
            </w:r>
            <w:r>
              <w:rPr>
                <w:noProof/>
                <w:webHidden/>
              </w:rPr>
              <w:fldChar w:fldCharType="separate"/>
            </w:r>
            <w:r>
              <w:rPr>
                <w:noProof/>
                <w:webHidden/>
              </w:rPr>
              <w:t>100</w:t>
            </w:r>
            <w:r>
              <w:rPr>
                <w:noProof/>
                <w:webHidden/>
              </w:rPr>
              <w:fldChar w:fldCharType="end"/>
            </w:r>
          </w:hyperlink>
        </w:p>
        <w:p w14:paraId="0727B1E1" w14:textId="76CF0E87" w:rsidR="000C6CDA" w:rsidRDefault="000C6CDA">
          <w:pPr>
            <w:pStyle w:val="TOC2"/>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63" w:history="1">
            <w:r w:rsidRPr="004E5CAD">
              <w:rPr>
                <w:rStyle w:val="Hyperlink"/>
                <w:rFonts w:cstheme="minorHAnsi"/>
                <w:noProof/>
              </w:rPr>
              <w:t>III.1. Avizarea unor proiecte de acte normative</w:t>
            </w:r>
            <w:r>
              <w:rPr>
                <w:noProof/>
                <w:webHidden/>
              </w:rPr>
              <w:tab/>
            </w:r>
            <w:r>
              <w:rPr>
                <w:noProof/>
                <w:webHidden/>
              </w:rPr>
              <w:fldChar w:fldCharType="begin"/>
            </w:r>
            <w:r>
              <w:rPr>
                <w:noProof/>
                <w:webHidden/>
              </w:rPr>
              <w:instrText xml:space="preserve"> PAGEREF _Toc219287963 \h </w:instrText>
            </w:r>
            <w:r>
              <w:rPr>
                <w:noProof/>
                <w:webHidden/>
              </w:rPr>
            </w:r>
            <w:r>
              <w:rPr>
                <w:noProof/>
                <w:webHidden/>
              </w:rPr>
              <w:fldChar w:fldCharType="separate"/>
            </w:r>
            <w:r>
              <w:rPr>
                <w:noProof/>
                <w:webHidden/>
              </w:rPr>
              <w:t>100</w:t>
            </w:r>
            <w:r>
              <w:rPr>
                <w:noProof/>
                <w:webHidden/>
              </w:rPr>
              <w:fldChar w:fldCharType="end"/>
            </w:r>
          </w:hyperlink>
        </w:p>
        <w:p w14:paraId="18DFB7C4" w14:textId="7A68AB5C" w:rsidR="000C6CDA" w:rsidRDefault="000C6CDA">
          <w:pPr>
            <w:pStyle w:val="TOC2"/>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64" w:history="1">
            <w:r w:rsidRPr="004E5CAD">
              <w:rPr>
                <w:rStyle w:val="Hyperlink"/>
                <w:rFonts w:cstheme="minorHAnsi"/>
                <w:noProof/>
              </w:rPr>
              <w:t>III.2. Elaborarea legislaţiei secundare</w:t>
            </w:r>
            <w:r>
              <w:rPr>
                <w:noProof/>
                <w:webHidden/>
              </w:rPr>
              <w:tab/>
            </w:r>
            <w:r>
              <w:rPr>
                <w:noProof/>
                <w:webHidden/>
              </w:rPr>
              <w:fldChar w:fldCharType="begin"/>
            </w:r>
            <w:r>
              <w:rPr>
                <w:noProof/>
                <w:webHidden/>
              </w:rPr>
              <w:instrText xml:space="preserve"> PAGEREF _Toc219287964 \h </w:instrText>
            </w:r>
            <w:r>
              <w:rPr>
                <w:noProof/>
                <w:webHidden/>
              </w:rPr>
            </w:r>
            <w:r>
              <w:rPr>
                <w:noProof/>
                <w:webHidden/>
              </w:rPr>
              <w:fldChar w:fldCharType="separate"/>
            </w:r>
            <w:r>
              <w:rPr>
                <w:noProof/>
                <w:webHidden/>
              </w:rPr>
              <w:t>100</w:t>
            </w:r>
            <w:r>
              <w:rPr>
                <w:noProof/>
                <w:webHidden/>
              </w:rPr>
              <w:fldChar w:fldCharType="end"/>
            </w:r>
          </w:hyperlink>
        </w:p>
        <w:p w14:paraId="5999A86D" w14:textId="659EB9C6" w:rsidR="000C6CDA" w:rsidRDefault="000C6CDA">
          <w:pPr>
            <w:pStyle w:val="TOC1"/>
            <w:rPr>
              <w:rFonts w:asciiTheme="minorHAnsi" w:eastAsiaTheme="minorEastAsia" w:hAnsiTheme="minorHAnsi" w:cstheme="minorBidi"/>
              <w:b w:val="0"/>
              <w:noProof/>
              <w:kern w:val="2"/>
              <w:sz w:val="24"/>
              <w:szCs w:val="24"/>
              <w:lang w:eastAsia="ro-RO"/>
              <w14:ligatures w14:val="standardContextual"/>
            </w:rPr>
          </w:pPr>
          <w:hyperlink w:anchor="_Toc219287965" w:history="1">
            <w:r w:rsidRPr="004E5CAD">
              <w:rPr>
                <w:rStyle w:val="Hyperlink"/>
                <w:rFonts w:eastAsiaTheme="majorEastAsia" w:cstheme="minorHAnsi"/>
                <w:noProof/>
              </w:rPr>
              <w:t>CAPITOLUL IV</w:t>
            </w:r>
            <w:r>
              <w:rPr>
                <w:noProof/>
                <w:webHidden/>
              </w:rPr>
              <w:tab/>
            </w:r>
            <w:r>
              <w:rPr>
                <w:noProof/>
                <w:webHidden/>
              </w:rPr>
              <w:fldChar w:fldCharType="begin"/>
            </w:r>
            <w:r>
              <w:rPr>
                <w:noProof/>
                <w:webHidden/>
              </w:rPr>
              <w:instrText xml:space="preserve"> PAGEREF _Toc219287965 \h </w:instrText>
            </w:r>
            <w:r>
              <w:rPr>
                <w:noProof/>
                <w:webHidden/>
              </w:rPr>
            </w:r>
            <w:r>
              <w:rPr>
                <w:noProof/>
                <w:webHidden/>
              </w:rPr>
              <w:fldChar w:fldCharType="separate"/>
            </w:r>
            <w:r>
              <w:rPr>
                <w:noProof/>
                <w:webHidden/>
              </w:rPr>
              <w:t>102</w:t>
            </w:r>
            <w:r>
              <w:rPr>
                <w:noProof/>
                <w:webHidden/>
              </w:rPr>
              <w:fldChar w:fldCharType="end"/>
            </w:r>
          </w:hyperlink>
        </w:p>
        <w:p w14:paraId="76DF4FB6" w14:textId="4A85F29B" w:rsidR="000C6CDA" w:rsidRDefault="000C6CDA">
          <w:pPr>
            <w:pStyle w:val="TOC1"/>
            <w:rPr>
              <w:rFonts w:asciiTheme="minorHAnsi" w:eastAsiaTheme="minorEastAsia" w:hAnsiTheme="minorHAnsi" w:cstheme="minorBidi"/>
              <w:b w:val="0"/>
              <w:noProof/>
              <w:kern w:val="2"/>
              <w:sz w:val="24"/>
              <w:szCs w:val="24"/>
              <w:lang w:eastAsia="ro-RO"/>
              <w14:ligatures w14:val="standardContextual"/>
            </w:rPr>
          </w:pPr>
          <w:hyperlink w:anchor="_Toc219287966" w:history="1">
            <w:r w:rsidRPr="004E5CAD">
              <w:rPr>
                <w:rStyle w:val="Hyperlink"/>
                <w:noProof/>
              </w:rPr>
              <w:t>Activităţi derulate în legătură cu atribuţiile în materie disciplinară</w:t>
            </w:r>
            <w:r>
              <w:rPr>
                <w:noProof/>
                <w:webHidden/>
              </w:rPr>
              <w:tab/>
            </w:r>
            <w:r>
              <w:rPr>
                <w:noProof/>
                <w:webHidden/>
              </w:rPr>
              <w:fldChar w:fldCharType="begin"/>
            </w:r>
            <w:r>
              <w:rPr>
                <w:noProof/>
                <w:webHidden/>
              </w:rPr>
              <w:instrText xml:space="preserve"> PAGEREF _Toc219287966 \h </w:instrText>
            </w:r>
            <w:r>
              <w:rPr>
                <w:noProof/>
                <w:webHidden/>
              </w:rPr>
            </w:r>
            <w:r>
              <w:rPr>
                <w:noProof/>
                <w:webHidden/>
              </w:rPr>
              <w:fldChar w:fldCharType="separate"/>
            </w:r>
            <w:r>
              <w:rPr>
                <w:noProof/>
                <w:webHidden/>
              </w:rPr>
              <w:t>102</w:t>
            </w:r>
            <w:r>
              <w:rPr>
                <w:noProof/>
                <w:webHidden/>
              </w:rPr>
              <w:fldChar w:fldCharType="end"/>
            </w:r>
          </w:hyperlink>
        </w:p>
        <w:p w14:paraId="7001EB75" w14:textId="48119CEF" w:rsidR="000C6CDA" w:rsidRDefault="000C6CDA">
          <w:pPr>
            <w:pStyle w:val="TOC2"/>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67" w:history="1">
            <w:r w:rsidRPr="004E5CAD">
              <w:rPr>
                <w:rStyle w:val="Hyperlink"/>
                <w:rFonts w:cstheme="minorHAnsi"/>
                <w:noProof/>
                <w:lang w:val="fr-FR"/>
              </w:rPr>
              <w:t xml:space="preserve">IV.1. </w:t>
            </w:r>
            <w:r w:rsidRPr="004E5CAD">
              <w:rPr>
                <w:rStyle w:val="Hyperlink"/>
                <w:rFonts w:cstheme="minorHAnsi"/>
                <w:noProof/>
              </w:rPr>
              <w:t>Activitatea Secţiilor Consiliului Superior al Magistraturii, ca instanţe de judecată în materie disciplinară</w:t>
            </w:r>
            <w:r>
              <w:rPr>
                <w:noProof/>
                <w:webHidden/>
              </w:rPr>
              <w:tab/>
            </w:r>
            <w:r>
              <w:rPr>
                <w:noProof/>
                <w:webHidden/>
              </w:rPr>
              <w:fldChar w:fldCharType="begin"/>
            </w:r>
            <w:r>
              <w:rPr>
                <w:noProof/>
                <w:webHidden/>
              </w:rPr>
              <w:instrText xml:space="preserve"> PAGEREF _Toc219287967 \h </w:instrText>
            </w:r>
            <w:r>
              <w:rPr>
                <w:noProof/>
                <w:webHidden/>
              </w:rPr>
            </w:r>
            <w:r>
              <w:rPr>
                <w:noProof/>
                <w:webHidden/>
              </w:rPr>
              <w:fldChar w:fldCharType="separate"/>
            </w:r>
            <w:r>
              <w:rPr>
                <w:noProof/>
                <w:webHidden/>
              </w:rPr>
              <w:t>102</w:t>
            </w:r>
            <w:r>
              <w:rPr>
                <w:noProof/>
                <w:webHidden/>
              </w:rPr>
              <w:fldChar w:fldCharType="end"/>
            </w:r>
          </w:hyperlink>
        </w:p>
        <w:p w14:paraId="14B2C88A" w14:textId="2C944603" w:rsidR="000C6CDA" w:rsidRDefault="000C6CDA">
          <w:pPr>
            <w:pStyle w:val="TOC1"/>
            <w:rPr>
              <w:rFonts w:asciiTheme="minorHAnsi" w:eastAsiaTheme="minorEastAsia" w:hAnsiTheme="minorHAnsi" w:cstheme="minorBidi"/>
              <w:b w:val="0"/>
              <w:noProof/>
              <w:kern w:val="2"/>
              <w:sz w:val="24"/>
              <w:szCs w:val="24"/>
              <w:lang w:eastAsia="ro-RO"/>
              <w14:ligatures w14:val="standardContextual"/>
            </w:rPr>
          </w:pPr>
          <w:hyperlink w:anchor="_Toc219287968" w:history="1">
            <w:r w:rsidRPr="004E5CAD">
              <w:rPr>
                <w:rStyle w:val="Hyperlink"/>
                <w:rFonts w:cstheme="minorHAnsi"/>
                <w:noProof/>
              </w:rPr>
              <w:t>CAPITOLUL V</w:t>
            </w:r>
            <w:r>
              <w:rPr>
                <w:noProof/>
                <w:webHidden/>
              </w:rPr>
              <w:tab/>
            </w:r>
            <w:r>
              <w:rPr>
                <w:noProof/>
                <w:webHidden/>
              </w:rPr>
              <w:fldChar w:fldCharType="begin"/>
            </w:r>
            <w:r>
              <w:rPr>
                <w:noProof/>
                <w:webHidden/>
              </w:rPr>
              <w:instrText xml:space="preserve"> PAGEREF _Toc219287968 \h </w:instrText>
            </w:r>
            <w:r>
              <w:rPr>
                <w:noProof/>
                <w:webHidden/>
              </w:rPr>
            </w:r>
            <w:r>
              <w:rPr>
                <w:noProof/>
                <w:webHidden/>
              </w:rPr>
              <w:fldChar w:fldCharType="separate"/>
            </w:r>
            <w:r>
              <w:rPr>
                <w:noProof/>
                <w:webHidden/>
              </w:rPr>
              <w:t>106</w:t>
            </w:r>
            <w:r>
              <w:rPr>
                <w:noProof/>
                <w:webHidden/>
              </w:rPr>
              <w:fldChar w:fldCharType="end"/>
            </w:r>
          </w:hyperlink>
        </w:p>
        <w:p w14:paraId="29C4124D" w14:textId="18D6801D" w:rsidR="000C6CDA" w:rsidRDefault="000C6CDA">
          <w:pPr>
            <w:pStyle w:val="TOC1"/>
            <w:rPr>
              <w:rFonts w:asciiTheme="minorHAnsi" w:eastAsiaTheme="minorEastAsia" w:hAnsiTheme="minorHAnsi" w:cstheme="minorBidi"/>
              <w:b w:val="0"/>
              <w:noProof/>
              <w:kern w:val="2"/>
              <w:sz w:val="24"/>
              <w:szCs w:val="24"/>
              <w:lang w:eastAsia="ro-RO"/>
              <w14:ligatures w14:val="standardContextual"/>
            </w:rPr>
          </w:pPr>
          <w:hyperlink w:anchor="_Toc219287969" w:history="1">
            <w:r w:rsidRPr="004E5CAD">
              <w:rPr>
                <w:rStyle w:val="Hyperlink"/>
                <w:noProof/>
              </w:rPr>
              <w:t>Bugetul Consiliului Superior al Magistraturii</w:t>
            </w:r>
            <w:r>
              <w:rPr>
                <w:noProof/>
                <w:webHidden/>
              </w:rPr>
              <w:tab/>
            </w:r>
            <w:r>
              <w:rPr>
                <w:noProof/>
                <w:webHidden/>
              </w:rPr>
              <w:fldChar w:fldCharType="begin"/>
            </w:r>
            <w:r>
              <w:rPr>
                <w:noProof/>
                <w:webHidden/>
              </w:rPr>
              <w:instrText xml:space="preserve"> PAGEREF _Toc219287969 \h </w:instrText>
            </w:r>
            <w:r>
              <w:rPr>
                <w:noProof/>
                <w:webHidden/>
              </w:rPr>
            </w:r>
            <w:r>
              <w:rPr>
                <w:noProof/>
                <w:webHidden/>
              </w:rPr>
              <w:fldChar w:fldCharType="separate"/>
            </w:r>
            <w:r>
              <w:rPr>
                <w:noProof/>
                <w:webHidden/>
              </w:rPr>
              <w:t>106</w:t>
            </w:r>
            <w:r>
              <w:rPr>
                <w:noProof/>
                <w:webHidden/>
              </w:rPr>
              <w:fldChar w:fldCharType="end"/>
            </w:r>
          </w:hyperlink>
        </w:p>
        <w:p w14:paraId="61FEE857" w14:textId="547B4610" w:rsidR="000C6CDA" w:rsidRDefault="000C6CDA">
          <w:pPr>
            <w:pStyle w:val="TOC2"/>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70" w:history="1">
            <w:r w:rsidRPr="004E5CAD">
              <w:rPr>
                <w:rStyle w:val="Hyperlink"/>
                <w:rFonts w:cstheme="minorHAnsi"/>
                <w:noProof/>
              </w:rPr>
              <w:t>V.1. Dinamica bugetului 2024 - 2025 şi perspectiva pentru anul 2026</w:t>
            </w:r>
            <w:r>
              <w:rPr>
                <w:noProof/>
                <w:webHidden/>
              </w:rPr>
              <w:tab/>
            </w:r>
            <w:r>
              <w:rPr>
                <w:noProof/>
                <w:webHidden/>
              </w:rPr>
              <w:fldChar w:fldCharType="begin"/>
            </w:r>
            <w:r>
              <w:rPr>
                <w:noProof/>
                <w:webHidden/>
              </w:rPr>
              <w:instrText xml:space="preserve"> PAGEREF _Toc219287970 \h </w:instrText>
            </w:r>
            <w:r>
              <w:rPr>
                <w:noProof/>
                <w:webHidden/>
              </w:rPr>
            </w:r>
            <w:r>
              <w:rPr>
                <w:noProof/>
                <w:webHidden/>
              </w:rPr>
              <w:fldChar w:fldCharType="separate"/>
            </w:r>
            <w:r>
              <w:rPr>
                <w:noProof/>
                <w:webHidden/>
              </w:rPr>
              <w:t>106</w:t>
            </w:r>
            <w:r>
              <w:rPr>
                <w:noProof/>
                <w:webHidden/>
              </w:rPr>
              <w:fldChar w:fldCharType="end"/>
            </w:r>
          </w:hyperlink>
        </w:p>
        <w:p w14:paraId="0B243FAE" w14:textId="46C65737" w:rsidR="000C6CDA" w:rsidRDefault="000C6CDA">
          <w:pPr>
            <w:pStyle w:val="TOC2"/>
            <w:tabs>
              <w:tab w:val="left" w:pos="960"/>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71" w:history="1">
            <w:r w:rsidRPr="004E5CAD">
              <w:rPr>
                <w:rStyle w:val="Hyperlink"/>
                <w:rFonts w:ascii="Calibri" w:hAnsi="Calibri" w:cs="Calibri"/>
                <w:b/>
                <w:noProof/>
              </w:rPr>
              <w:t>V.2.</w:t>
            </w:r>
            <w:r>
              <w:rPr>
                <w:rFonts w:asciiTheme="minorHAnsi" w:eastAsiaTheme="minorEastAsia" w:hAnsiTheme="minorHAnsi" w:cstheme="minorBidi"/>
                <w:noProof/>
                <w:kern w:val="2"/>
                <w:sz w:val="24"/>
                <w:szCs w:val="24"/>
                <w:lang w:eastAsia="ro-RO"/>
                <w14:ligatures w14:val="standardContextual"/>
              </w:rPr>
              <w:tab/>
            </w:r>
            <w:r w:rsidRPr="004E5CAD">
              <w:rPr>
                <w:rStyle w:val="Hyperlink"/>
                <w:rFonts w:ascii="Calibri" w:hAnsi="Calibri" w:cs="Calibri"/>
                <w:b/>
                <w:noProof/>
              </w:rPr>
              <w:t>Structura bugetului pe anul 2025</w:t>
            </w:r>
            <w:r>
              <w:rPr>
                <w:noProof/>
                <w:webHidden/>
              </w:rPr>
              <w:tab/>
            </w:r>
            <w:r>
              <w:rPr>
                <w:noProof/>
                <w:webHidden/>
              </w:rPr>
              <w:fldChar w:fldCharType="begin"/>
            </w:r>
            <w:r>
              <w:rPr>
                <w:noProof/>
                <w:webHidden/>
              </w:rPr>
              <w:instrText xml:space="preserve"> PAGEREF _Toc219287971 \h </w:instrText>
            </w:r>
            <w:r>
              <w:rPr>
                <w:noProof/>
                <w:webHidden/>
              </w:rPr>
            </w:r>
            <w:r>
              <w:rPr>
                <w:noProof/>
                <w:webHidden/>
              </w:rPr>
              <w:fldChar w:fldCharType="separate"/>
            </w:r>
            <w:r>
              <w:rPr>
                <w:noProof/>
                <w:webHidden/>
              </w:rPr>
              <w:t>112</w:t>
            </w:r>
            <w:r>
              <w:rPr>
                <w:noProof/>
                <w:webHidden/>
              </w:rPr>
              <w:fldChar w:fldCharType="end"/>
            </w:r>
          </w:hyperlink>
        </w:p>
        <w:p w14:paraId="08ABA32C" w14:textId="7DDE60D1" w:rsidR="000C6CDA" w:rsidRDefault="000C6CDA">
          <w:pPr>
            <w:pStyle w:val="TOC2"/>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72" w:history="1">
            <w:r w:rsidRPr="004E5CAD">
              <w:rPr>
                <w:rStyle w:val="Hyperlink"/>
                <w:rFonts w:ascii="Calibri" w:hAnsi="Calibri" w:cs="Calibri"/>
                <w:noProof/>
              </w:rPr>
              <w:t>Evoluţia în structură a cheltuielilor aprobate pentru anul 2025 faţă de realizatul anului 2024 este semnificativă, putem observa o creștere în perspectiva anului 2026, aceasta fiind raportată la necesarul real al cheltuielilor.</w:t>
            </w:r>
            <w:r>
              <w:rPr>
                <w:noProof/>
                <w:webHidden/>
              </w:rPr>
              <w:tab/>
            </w:r>
            <w:r>
              <w:rPr>
                <w:noProof/>
                <w:webHidden/>
              </w:rPr>
              <w:fldChar w:fldCharType="begin"/>
            </w:r>
            <w:r>
              <w:rPr>
                <w:noProof/>
                <w:webHidden/>
              </w:rPr>
              <w:instrText xml:space="preserve"> PAGEREF _Toc219287972 \h </w:instrText>
            </w:r>
            <w:r>
              <w:rPr>
                <w:noProof/>
                <w:webHidden/>
              </w:rPr>
            </w:r>
            <w:r>
              <w:rPr>
                <w:noProof/>
                <w:webHidden/>
              </w:rPr>
              <w:fldChar w:fldCharType="separate"/>
            </w:r>
            <w:r>
              <w:rPr>
                <w:noProof/>
                <w:webHidden/>
              </w:rPr>
              <w:t>115</w:t>
            </w:r>
            <w:r>
              <w:rPr>
                <w:noProof/>
                <w:webHidden/>
              </w:rPr>
              <w:fldChar w:fldCharType="end"/>
            </w:r>
          </w:hyperlink>
        </w:p>
        <w:p w14:paraId="3B9F81DC" w14:textId="2F5527CA" w:rsidR="000C6CDA" w:rsidRDefault="000C6CDA">
          <w:pPr>
            <w:pStyle w:val="TOC2"/>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73" w:history="1">
            <w:r w:rsidRPr="004E5CAD">
              <w:rPr>
                <w:rStyle w:val="Hyperlink"/>
                <w:rFonts w:ascii="Calibri" w:hAnsi="Calibri" w:cs="Calibri"/>
                <w:b/>
                <w:noProof/>
              </w:rPr>
              <w:t>V.3. Ponderea bugetelor Institutului Naţional al Magistraturii, Şcolii Naţionale de Grefieri, Inspecției Judiciare şi Consiliului Superior al Magistraturii – aparatul propriu în bugetul total al Consiliului Superior al Magistraturii</w:t>
            </w:r>
            <w:r>
              <w:rPr>
                <w:noProof/>
                <w:webHidden/>
              </w:rPr>
              <w:tab/>
            </w:r>
            <w:r>
              <w:rPr>
                <w:noProof/>
                <w:webHidden/>
              </w:rPr>
              <w:fldChar w:fldCharType="begin"/>
            </w:r>
            <w:r>
              <w:rPr>
                <w:noProof/>
                <w:webHidden/>
              </w:rPr>
              <w:instrText xml:space="preserve"> PAGEREF _Toc219287973 \h </w:instrText>
            </w:r>
            <w:r>
              <w:rPr>
                <w:noProof/>
                <w:webHidden/>
              </w:rPr>
            </w:r>
            <w:r>
              <w:rPr>
                <w:noProof/>
                <w:webHidden/>
              </w:rPr>
              <w:fldChar w:fldCharType="separate"/>
            </w:r>
            <w:r>
              <w:rPr>
                <w:noProof/>
                <w:webHidden/>
              </w:rPr>
              <w:t>117</w:t>
            </w:r>
            <w:r>
              <w:rPr>
                <w:noProof/>
                <w:webHidden/>
              </w:rPr>
              <w:fldChar w:fldCharType="end"/>
            </w:r>
          </w:hyperlink>
        </w:p>
        <w:p w14:paraId="7145BB92" w14:textId="7C90D176" w:rsidR="000C6CDA" w:rsidRDefault="000C6CDA">
          <w:pPr>
            <w:pStyle w:val="TOC1"/>
            <w:rPr>
              <w:rFonts w:asciiTheme="minorHAnsi" w:eastAsiaTheme="minorEastAsia" w:hAnsiTheme="minorHAnsi" w:cstheme="minorBidi"/>
              <w:b w:val="0"/>
              <w:noProof/>
              <w:kern w:val="2"/>
              <w:sz w:val="24"/>
              <w:szCs w:val="24"/>
              <w:lang w:eastAsia="ro-RO"/>
              <w14:ligatures w14:val="standardContextual"/>
            </w:rPr>
          </w:pPr>
          <w:hyperlink w:anchor="_Toc219287974" w:history="1">
            <w:r w:rsidRPr="004E5CAD">
              <w:rPr>
                <w:rStyle w:val="Hyperlink"/>
                <w:rFonts w:cstheme="minorHAnsi"/>
                <w:noProof/>
              </w:rPr>
              <w:t>CAPITOLUL VI</w:t>
            </w:r>
            <w:r>
              <w:rPr>
                <w:noProof/>
                <w:webHidden/>
              </w:rPr>
              <w:tab/>
            </w:r>
            <w:r>
              <w:rPr>
                <w:noProof/>
                <w:webHidden/>
              </w:rPr>
              <w:fldChar w:fldCharType="begin"/>
            </w:r>
            <w:r>
              <w:rPr>
                <w:noProof/>
                <w:webHidden/>
              </w:rPr>
              <w:instrText xml:space="preserve"> PAGEREF _Toc219287974 \h </w:instrText>
            </w:r>
            <w:r>
              <w:rPr>
                <w:noProof/>
                <w:webHidden/>
              </w:rPr>
            </w:r>
            <w:r>
              <w:rPr>
                <w:noProof/>
                <w:webHidden/>
              </w:rPr>
              <w:fldChar w:fldCharType="separate"/>
            </w:r>
            <w:r>
              <w:rPr>
                <w:noProof/>
                <w:webHidden/>
              </w:rPr>
              <w:t>120</w:t>
            </w:r>
            <w:r>
              <w:rPr>
                <w:noProof/>
                <w:webHidden/>
              </w:rPr>
              <w:fldChar w:fldCharType="end"/>
            </w:r>
          </w:hyperlink>
        </w:p>
        <w:p w14:paraId="1B39CA66" w14:textId="26DD5691" w:rsidR="000C6CDA" w:rsidRDefault="000C6CDA">
          <w:pPr>
            <w:pStyle w:val="TOC1"/>
            <w:rPr>
              <w:rFonts w:asciiTheme="minorHAnsi" w:eastAsiaTheme="minorEastAsia" w:hAnsiTheme="minorHAnsi" w:cstheme="minorBidi"/>
              <w:b w:val="0"/>
              <w:noProof/>
              <w:kern w:val="2"/>
              <w:sz w:val="24"/>
              <w:szCs w:val="24"/>
              <w:lang w:eastAsia="ro-RO"/>
              <w14:ligatures w14:val="standardContextual"/>
            </w:rPr>
          </w:pPr>
          <w:hyperlink w:anchor="_Toc219287975" w:history="1">
            <w:r w:rsidRPr="004E5CAD">
              <w:rPr>
                <w:rStyle w:val="Hyperlink"/>
                <w:rFonts w:cstheme="minorHAnsi"/>
                <w:noProof/>
              </w:rPr>
              <w:t>Alte aspecte privind activitatea aparatului propriu de asigurare a suportului tehnic pentru îndeplinirea atribuţiilor Consiliului Superior al Magistraturii</w:t>
            </w:r>
            <w:r>
              <w:rPr>
                <w:noProof/>
                <w:webHidden/>
              </w:rPr>
              <w:tab/>
            </w:r>
            <w:r>
              <w:rPr>
                <w:noProof/>
                <w:webHidden/>
              </w:rPr>
              <w:fldChar w:fldCharType="begin"/>
            </w:r>
            <w:r>
              <w:rPr>
                <w:noProof/>
                <w:webHidden/>
              </w:rPr>
              <w:instrText xml:space="preserve"> PAGEREF _Toc219287975 \h </w:instrText>
            </w:r>
            <w:r>
              <w:rPr>
                <w:noProof/>
                <w:webHidden/>
              </w:rPr>
            </w:r>
            <w:r>
              <w:rPr>
                <w:noProof/>
                <w:webHidden/>
              </w:rPr>
              <w:fldChar w:fldCharType="separate"/>
            </w:r>
            <w:r>
              <w:rPr>
                <w:noProof/>
                <w:webHidden/>
              </w:rPr>
              <w:t>120</w:t>
            </w:r>
            <w:r>
              <w:rPr>
                <w:noProof/>
                <w:webHidden/>
              </w:rPr>
              <w:fldChar w:fldCharType="end"/>
            </w:r>
          </w:hyperlink>
        </w:p>
        <w:p w14:paraId="1316765C" w14:textId="2EBE05D3" w:rsidR="000C6CDA" w:rsidRDefault="000C6CDA">
          <w:pPr>
            <w:pStyle w:val="TOC2"/>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76" w:history="1">
            <w:r w:rsidRPr="004E5CAD">
              <w:rPr>
                <w:rStyle w:val="Hyperlink"/>
                <w:rFonts w:cstheme="minorHAnsi"/>
                <w:noProof/>
              </w:rPr>
              <w:t>VI.1. Activitatea Direcţiei resurse umane şi organizare</w:t>
            </w:r>
            <w:r>
              <w:rPr>
                <w:noProof/>
                <w:webHidden/>
              </w:rPr>
              <w:tab/>
            </w:r>
            <w:r>
              <w:rPr>
                <w:noProof/>
                <w:webHidden/>
              </w:rPr>
              <w:fldChar w:fldCharType="begin"/>
            </w:r>
            <w:r>
              <w:rPr>
                <w:noProof/>
                <w:webHidden/>
              </w:rPr>
              <w:instrText xml:space="preserve"> PAGEREF _Toc219287976 \h </w:instrText>
            </w:r>
            <w:r>
              <w:rPr>
                <w:noProof/>
                <w:webHidden/>
              </w:rPr>
            </w:r>
            <w:r>
              <w:rPr>
                <w:noProof/>
                <w:webHidden/>
              </w:rPr>
              <w:fldChar w:fldCharType="separate"/>
            </w:r>
            <w:r>
              <w:rPr>
                <w:noProof/>
                <w:webHidden/>
              </w:rPr>
              <w:t>120</w:t>
            </w:r>
            <w:r>
              <w:rPr>
                <w:noProof/>
                <w:webHidden/>
              </w:rPr>
              <w:fldChar w:fldCharType="end"/>
            </w:r>
          </w:hyperlink>
        </w:p>
        <w:p w14:paraId="5FC76FF3" w14:textId="4AE924BB" w:rsidR="000C6CDA" w:rsidRDefault="000C6CDA">
          <w:pPr>
            <w:pStyle w:val="TOC2"/>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77" w:history="1">
            <w:r w:rsidRPr="004E5CAD">
              <w:rPr>
                <w:rStyle w:val="Hyperlink"/>
                <w:rFonts w:cstheme="minorHAnsi"/>
                <w:noProof/>
              </w:rPr>
              <w:t>VI.2. Activitatea Direcţiei legislaţie, documentare şi contencios</w:t>
            </w:r>
            <w:r>
              <w:rPr>
                <w:noProof/>
                <w:webHidden/>
              </w:rPr>
              <w:tab/>
            </w:r>
            <w:r>
              <w:rPr>
                <w:noProof/>
                <w:webHidden/>
              </w:rPr>
              <w:fldChar w:fldCharType="begin"/>
            </w:r>
            <w:r>
              <w:rPr>
                <w:noProof/>
                <w:webHidden/>
              </w:rPr>
              <w:instrText xml:space="preserve"> PAGEREF _Toc219287977 \h </w:instrText>
            </w:r>
            <w:r>
              <w:rPr>
                <w:noProof/>
                <w:webHidden/>
              </w:rPr>
            </w:r>
            <w:r>
              <w:rPr>
                <w:noProof/>
                <w:webHidden/>
              </w:rPr>
              <w:fldChar w:fldCharType="separate"/>
            </w:r>
            <w:r>
              <w:rPr>
                <w:noProof/>
                <w:webHidden/>
              </w:rPr>
              <w:t>123</w:t>
            </w:r>
            <w:r>
              <w:rPr>
                <w:noProof/>
                <w:webHidden/>
              </w:rPr>
              <w:fldChar w:fldCharType="end"/>
            </w:r>
          </w:hyperlink>
        </w:p>
        <w:p w14:paraId="011EB6E4" w14:textId="57DB57CC" w:rsidR="000C6CDA" w:rsidRDefault="000C6CDA">
          <w:pPr>
            <w:pStyle w:val="TOC2"/>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78" w:history="1">
            <w:r w:rsidRPr="004E5CAD">
              <w:rPr>
                <w:rStyle w:val="Hyperlink"/>
                <w:rFonts w:cstheme="minorHAnsi"/>
                <w:noProof/>
              </w:rPr>
              <w:t>VI.3. Activitatea Direcţiei afaceri europene, relaţii internaţionale şi programe</w:t>
            </w:r>
            <w:r>
              <w:rPr>
                <w:noProof/>
                <w:webHidden/>
              </w:rPr>
              <w:tab/>
            </w:r>
            <w:r>
              <w:rPr>
                <w:noProof/>
                <w:webHidden/>
              </w:rPr>
              <w:fldChar w:fldCharType="begin"/>
            </w:r>
            <w:r>
              <w:rPr>
                <w:noProof/>
                <w:webHidden/>
              </w:rPr>
              <w:instrText xml:space="preserve"> PAGEREF _Toc219287978 \h </w:instrText>
            </w:r>
            <w:r>
              <w:rPr>
                <w:noProof/>
                <w:webHidden/>
              </w:rPr>
            </w:r>
            <w:r>
              <w:rPr>
                <w:noProof/>
                <w:webHidden/>
              </w:rPr>
              <w:fldChar w:fldCharType="separate"/>
            </w:r>
            <w:r>
              <w:rPr>
                <w:noProof/>
                <w:webHidden/>
              </w:rPr>
              <w:t>127</w:t>
            </w:r>
            <w:r>
              <w:rPr>
                <w:noProof/>
                <w:webHidden/>
              </w:rPr>
              <w:fldChar w:fldCharType="end"/>
            </w:r>
          </w:hyperlink>
        </w:p>
        <w:p w14:paraId="125AF4BD" w14:textId="4156926A" w:rsidR="000C6CDA" w:rsidRDefault="000C6CDA">
          <w:pPr>
            <w:pStyle w:val="TOC3"/>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79" w:history="1">
            <w:r w:rsidRPr="004E5CAD">
              <w:rPr>
                <w:rStyle w:val="Hyperlink"/>
                <w:rFonts w:cstheme="minorHAnsi"/>
                <w:noProof/>
              </w:rPr>
              <w:t xml:space="preserve">VI.3.1. </w:t>
            </w:r>
            <w:r w:rsidRPr="004E5CAD">
              <w:rPr>
                <w:rStyle w:val="Hyperlink"/>
                <w:rFonts w:cstheme="minorHAnsi"/>
                <w:bCs/>
                <w:noProof/>
              </w:rPr>
              <w:t>Activitatea în cadrul Mecanismului privind statul de drept</w:t>
            </w:r>
            <w:r>
              <w:rPr>
                <w:noProof/>
                <w:webHidden/>
              </w:rPr>
              <w:tab/>
            </w:r>
            <w:r>
              <w:rPr>
                <w:noProof/>
                <w:webHidden/>
              </w:rPr>
              <w:fldChar w:fldCharType="begin"/>
            </w:r>
            <w:r>
              <w:rPr>
                <w:noProof/>
                <w:webHidden/>
              </w:rPr>
              <w:instrText xml:space="preserve"> PAGEREF _Toc219287979 \h </w:instrText>
            </w:r>
            <w:r>
              <w:rPr>
                <w:noProof/>
                <w:webHidden/>
              </w:rPr>
            </w:r>
            <w:r>
              <w:rPr>
                <w:noProof/>
                <w:webHidden/>
              </w:rPr>
              <w:fldChar w:fldCharType="separate"/>
            </w:r>
            <w:r>
              <w:rPr>
                <w:noProof/>
                <w:webHidden/>
              </w:rPr>
              <w:t>127</w:t>
            </w:r>
            <w:r>
              <w:rPr>
                <w:noProof/>
                <w:webHidden/>
              </w:rPr>
              <w:fldChar w:fldCharType="end"/>
            </w:r>
          </w:hyperlink>
        </w:p>
        <w:p w14:paraId="466BBB12" w14:textId="59F93B40" w:rsidR="000C6CDA" w:rsidRDefault="000C6CDA">
          <w:pPr>
            <w:pStyle w:val="TOC3"/>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80" w:history="1">
            <w:r w:rsidRPr="004E5CAD">
              <w:rPr>
                <w:rStyle w:val="Hyperlink"/>
                <w:rFonts w:cstheme="minorHAnsi"/>
                <w:noProof/>
              </w:rPr>
              <w:t>VI.3.2. Dezvoltarea dialogului bilateral</w:t>
            </w:r>
            <w:r>
              <w:rPr>
                <w:noProof/>
                <w:webHidden/>
              </w:rPr>
              <w:tab/>
            </w:r>
            <w:r>
              <w:rPr>
                <w:noProof/>
                <w:webHidden/>
              </w:rPr>
              <w:fldChar w:fldCharType="begin"/>
            </w:r>
            <w:r>
              <w:rPr>
                <w:noProof/>
                <w:webHidden/>
              </w:rPr>
              <w:instrText xml:space="preserve"> PAGEREF _Toc219287980 \h </w:instrText>
            </w:r>
            <w:r>
              <w:rPr>
                <w:noProof/>
                <w:webHidden/>
              </w:rPr>
            </w:r>
            <w:r>
              <w:rPr>
                <w:noProof/>
                <w:webHidden/>
              </w:rPr>
              <w:fldChar w:fldCharType="separate"/>
            </w:r>
            <w:r>
              <w:rPr>
                <w:noProof/>
                <w:webHidden/>
              </w:rPr>
              <w:t>128</w:t>
            </w:r>
            <w:r>
              <w:rPr>
                <w:noProof/>
                <w:webHidden/>
              </w:rPr>
              <w:fldChar w:fldCharType="end"/>
            </w:r>
          </w:hyperlink>
        </w:p>
        <w:p w14:paraId="2DF480A9" w14:textId="70CE68F0" w:rsidR="000C6CDA" w:rsidRDefault="000C6CDA">
          <w:pPr>
            <w:pStyle w:val="TOC3"/>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81" w:history="1">
            <w:r w:rsidRPr="004E5CAD">
              <w:rPr>
                <w:rStyle w:val="Hyperlink"/>
                <w:rFonts w:cstheme="minorHAnsi"/>
                <w:noProof/>
              </w:rPr>
              <w:t>VI.3.3. Alte activităţi în domeniul relaţiilor externe</w:t>
            </w:r>
            <w:r>
              <w:rPr>
                <w:noProof/>
                <w:webHidden/>
              </w:rPr>
              <w:tab/>
            </w:r>
            <w:r>
              <w:rPr>
                <w:noProof/>
                <w:webHidden/>
              </w:rPr>
              <w:fldChar w:fldCharType="begin"/>
            </w:r>
            <w:r>
              <w:rPr>
                <w:noProof/>
                <w:webHidden/>
              </w:rPr>
              <w:instrText xml:space="preserve"> PAGEREF _Toc219287981 \h </w:instrText>
            </w:r>
            <w:r>
              <w:rPr>
                <w:noProof/>
                <w:webHidden/>
              </w:rPr>
            </w:r>
            <w:r>
              <w:rPr>
                <w:noProof/>
                <w:webHidden/>
              </w:rPr>
              <w:fldChar w:fldCharType="separate"/>
            </w:r>
            <w:r>
              <w:rPr>
                <w:noProof/>
                <w:webHidden/>
              </w:rPr>
              <w:t>130</w:t>
            </w:r>
            <w:r>
              <w:rPr>
                <w:noProof/>
                <w:webHidden/>
              </w:rPr>
              <w:fldChar w:fldCharType="end"/>
            </w:r>
          </w:hyperlink>
        </w:p>
        <w:p w14:paraId="17F8B0C2" w14:textId="4DCEAC6B" w:rsidR="000C6CDA" w:rsidRDefault="000C6CDA">
          <w:pPr>
            <w:pStyle w:val="TOC3"/>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82" w:history="1">
            <w:r w:rsidRPr="004E5CAD">
              <w:rPr>
                <w:rStyle w:val="Hyperlink"/>
                <w:rFonts w:cstheme="minorHAnsi"/>
                <w:noProof/>
              </w:rPr>
              <w:t>VI.3.4. Activitatea în domeniul programelor cu finanţare europeană şi internaţională</w:t>
            </w:r>
            <w:r>
              <w:rPr>
                <w:noProof/>
                <w:webHidden/>
              </w:rPr>
              <w:tab/>
            </w:r>
            <w:r>
              <w:rPr>
                <w:noProof/>
                <w:webHidden/>
              </w:rPr>
              <w:fldChar w:fldCharType="begin"/>
            </w:r>
            <w:r>
              <w:rPr>
                <w:noProof/>
                <w:webHidden/>
              </w:rPr>
              <w:instrText xml:space="preserve"> PAGEREF _Toc219287982 \h </w:instrText>
            </w:r>
            <w:r>
              <w:rPr>
                <w:noProof/>
                <w:webHidden/>
              </w:rPr>
            </w:r>
            <w:r>
              <w:rPr>
                <w:noProof/>
                <w:webHidden/>
              </w:rPr>
              <w:fldChar w:fldCharType="separate"/>
            </w:r>
            <w:r>
              <w:rPr>
                <w:noProof/>
                <w:webHidden/>
              </w:rPr>
              <w:t>133</w:t>
            </w:r>
            <w:r>
              <w:rPr>
                <w:noProof/>
                <w:webHidden/>
              </w:rPr>
              <w:fldChar w:fldCharType="end"/>
            </w:r>
          </w:hyperlink>
        </w:p>
        <w:p w14:paraId="3AA1C264" w14:textId="4030C9BE" w:rsidR="000C6CDA" w:rsidRDefault="000C6CDA">
          <w:pPr>
            <w:pStyle w:val="TOC2"/>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83" w:history="1">
            <w:r w:rsidRPr="004E5CAD">
              <w:rPr>
                <w:rStyle w:val="Hyperlink"/>
                <w:rFonts w:cstheme="minorHAnsi"/>
                <w:noProof/>
              </w:rPr>
              <w:t>VI.4. Activitatea Serviciului sinteze şi pregătirea lucrărilor şedinţelor Consiliului Superior al Magistraturii</w:t>
            </w:r>
            <w:r>
              <w:rPr>
                <w:noProof/>
                <w:webHidden/>
              </w:rPr>
              <w:tab/>
            </w:r>
            <w:r>
              <w:rPr>
                <w:noProof/>
                <w:webHidden/>
              </w:rPr>
              <w:fldChar w:fldCharType="begin"/>
            </w:r>
            <w:r>
              <w:rPr>
                <w:noProof/>
                <w:webHidden/>
              </w:rPr>
              <w:instrText xml:space="preserve"> PAGEREF _Toc219287983 \h </w:instrText>
            </w:r>
            <w:r>
              <w:rPr>
                <w:noProof/>
                <w:webHidden/>
              </w:rPr>
            </w:r>
            <w:r>
              <w:rPr>
                <w:noProof/>
                <w:webHidden/>
              </w:rPr>
              <w:fldChar w:fldCharType="separate"/>
            </w:r>
            <w:r>
              <w:rPr>
                <w:noProof/>
                <w:webHidden/>
              </w:rPr>
              <w:t>135</w:t>
            </w:r>
            <w:r>
              <w:rPr>
                <w:noProof/>
                <w:webHidden/>
              </w:rPr>
              <w:fldChar w:fldCharType="end"/>
            </w:r>
          </w:hyperlink>
        </w:p>
        <w:p w14:paraId="6AAB4DD8" w14:textId="7F00D495" w:rsidR="000C6CDA" w:rsidRDefault="000C6CDA">
          <w:pPr>
            <w:pStyle w:val="TOC2"/>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84" w:history="1">
            <w:r w:rsidRPr="004E5CAD">
              <w:rPr>
                <w:rStyle w:val="Hyperlink"/>
                <w:rFonts w:cstheme="minorHAnsi"/>
                <w:noProof/>
              </w:rPr>
              <w:t>VI.5. Activitatea Serviciului grefa secțiilor</w:t>
            </w:r>
            <w:r>
              <w:rPr>
                <w:noProof/>
                <w:webHidden/>
              </w:rPr>
              <w:tab/>
            </w:r>
            <w:r>
              <w:rPr>
                <w:noProof/>
                <w:webHidden/>
              </w:rPr>
              <w:fldChar w:fldCharType="begin"/>
            </w:r>
            <w:r>
              <w:rPr>
                <w:noProof/>
                <w:webHidden/>
              </w:rPr>
              <w:instrText xml:space="preserve"> PAGEREF _Toc219287984 \h </w:instrText>
            </w:r>
            <w:r>
              <w:rPr>
                <w:noProof/>
                <w:webHidden/>
              </w:rPr>
            </w:r>
            <w:r>
              <w:rPr>
                <w:noProof/>
                <w:webHidden/>
              </w:rPr>
              <w:fldChar w:fldCharType="separate"/>
            </w:r>
            <w:r>
              <w:rPr>
                <w:noProof/>
                <w:webHidden/>
              </w:rPr>
              <w:t>137</w:t>
            </w:r>
            <w:r>
              <w:rPr>
                <w:noProof/>
                <w:webHidden/>
              </w:rPr>
              <w:fldChar w:fldCharType="end"/>
            </w:r>
          </w:hyperlink>
        </w:p>
        <w:p w14:paraId="48D6374D" w14:textId="3224CE25" w:rsidR="000C6CDA" w:rsidRDefault="000C6CDA">
          <w:pPr>
            <w:pStyle w:val="TOC2"/>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85" w:history="1">
            <w:r w:rsidRPr="004E5CAD">
              <w:rPr>
                <w:rStyle w:val="Hyperlink"/>
                <w:rFonts w:cstheme="minorHAnsi"/>
                <w:noProof/>
              </w:rPr>
              <w:t>VI.6. Activitatea Serviciului de relaţii cu publicul, registratură şi arhivă</w:t>
            </w:r>
            <w:r>
              <w:rPr>
                <w:noProof/>
                <w:webHidden/>
              </w:rPr>
              <w:tab/>
            </w:r>
            <w:r>
              <w:rPr>
                <w:noProof/>
                <w:webHidden/>
              </w:rPr>
              <w:fldChar w:fldCharType="begin"/>
            </w:r>
            <w:r>
              <w:rPr>
                <w:noProof/>
                <w:webHidden/>
              </w:rPr>
              <w:instrText xml:space="preserve"> PAGEREF _Toc219287985 \h </w:instrText>
            </w:r>
            <w:r>
              <w:rPr>
                <w:noProof/>
                <w:webHidden/>
              </w:rPr>
            </w:r>
            <w:r>
              <w:rPr>
                <w:noProof/>
                <w:webHidden/>
              </w:rPr>
              <w:fldChar w:fldCharType="separate"/>
            </w:r>
            <w:r>
              <w:rPr>
                <w:noProof/>
                <w:webHidden/>
              </w:rPr>
              <w:t>137</w:t>
            </w:r>
            <w:r>
              <w:rPr>
                <w:noProof/>
                <w:webHidden/>
              </w:rPr>
              <w:fldChar w:fldCharType="end"/>
            </w:r>
          </w:hyperlink>
        </w:p>
        <w:p w14:paraId="5D146B06" w14:textId="6969A332" w:rsidR="000C6CDA" w:rsidRDefault="000C6CDA">
          <w:pPr>
            <w:pStyle w:val="TOC2"/>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86" w:history="1">
            <w:r w:rsidRPr="004E5CAD">
              <w:rPr>
                <w:rStyle w:val="Hyperlink"/>
                <w:rFonts w:cstheme="minorHAnsi"/>
                <w:noProof/>
              </w:rPr>
              <w:t>VI.7. Activitatea Serviciului de informare publică, relaţii cu mass-media și protecția datelor cu caracter personal</w:t>
            </w:r>
            <w:r>
              <w:rPr>
                <w:noProof/>
                <w:webHidden/>
              </w:rPr>
              <w:tab/>
            </w:r>
            <w:r>
              <w:rPr>
                <w:noProof/>
                <w:webHidden/>
              </w:rPr>
              <w:fldChar w:fldCharType="begin"/>
            </w:r>
            <w:r>
              <w:rPr>
                <w:noProof/>
                <w:webHidden/>
              </w:rPr>
              <w:instrText xml:space="preserve"> PAGEREF _Toc219287986 \h </w:instrText>
            </w:r>
            <w:r>
              <w:rPr>
                <w:noProof/>
                <w:webHidden/>
              </w:rPr>
            </w:r>
            <w:r>
              <w:rPr>
                <w:noProof/>
                <w:webHidden/>
              </w:rPr>
              <w:fldChar w:fldCharType="separate"/>
            </w:r>
            <w:r>
              <w:rPr>
                <w:noProof/>
                <w:webHidden/>
              </w:rPr>
              <w:t>140</w:t>
            </w:r>
            <w:r>
              <w:rPr>
                <w:noProof/>
                <w:webHidden/>
              </w:rPr>
              <w:fldChar w:fldCharType="end"/>
            </w:r>
          </w:hyperlink>
        </w:p>
        <w:p w14:paraId="735AAE27" w14:textId="58861FF8" w:rsidR="000C6CDA" w:rsidRDefault="000C6CDA">
          <w:pPr>
            <w:pStyle w:val="TOC2"/>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87" w:history="1">
            <w:r w:rsidRPr="004E5CAD">
              <w:rPr>
                <w:rStyle w:val="Hyperlink"/>
                <w:rFonts w:cstheme="minorHAnsi"/>
                <w:noProof/>
              </w:rPr>
              <w:t>VI.8. Activitatea Serviciului achiziţii publice, protocol și secretariat</w:t>
            </w:r>
            <w:r>
              <w:rPr>
                <w:noProof/>
                <w:webHidden/>
              </w:rPr>
              <w:tab/>
            </w:r>
            <w:r>
              <w:rPr>
                <w:noProof/>
                <w:webHidden/>
              </w:rPr>
              <w:fldChar w:fldCharType="begin"/>
            </w:r>
            <w:r>
              <w:rPr>
                <w:noProof/>
                <w:webHidden/>
              </w:rPr>
              <w:instrText xml:space="preserve"> PAGEREF _Toc219287987 \h </w:instrText>
            </w:r>
            <w:r>
              <w:rPr>
                <w:noProof/>
                <w:webHidden/>
              </w:rPr>
            </w:r>
            <w:r>
              <w:rPr>
                <w:noProof/>
                <w:webHidden/>
              </w:rPr>
              <w:fldChar w:fldCharType="separate"/>
            </w:r>
            <w:r>
              <w:rPr>
                <w:noProof/>
                <w:webHidden/>
              </w:rPr>
              <w:t>145</w:t>
            </w:r>
            <w:r>
              <w:rPr>
                <w:noProof/>
                <w:webHidden/>
              </w:rPr>
              <w:fldChar w:fldCharType="end"/>
            </w:r>
          </w:hyperlink>
        </w:p>
        <w:p w14:paraId="78D7FA5C" w14:textId="113E2225" w:rsidR="000C6CDA" w:rsidRDefault="000C6CDA">
          <w:pPr>
            <w:pStyle w:val="TOC2"/>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88" w:history="1">
            <w:r w:rsidRPr="004E5CAD">
              <w:rPr>
                <w:rStyle w:val="Hyperlink"/>
                <w:rFonts w:cstheme="minorHAnsi"/>
                <w:noProof/>
              </w:rPr>
              <w:t>VI.9. Activitatea Serviciului informatică şi statistică judiciară</w:t>
            </w:r>
            <w:r>
              <w:rPr>
                <w:noProof/>
                <w:webHidden/>
              </w:rPr>
              <w:tab/>
            </w:r>
            <w:r>
              <w:rPr>
                <w:noProof/>
                <w:webHidden/>
              </w:rPr>
              <w:fldChar w:fldCharType="begin"/>
            </w:r>
            <w:r>
              <w:rPr>
                <w:noProof/>
                <w:webHidden/>
              </w:rPr>
              <w:instrText xml:space="preserve"> PAGEREF _Toc219287988 \h </w:instrText>
            </w:r>
            <w:r>
              <w:rPr>
                <w:noProof/>
                <w:webHidden/>
              </w:rPr>
            </w:r>
            <w:r>
              <w:rPr>
                <w:noProof/>
                <w:webHidden/>
              </w:rPr>
              <w:fldChar w:fldCharType="separate"/>
            </w:r>
            <w:r>
              <w:rPr>
                <w:noProof/>
                <w:webHidden/>
              </w:rPr>
              <w:t>147</w:t>
            </w:r>
            <w:r>
              <w:rPr>
                <w:noProof/>
                <w:webHidden/>
              </w:rPr>
              <w:fldChar w:fldCharType="end"/>
            </w:r>
          </w:hyperlink>
        </w:p>
        <w:p w14:paraId="10ACA6B7" w14:textId="6D461CC6" w:rsidR="000C6CDA" w:rsidRDefault="000C6CDA">
          <w:pPr>
            <w:pStyle w:val="TOC3"/>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89" w:history="1">
            <w:r w:rsidRPr="004E5CAD">
              <w:rPr>
                <w:rStyle w:val="Hyperlink"/>
                <w:rFonts w:cstheme="minorHAnsi"/>
                <w:noProof/>
              </w:rPr>
              <w:t>VI.9.1. Activitatea Compartimentului statistică judiciară</w:t>
            </w:r>
            <w:r>
              <w:rPr>
                <w:noProof/>
                <w:webHidden/>
              </w:rPr>
              <w:tab/>
            </w:r>
            <w:r>
              <w:rPr>
                <w:noProof/>
                <w:webHidden/>
              </w:rPr>
              <w:fldChar w:fldCharType="begin"/>
            </w:r>
            <w:r>
              <w:rPr>
                <w:noProof/>
                <w:webHidden/>
              </w:rPr>
              <w:instrText xml:space="preserve"> PAGEREF _Toc219287989 \h </w:instrText>
            </w:r>
            <w:r>
              <w:rPr>
                <w:noProof/>
                <w:webHidden/>
              </w:rPr>
            </w:r>
            <w:r>
              <w:rPr>
                <w:noProof/>
                <w:webHidden/>
              </w:rPr>
              <w:fldChar w:fldCharType="separate"/>
            </w:r>
            <w:r>
              <w:rPr>
                <w:noProof/>
                <w:webHidden/>
              </w:rPr>
              <w:t>147</w:t>
            </w:r>
            <w:r>
              <w:rPr>
                <w:noProof/>
                <w:webHidden/>
              </w:rPr>
              <w:fldChar w:fldCharType="end"/>
            </w:r>
          </w:hyperlink>
        </w:p>
        <w:p w14:paraId="4A8487BB" w14:textId="3E9F2708" w:rsidR="000C6CDA" w:rsidRDefault="000C6CDA">
          <w:pPr>
            <w:pStyle w:val="TOC3"/>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90" w:history="1">
            <w:r w:rsidRPr="004E5CAD">
              <w:rPr>
                <w:rStyle w:val="Hyperlink"/>
                <w:rFonts w:cstheme="minorHAnsi"/>
                <w:noProof/>
              </w:rPr>
              <w:t>VI.9.2. Activitatea Compartimentului informatică</w:t>
            </w:r>
            <w:r>
              <w:rPr>
                <w:noProof/>
                <w:webHidden/>
              </w:rPr>
              <w:tab/>
            </w:r>
            <w:r>
              <w:rPr>
                <w:noProof/>
                <w:webHidden/>
              </w:rPr>
              <w:fldChar w:fldCharType="begin"/>
            </w:r>
            <w:r>
              <w:rPr>
                <w:noProof/>
                <w:webHidden/>
              </w:rPr>
              <w:instrText xml:space="preserve"> PAGEREF _Toc219287990 \h </w:instrText>
            </w:r>
            <w:r>
              <w:rPr>
                <w:noProof/>
                <w:webHidden/>
              </w:rPr>
            </w:r>
            <w:r>
              <w:rPr>
                <w:noProof/>
                <w:webHidden/>
              </w:rPr>
              <w:fldChar w:fldCharType="separate"/>
            </w:r>
            <w:r>
              <w:rPr>
                <w:noProof/>
                <w:webHidden/>
              </w:rPr>
              <w:t>148</w:t>
            </w:r>
            <w:r>
              <w:rPr>
                <w:noProof/>
                <w:webHidden/>
              </w:rPr>
              <w:fldChar w:fldCharType="end"/>
            </w:r>
          </w:hyperlink>
        </w:p>
        <w:p w14:paraId="5957F530" w14:textId="489B8E42" w:rsidR="000C6CDA" w:rsidRDefault="000C6CDA">
          <w:pPr>
            <w:pStyle w:val="TOC2"/>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91" w:history="1">
            <w:r w:rsidRPr="004E5CAD">
              <w:rPr>
                <w:rStyle w:val="Hyperlink"/>
                <w:rFonts w:cstheme="minorHAnsi"/>
                <w:noProof/>
              </w:rPr>
              <w:t>VI.10. Activitatea Compartimentului de audit public intern</w:t>
            </w:r>
            <w:r>
              <w:rPr>
                <w:noProof/>
                <w:webHidden/>
              </w:rPr>
              <w:tab/>
            </w:r>
            <w:r>
              <w:rPr>
                <w:noProof/>
                <w:webHidden/>
              </w:rPr>
              <w:fldChar w:fldCharType="begin"/>
            </w:r>
            <w:r>
              <w:rPr>
                <w:noProof/>
                <w:webHidden/>
              </w:rPr>
              <w:instrText xml:space="preserve"> PAGEREF _Toc219287991 \h </w:instrText>
            </w:r>
            <w:r>
              <w:rPr>
                <w:noProof/>
                <w:webHidden/>
              </w:rPr>
            </w:r>
            <w:r>
              <w:rPr>
                <w:noProof/>
                <w:webHidden/>
              </w:rPr>
              <w:fldChar w:fldCharType="separate"/>
            </w:r>
            <w:r>
              <w:rPr>
                <w:noProof/>
                <w:webHidden/>
              </w:rPr>
              <w:t>152</w:t>
            </w:r>
            <w:r>
              <w:rPr>
                <w:noProof/>
                <w:webHidden/>
              </w:rPr>
              <w:fldChar w:fldCharType="end"/>
            </w:r>
          </w:hyperlink>
        </w:p>
        <w:p w14:paraId="1E660DA1" w14:textId="1D6716C2" w:rsidR="000C6CDA" w:rsidRDefault="000C6CDA">
          <w:pPr>
            <w:pStyle w:val="TOC2"/>
            <w:tabs>
              <w:tab w:val="right" w:leader="dot" w:pos="10194"/>
            </w:tabs>
            <w:rPr>
              <w:rFonts w:asciiTheme="minorHAnsi" w:eastAsiaTheme="minorEastAsia" w:hAnsiTheme="minorHAnsi" w:cstheme="minorBidi"/>
              <w:noProof/>
              <w:kern w:val="2"/>
              <w:sz w:val="24"/>
              <w:szCs w:val="24"/>
              <w:lang w:eastAsia="ro-RO"/>
              <w14:ligatures w14:val="standardContextual"/>
            </w:rPr>
          </w:pPr>
          <w:hyperlink w:anchor="_Toc219287992" w:history="1">
            <w:r w:rsidRPr="004E5CAD">
              <w:rPr>
                <w:rStyle w:val="Hyperlink"/>
                <w:rFonts w:cstheme="minorHAnsi"/>
                <w:noProof/>
              </w:rPr>
              <w:t>VI.11. Activitatea Compartimentului de psihologie a personalului</w:t>
            </w:r>
            <w:r>
              <w:rPr>
                <w:noProof/>
                <w:webHidden/>
              </w:rPr>
              <w:tab/>
            </w:r>
            <w:r>
              <w:rPr>
                <w:noProof/>
                <w:webHidden/>
              </w:rPr>
              <w:fldChar w:fldCharType="begin"/>
            </w:r>
            <w:r>
              <w:rPr>
                <w:noProof/>
                <w:webHidden/>
              </w:rPr>
              <w:instrText xml:space="preserve"> PAGEREF _Toc219287992 \h </w:instrText>
            </w:r>
            <w:r>
              <w:rPr>
                <w:noProof/>
                <w:webHidden/>
              </w:rPr>
            </w:r>
            <w:r>
              <w:rPr>
                <w:noProof/>
                <w:webHidden/>
              </w:rPr>
              <w:fldChar w:fldCharType="separate"/>
            </w:r>
            <w:r>
              <w:rPr>
                <w:noProof/>
                <w:webHidden/>
              </w:rPr>
              <w:t>153</w:t>
            </w:r>
            <w:r>
              <w:rPr>
                <w:noProof/>
                <w:webHidden/>
              </w:rPr>
              <w:fldChar w:fldCharType="end"/>
            </w:r>
          </w:hyperlink>
        </w:p>
        <w:p w14:paraId="4C258F23" w14:textId="4848B39F" w:rsidR="000C6CDA" w:rsidRDefault="000C6CDA">
          <w:pPr>
            <w:pStyle w:val="TOC1"/>
            <w:rPr>
              <w:rFonts w:asciiTheme="minorHAnsi" w:eastAsiaTheme="minorEastAsia" w:hAnsiTheme="minorHAnsi" w:cstheme="minorBidi"/>
              <w:b w:val="0"/>
              <w:noProof/>
              <w:kern w:val="2"/>
              <w:sz w:val="24"/>
              <w:szCs w:val="24"/>
              <w:lang w:eastAsia="ro-RO"/>
              <w14:ligatures w14:val="standardContextual"/>
            </w:rPr>
          </w:pPr>
          <w:hyperlink w:anchor="_Toc219287993" w:history="1">
            <w:r w:rsidRPr="004E5CAD">
              <w:rPr>
                <w:rStyle w:val="Hyperlink"/>
                <w:rFonts w:cstheme="minorHAnsi"/>
                <w:noProof/>
              </w:rPr>
              <w:t>CAPITOLUL VII</w:t>
            </w:r>
            <w:r>
              <w:rPr>
                <w:noProof/>
                <w:webHidden/>
              </w:rPr>
              <w:tab/>
            </w:r>
            <w:r>
              <w:rPr>
                <w:noProof/>
                <w:webHidden/>
              </w:rPr>
              <w:fldChar w:fldCharType="begin"/>
            </w:r>
            <w:r>
              <w:rPr>
                <w:noProof/>
                <w:webHidden/>
              </w:rPr>
              <w:instrText xml:space="preserve"> PAGEREF _Toc219287993 \h </w:instrText>
            </w:r>
            <w:r>
              <w:rPr>
                <w:noProof/>
                <w:webHidden/>
              </w:rPr>
            </w:r>
            <w:r>
              <w:rPr>
                <w:noProof/>
                <w:webHidden/>
              </w:rPr>
              <w:fldChar w:fldCharType="separate"/>
            </w:r>
            <w:r>
              <w:rPr>
                <w:noProof/>
                <w:webHidden/>
              </w:rPr>
              <w:t>160</w:t>
            </w:r>
            <w:r>
              <w:rPr>
                <w:noProof/>
                <w:webHidden/>
              </w:rPr>
              <w:fldChar w:fldCharType="end"/>
            </w:r>
          </w:hyperlink>
        </w:p>
        <w:p w14:paraId="57F10DA7" w14:textId="64E17849" w:rsidR="000C6CDA" w:rsidRDefault="000C6CDA">
          <w:pPr>
            <w:pStyle w:val="TOC1"/>
            <w:rPr>
              <w:rFonts w:asciiTheme="minorHAnsi" w:eastAsiaTheme="minorEastAsia" w:hAnsiTheme="minorHAnsi" w:cstheme="minorBidi"/>
              <w:b w:val="0"/>
              <w:noProof/>
              <w:kern w:val="2"/>
              <w:sz w:val="24"/>
              <w:szCs w:val="24"/>
              <w:lang w:eastAsia="ro-RO"/>
              <w14:ligatures w14:val="standardContextual"/>
            </w:rPr>
          </w:pPr>
          <w:hyperlink w:anchor="_Toc219287994" w:history="1">
            <w:r w:rsidRPr="004E5CAD">
              <w:rPr>
                <w:rStyle w:val="Hyperlink"/>
                <w:rFonts w:cstheme="minorHAnsi"/>
                <w:noProof/>
              </w:rPr>
              <w:t>Concluzii</w:t>
            </w:r>
            <w:r>
              <w:rPr>
                <w:noProof/>
                <w:webHidden/>
              </w:rPr>
              <w:tab/>
            </w:r>
            <w:r>
              <w:rPr>
                <w:noProof/>
                <w:webHidden/>
              </w:rPr>
              <w:fldChar w:fldCharType="begin"/>
            </w:r>
            <w:r>
              <w:rPr>
                <w:noProof/>
                <w:webHidden/>
              </w:rPr>
              <w:instrText xml:space="preserve"> PAGEREF _Toc219287994 \h </w:instrText>
            </w:r>
            <w:r>
              <w:rPr>
                <w:noProof/>
                <w:webHidden/>
              </w:rPr>
            </w:r>
            <w:r>
              <w:rPr>
                <w:noProof/>
                <w:webHidden/>
              </w:rPr>
              <w:fldChar w:fldCharType="separate"/>
            </w:r>
            <w:r>
              <w:rPr>
                <w:noProof/>
                <w:webHidden/>
              </w:rPr>
              <w:t>160</w:t>
            </w:r>
            <w:r>
              <w:rPr>
                <w:noProof/>
                <w:webHidden/>
              </w:rPr>
              <w:fldChar w:fldCharType="end"/>
            </w:r>
          </w:hyperlink>
        </w:p>
        <w:p w14:paraId="3C574DD7" w14:textId="55A594A3" w:rsidR="005625CB" w:rsidRPr="000F0D8B" w:rsidRDefault="005625CB" w:rsidP="009E3AD8">
          <w:pPr>
            <w:spacing w:line="276" w:lineRule="auto"/>
            <w:rPr>
              <w:rFonts w:asciiTheme="minorHAnsi" w:hAnsiTheme="minorHAnsi" w:cstheme="minorHAnsi"/>
              <w:sz w:val="26"/>
              <w:szCs w:val="26"/>
            </w:rPr>
          </w:pPr>
          <w:r w:rsidRPr="000F0D8B">
            <w:rPr>
              <w:rFonts w:asciiTheme="minorHAnsi" w:hAnsiTheme="minorHAnsi" w:cstheme="minorHAnsi"/>
              <w:b/>
              <w:bCs/>
              <w:sz w:val="26"/>
              <w:szCs w:val="26"/>
            </w:rPr>
            <w:fldChar w:fldCharType="end"/>
          </w:r>
        </w:p>
      </w:sdtContent>
    </w:sdt>
    <w:p w14:paraId="490C905F" w14:textId="77777777" w:rsidR="000B3441" w:rsidRPr="000F0D8B" w:rsidRDefault="000B3441" w:rsidP="009E3AD8">
      <w:pPr>
        <w:widowControl w:val="0"/>
        <w:autoSpaceDE w:val="0"/>
        <w:autoSpaceDN w:val="0"/>
        <w:adjustRightInd w:val="0"/>
        <w:spacing w:line="276" w:lineRule="auto"/>
        <w:ind w:firstLine="851"/>
        <w:rPr>
          <w:rFonts w:asciiTheme="minorHAnsi" w:hAnsiTheme="minorHAnsi" w:cstheme="minorHAnsi"/>
          <w:b/>
          <w:sz w:val="26"/>
          <w:szCs w:val="26"/>
        </w:rPr>
        <w:sectPr w:rsidR="000B3441" w:rsidRPr="000F0D8B" w:rsidSect="00EC1936">
          <w:footerReference w:type="default" r:id="rId11"/>
          <w:pgSz w:w="11906" w:h="16838" w:code="9"/>
          <w:pgMar w:top="567" w:right="851" w:bottom="567" w:left="851" w:header="567" w:footer="284" w:gutter="0"/>
          <w:cols w:space="708"/>
          <w:docGrid w:linePitch="381"/>
        </w:sectPr>
      </w:pPr>
    </w:p>
    <w:p w14:paraId="0B4E11C4" w14:textId="77777777" w:rsidR="00712FF3" w:rsidRPr="000F0D8B" w:rsidRDefault="00712FF3" w:rsidP="009E3AD8">
      <w:pPr>
        <w:widowControl w:val="0"/>
        <w:autoSpaceDE w:val="0"/>
        <w:autoSpaceDN w:val="0"/>
        <w:adjustRightInd w:val="0"/>
        <w:spacing w:line="276" w:lineRule="auto"/>
        <w:ind w:firstLine="851"/>
        <w:rPr>
          <w:rFonts w:asciiTheme="minorHAnsi" w:hAnsiTheme="minorHAnsi" w:cstheme="minorHAnsi"/>
          <w:b/>
          <w:sz w:val="26"/>
          <w:szCs w:val="26"/>
        </w:rPr>
      </w:pPr>
    </w:p>
    <w:p w14:paraId="4EAF7394" w14:textId="52823873" w:rsidR="000B0BA0" w:rsidRPr="000F0D8B" w:rsidRDefault="000B3441" w:rsidP="009E3AD8">
      <w:pPr>
        <w:widowControl w:val="0"/>
        <w:autoSpaceDE w:val="0"/>
        <w:autoSpaceDN w:val="0"/>
        <w:adjustRightInd w:val="0"/>
        <w:spacing w:line="276" w:lineRule="auto"/>
        <w:ind w:firstLine="706"/>
        <w:jc w:val="both"/>
        <w:rPr>
          <w:rFonts w:asciiTheme="minorHAnsi" w:hAnsiTheme="minorHAnsi" w:cstheme="minorHAnsi"/>
          <w:b/>
          <w:sz w:val="26"/>
          <w:szCs w:val="26"/>
        </w:rPr>
      </w:pPr>
      <w:r w:rsidRPr="000F0D8B">
        <w:rPr>
          <w:rFonts w:asciiTheme="minorHAnsi" w:hAnsiTheme="minorHAnsi" w:cstheme="minorHAnsi"/>
          <w:b/>
          <w:sz w:val="26"/>
          <w:szCs w:val="26"/>
        </w:rPr>
        <w:tab/>
      </w:r>
      <w:r w:rsidR="000B0BA0" w:rsidRPr="000F0D8B">
        <w:rPr>
          <w:rFonts w:asciiTheme="minorHAnsi" w:hAnsiTheme="minorHAnsi" w:cstheme="minorHAnsi"/>
          <w:b/>
          <w:sz w:val="26"/>
          <w:szCs w:val="26"/>
        </w:rPr>
        <w:t>Lista abrevierilor</w:t>
      </w:r>
    </w:p>
    <w:p w14:paraId="3BF1E289" w14:textId="77777777" w:rsidR="000B0BA0" w:rsidRPr="000F0D8B" w:rsidRDefault="000B0BA0" w:rsidP="009E3AD8">
      <w:pPr>
        <w:widowControl w:val="0"/>
        <w:autoSpaceDE w:val="0"/>
        <w:autoSpaceDN w:val="0"/>
        <w:adjustRightInd w:val="0"/>
        <w:spacing w:line="276" w:lineRule="auto"/>
        <w:ind w:firstLine="706"/>
        <w:jc w:val="both"/>
        <w:rPr>
          <w:rFonts w:asciiTheme="minorHAnsi" w:hAnsiTheme="minorHAnsi" w:cstheme="minorHAnsi"/>
          <w:b/>
          <w:sz w:val="26"/>
          <w:szCs w:val="26"/>
        </w:rPr>
      </w:pPr>
    </w:p>
    <w:p w14:paraId="498C7F94" w14:textId="77777777" w:rsidR="000B0BA0" w:rsidRPr="000F0D8B" w:rsidRDefault="000B0BA0" w:rsidP="009E3AD8">
      <w:pPr>
        <w:spacing w:line="276" w:lineRule="auto"/>
        <w:ind w:left="708"/>
        <w:jc w:val="both"/>
        <w:rPr>
          <w:rFonts w:asciiTheme="minorHAnsi" w:hAnsiTheme="minorHAnsi" w:cstheme="minorHAnsi"/>
          <w:sz w:val="26"/>
          <w:szCs w:val="26"/>
        </w:rPr>
      </w:pPr>
      <w:r w:rsidRPr="000F0D8B">
        <w:rPr>
          <w:rFonts w:asciiTheme="minorHAnsi" w:hAnsiTheme="minorHAnsi" w:cstheme="minorHAnsi"/>
          <w:sz w:val="26"/>
          <w:szCs w:val="26"/>
        </w:rPr>
        <w:t>art./Art. - articol</w:t>
      </w:r>
    </w:p>
    <w:p w14:paraId="2E073A7E" w14:textId="77777777" w:rsidR="000B0BA0" w:rsidRPr="000F0D8B" w:rsidRDefault="000B0BA0" w:rsidP="009E3AD8">
      <w:pPr>
        <w:spacing w:line="276" w:lineRule="auto"/>
        <w:ind w:left="708"/>
        <w:jc w:val="both"/>
        <w:rPr>
          <w:rFonts w:asciiTheme="minorHAnsi" w:hAnsiTheme="minorHAnsi" w:cstheme="minorHAnsi"/>
          <w:sz w:val="26"/>
          <w:szCs w:val="26"/>
        </w:rPr>
      </w:pPr>
      <w:r w:rsidRPr="000F0D8B">
        <w:rPr>
          <w:rFonts w:asciiTheme="minorHAnsi" w:hAnsiTheme="minorHAnsi" w:cstheme="minorHAnsi"/>
          <w:sz w:val="26"/>
          <w:szCs w:val="26"/>
        </w:rPr>
        <w:t>C.C.J.E. - Consiliul Consultativ al Judecătorilor Europeni</w:t>
      </w:r>
    </w:p>
    <w:p w14:paraId="665BB290" w14:textId="77777777" w:rsidR="000B0BA0" w:rsidRPr="000F0D8B" w:rsidRDefault="000B0BA0" w:rsidP="009E3AD8">
      <w:pPr>
        <w:spacing w:line="276" w:lineRule="auto"/>
        <w:ind w:left="708"/>
        <w:jc w:val="both"/>
        <w:rPr>
          <w:rFonts w:asciiTheme="minorHAnsi" w:hAnsiTheme="minorHAnsi" w:cstheme="minorHAnsi"/>
          <w:sz w:val="26"/>
          <w:szCs w:val="26"/>
        </w:rPr>
      </w:pPr>
      <w:r w:rsidRPr="000F0D8B">
        <w:rPr>
          <w:rFonts w:asciiTheme="minorHAnsi" w:hAnsiTheme="minorHAnsi" w:cstheme="minorHAnsi"/>
          <w:sz w:val="26"/>
          <w:szCs w:val="26"/>
        </w:rPr>
        <w:t>C.E. - Comisia Europeană</w:t>
      </w:r>
    </w:p>
    <w:p w14:paraId="66DE2064" w14:textId="77777777" w:rsidR="000B0BA0" w:rsidRPr="000F0D8B" w:rsidRDefault="000B0BA0" w:rsidP="009E3AD8">
      <w:pPr>
        <w:spacing w:line="276" w:lineRule="auto"/>
        <w:ind w:left="708"/>
        <w:jc w:val="both"/>
        <w:rPr>
          <w:rFonts w:asciiTheme="minorHAnsi" w:hAnsiTheme="minorHAnsi" w:cstheme="minorHAnsi"/>
          <w:sz w:val="26"/>
          <w:szCs w:val="26"/>
        </w:rPr>
      </w:pPr>
      <w:r w:rsidRPr="000F0D8B">
        <w:rPr>
          <w:rFonts w:asciiTheme="minorHAnsi" w:hAnsiTheme="minorHAnsi" w:cstheme="minorHAnsi"/>
          <w:sz w:val="26"/>
          <w:szCs w:val="26"/>
        </w:rPr>
        <w:t xml:space="preserve">C.E.D.O. - Curtea Europeană a Drepturilor Omului </w:t>
      </w:r>
    </w:p>
    <w:p w14:paraId="728D939C" w14:textId="77777777" w:rsidR="000B0BA0" w:rsidRPr="000F0D8B" w:rsidRDefault="000B0BA0" w:rsidP="009E3AD8">
      <w:pPr>
        <w:spacing w:line="276" w:lineRule="auto"/>
        <w:ind w:left="708"/>
        <w:jc w:val="both"/>
        <w:rPr>
          <w:rFonts w:asciiTheme="minorHAnsi" w:hAnsiTheme="minorHAnsi" w:cstheme="minorHAnsi"/>
          <w:sz w:val="26"/>
          <w:szCs w:val="26"/>
        </w:rPr>
      </w:pPr>
      <w:r w:rsidRPr="000F0D8B">
        <w:rPr>
          <w:rFonts w:asciiTheme="minorHAnsi" w:hAnsiTheme="minorHAnsi" w:cstheme="minorHAnsi"/>
          <w:sz w:val="26"/>
          <w:szCs w:val="26"/>
        </w:rPr>
        <w:t>C.E.P.E.J. - Comisia Europeană pentru Eficienţa Justiţiei</w:t>
      </w:r>
    </w:p>
    <w:p w14:paraId="3C64CE78" w14:textId="77777777" w:rsidR="000B0BA0" w:rsidRPr="000F0D8B" w:rsidRDefault="000B0BA0" w:rsidP="009E3AD8">
      <w:pPr>
        <w:spacing w:line="276" w:lineRule="auto"/>
        <w:ind w:left="708"/>
        <w:jc w:val="both"/>
        <w:rPr>
          <w:rFonts w:asciiTheme="minorHAnsi" w:hAnsiTheme="minorHAnsi" w:cstheme="minorHAnsi"/>
          <w:sz w:val="26"/>
          <w:szCs w:val="26"/>
        </w:rPr>
      </w:pPr>
      <w:r w:rsidRPr="000F0D8B">
        <w:rPr>
          <w:rFonts w:asciiTheme="minorHAnsi" w:hAnsiTheme="minorHAnsi" w:cstheme="minorHAnsi"/>
          <w:sz w:val="26"/>
          <w:szCs w:val="26"/>
        </w:rPr>
        <w:t>C.J.U.E. - Curtea de Justiţie a Uniunii Europene</w:t>
      </w:r>
    </w:p>
    <w:p w14:paraId="0251A2BF" w14:textId="77777777" w:rsidR="000B0BA0" w:rsidRPr="000F0D8B" w:rsidRDefault="000B0BA0" w:rsidP="009E3AD8">
      <w:pPr>
        <w:tabs>
          <w:tab w:val="left" w:pos="684"/>
        </w:tabs>
        <w:spacing w:line="276" w:lineRule="auto"/>
        <w:ind w:left="708"/>
        <w:jc w:val="both"/>
        <w:rPr>
          <w:rFonts w:asciiTheme="minorHAnsi" w:hAnsiTheme="minorHAnsi" w:cstheme="minorHAnsi"/>
          <w:sz w:val="26"/>
          <w:szCs w:val="26"/>
        </w:rPr>
      </w:pPr>
      <w:r w:rsidRPr="000F0D8B">
        <w:rPr>
          <w:rFonts w:asciiTheme="minorHAnsi" w:hAnsiTheme="minorHAnsi" w:cstheme="minorHAnsi"/>
          <w:sz w:val="26"/>
          <w:szCs w:val="26"/>
        </w:rPr>
        <w:t>C.S.M. - Consiliul Superior al Magistraturii</w:t>
      </w:r>
    </w:p>
    <w:p w14:paraId="1BA1F892" w14:textId="5F7B63A4" w:rsidR="00F80017" w:rsidRPr="000F0D8B" w:rsidRDefault="00F80017" w:rsidP="009E3AD8">
      <w:pPr>
        <w:tabs>
          <w:tab w:val="left" w:pos="684"/>
        </w:tabs>
        <w:spacing w:line="276" w:lineRule="auto"/>
        <w:ind w:left="708"/>
        <w:jc w:val="both"/>
        <w:rPr>
          <w:rFonts w:asciiTheme="minorHAnsi" w:hAnsiTheme="minorHAnsi" w:cstheme="minorHAnsi"/>
          <w:sz w:val="26"/>
          <w:szCs w:val="26"/>
        </w:rPr>
      </w:pPr>
      <w:r w:rsidRPr="008832FB">
        <w:rPr>
          <w:rFonts w:asciiTheme="minorHAnsi" w:hAnsiTheme="minorHAnsi" w:cstheme="minorHAnsi"/>
          <w:sz w:val="26"/>
          <w:szCs w:val="26"/>
          <w:lang w:eastAsia="en-GB"/>
        </w:rPr>
        <w:t>C</w:t>
      </w:r>
      <w:r w:rsidRPr="000F0D8B">
        <w:rPr>
          <w:rFonts w:asciiTheme="minorHAnsi" w:hAnsiTheme="minorHAnsi" w:cstheme="minorHAnsi"/>
          <w:sz w:val="26"/>
          <w:szCs w:val="26"/>
          <w:lang w:eastAsia="en-GB"/>
        </w:rPr>
        <w:t>.</w:t>
      </w:r>
      <w:r w:rsidRPr="008832FB">
        <w:rPr>
          <w:rFonts w:asciiTheme="minorHAnsi" w:hAnsiTheme="minorHAnsi" w:cstheme="minorHAnsi"/>
          <w:sz w:val="26"/>
          <w:szCs w:val="26"/>
          <w:lang w:eastAsia="en-GB"/>
        </w:rPr>
        <w:t>P</w:t>
      </w:r>
      <w:r w:rsidRPr="000F0D8B">
        <w:rPr>
          <w:rFonts w:asciiTheme="minorHAnsi" w:hAnsiTheme="minorHAnsi" w:cstheme="minorHAnsi"/>
          <w:sz w:val="26"/>
          <w:szCs w:val="26"/>
          <w:lang w:eastAsia="en-GB"/>
        </w:rPr>
        <w:t>.</w:t>
      </w:r>
      <w:r w:rsidRPr="008832FB">
        <w:rPr>
          <w:rFonts w:asciiTheme="minorHAnsi" w:hAnsiTheme="minorHAnsi" w:cstheme="minorHAnsi"/>
          <w:sz w:val="26"/>
          <w:szCs w:val="26"/>
          <w:lang w:eastAsia="en-GB"/>
        </w:rPr>
        <w:t>P</w:t>
      </w:r>
      <w:r w:rsidRPr="000F0D8B">
        <w:rPr>
          <w:rFonts w:asciiTheme="minorHAnsi" w:hAnsiTheme="minorHAnsi" w:cstheme="minorHAnsi"/>
          <w:sz w:val="26"/>
          <w:szCs w:val="26"/>
          <w:lang w:eastAsia="en-GB"/>
        </w:rPr>
        <w:t xml:space="preserve">. - </w:t>
      </w:r>
      <w:r w:rsidRPr="008832FB">
        <w:rPr>
          <w:rFonts w:asciiTheme="minorHAnsi" w:hAnsiTheme="minorHAnsi" w:cstheme="minorHAnsi"/>
          <w:sz w:val="26"/>
          <w:szCs w:val="26"/>
          <w:lang w:eastAsia="en-GB"/>
        </w:rPr>
        <w:t xml:space="preserve">Compartimentul de  psihologie  a  personalului </w:t>
      </w:r>
    </w:p>
    <w:p w14:paraId="10DD2200" w14:textId="77777777" w:rsidR="000B0BA0" w:rsidRPr="000F0D8B" w:rsidRDefault="000B0BA0" w:rsidP="009E3AD8">
      <w:pPr>
        <w:spacing w:line="276" w:lineRule="auto"/>
        <w:ind w:left="708"/>
        <w:jc w:val="both"/>
        <w:rPr>
          <w:rFonts w:asciiTheme="minorHAnsi" w:hAnsiTheme="minorHAnsi" w:cstheme="minorHAnsi"/>
          <w:sz w:val="26"/>
          <w:szCs w:val="26"/>
        </w:rPr>
      </w:pPr>
      <w:r w:rsidRPr="000F0D8B">
        <w:rPr>
          <w:rFonts w:asciiTheme="minorHAnsi" w:hAnsiTheme="minorHAnsi" w:cstheme="minorHAnsi"/>
          <w:sz w:val="26"/>
          <w:szCs w:val="26"/>
        </w:rPr>
        <w:t>D.A.E.R.I.P. - Direcţia Afaceri Europene, relaţii internaţionale, programe</w:t>
      </w:r>
    </w:p>
    <w:p w14:paraId="0E6E1EB7" w14:textId="77777777" w:rsidR="000B0BA0" w:rsidRPr="000F0D8B" w:rsidRDefault="000B0BA0" w:rsidP="009E3AD8">
      <w:pPr>
        <w:spacing w:line="276" w:lineRule="auto"/>
        <w:ind w:left="708"/>
        <w:jc w:val="both"/>
        <w:rPr>
          <w:rFonts w:asciiTheme="minorHAnsi" w:hAnsiTheme="minorHAnsi" w:cstheme="minorHAnsi"/>
          <w:sz w:val="26"/>
          <w:szCs w:val="26"/>
        </w:rPr>
      </w:pPr>
      <w:r w:rsidRPr="000F0D8B">
        <w:rPr>
          <w:rFonts w:asciiTheme="minorHAnsi" w:hAnsiTheme="minorHAnsi" w:cstheme="minorHAnsi"/>
          <w:sz w:val="26"/>
          <w:szCs w:val="26"/>
        </w:rPr>
        <w:t>D.I.I.C.O.T. - Direcţia de Investigare a Infracţiunilor de Criminalitate Organizată şi Terorism</w:t>
      </w:r>
    </w:p>
    <w:p w14:paraId="319D0C40" w14:textId="77777777" w:rsidR="000B0BA0" w:rsidRPr="000F0D8B" w:rsidRDefault="000B0BA0" w:rsidP="009E3AD8">
      <w:pPr>
        <w:spacing w:line="276" w:lineRule="auto"/>
        <w:ind w:left="708"/>
        <w:jc w:val="both"/>
        <w:rPr>
          <w:rFonts w:asciiTheme="minorHAnsi" w:hAnsiTheme="minorHAnsi" w:cstheme="minorHAnsi"/>
          <w:sz w:val="26"/>
          <w:szCs w:val="26"/>
        </w:rPr>
      </w:pPr>
      <w:r w:rsidRPr="000F0D8B">
        <w:rPr>
          <w:rFonts w:asciiTheme="minorHAnsi" w:hAnsiTheme="minorHAnsi" w:cstheme="minorHAnsi"/>
          <w:sz w:val="26"/>
          <w:szCs w:val="26"/>
        </w:rPr>
        <w:t>D.L.D.C. - Direcţia legislaţie, documentare şi contencios</w:t>
      </w:r>
    </w:p>
    <w:p w14:paraId="70EBCECF" w14:textId="77777777" w:rsidR="000B0BA0" w:rsidRPr="000F0D8B" w:rsidRDefault="000B0BA0" w:rsidP="009E3AD8">
      <w:pPr>
        <w:tabs>
          <w:tab w:val="center" w:pos="5202"/>
        </w:tabs>
        <w:spacing w:line="276" w:lineRule="auto"/>
        <w:ind w:left="708"/>
        <w:jc w:val="both"/>
        <w:rPr>
          <w:rFonts w:asciiTheme="minorHAnsi" w:hAnsiTheme="minorHAnsi" w:cstheme="minorHAnsi"/>
          <w:sz w:val="26"/>
          <w:szCs w:val="26"/>
        </w:rPr>
      </w:pPr>
      <w:r w:rsidRPr="000F0D8B">
        <w:rPr>
          <w:rFonts w:asciiTheme="minorHAnsi" w:hAnsiTheme="minorHAnsi" w:cstheme="minorHAnsi"/>
          <w:sz w:val="26"/>
          <w:szCs w:val="26"/>
        </w:rPr>
        <w:t>D.N.A. - Direcţia Naţională Anticorupţie</w:t>
      </w:r>
      <w:r w:rsidRPr="000F0D8B">
        <w:rPr>
          <w:rFonts w:asciiTheme="minorHAnsi" w:hAnsiTheme="minorHAnsi" w:cstheme="minorHAnsi"/>
          <w:sz w:val="26"/>
          <w:szCs w:val="26"/>
        </w:rPr>
        <w:tab/>
      </w:r>
    </w:p>
    <w:p w14:paraId="2169DA0E" w14:textId="77777777" w:rsidR="000B0BA0" w:rsidRPr="000F0D8B" w:rsidRDefault="000B0BA0" w:rsidP="009E3AD8">
      <w:pPr>
        <w:spacing w:line="276" w:lineRule="auto"/>
        <w:ind w:left="708"/>
        <w:jc w:val="both"/>
        <w:rPr>
          <w:rFonts w:asciiTheme="minorHAnsi" w:hAnsiTheme="minorHAnsi" w:cstheme="minorHAnsi"/>
          <w:sz w:val="26"/>
          <w:szCs w:val="26"/>
        </w:rPr>
      </w:pPr>
      <w:r w:rsidRPr="000F0D8B">
        <w:rPr>
          <w:rFonts w:asciiTheme="minorHAnsi" w:hAnsiTheme="minorHAnsi" w:cstheme="minorHAnsi"/>
          <w:sz w:val="26"/>
          <w:szCs w:val="26"/>
        </w:rPr>
        <w:t>E.J.T.N./R.E.F.J. - Reţeaua Europeană de Formare Judiciară</w:t>
      </w:r>
    </w:p>
    <w:p w14:paraId="74DF127D" w14:textId="77777777" w:rsidR="000B0BA0" w:rsidRPr="000F0D8B" w:rsidRDefault="000B0BA0" w:rsidP="009E3AD8">
      <w:pPr>
        <w:spacing w:line="276" w:lineRule="auto"/>
        <w:ind w:left="708"/>
        <w:jc w:val="both"/>
        <w:rPr>
          <w:rFonts w:asciiTheme="minorHAnsi" w:hAnsiTheme="minorHAnsi" w:cstheme="minorHAnsi"/>
          <w:sz w:val="26"/>
          <w:szCs w:val="26"/>
        </w:rPr>
      </w:pPr>
      <w:r w:rsidRPr="000F0D8B">
        <w:rPr>
          <w:rFonts w:asciiTheme="minorHAnsi" w:hAnsiTheme="minorHAnsi" w:cstheme="minorHAnsi"/>
          <w:sz w:val="26"/>
          <w:szCs w:val="26"/>
        </w:rPr>
        <w:t>E.N.M. - Şcoala Naţională de Magistratură</w:t>
      </w:r>
    </w:p>
    <w:p w14:paraId="15F40FB0" w14:textId="5F168C2A" w:rsidR="00325D8E" w:rsidRPr="000F0D8B" w:rsidRDefault="00325D8E" w:rsidP="009E3AD8">
      <w:pPr>
        <w:spacing w:line="276" w:lineRule="auto"/>
        <w:ind w:left="708"/>
        <w:jc w:val="both"/>
        <w:rPr>
          <w:rFonts w:asciiTheme="minorHAnsi" w:hAnsiTheme="minorHAnsi" w:cstheme="minorHAnsi"/>
          <w:sz w:val="26"/>
          <w:szCs w:val="26"/>
        </w:rPr>
      </w:pPr>
      <w:r w:rsidRPr="000F0D8B">
        <w:rPr>
          <w:rFonts w:asciiTheme="minorHAnsi" w:hAnsiTheme="minorHAnsi" w:cstheme="minorHAnsi"/>
          <w:sz w:val="26"/>
          <w:szCs w:val="26"/>
        </w:rPr>
        <w:t xml:space="preserve">E.P.P.O. - Parchetul European </w:t>
      </w:r>
    </w:p>
    <w:p w14:paraId="2CD54996" w14:textId="77777777" w:rsidR="000B0BA0" w:rsidRPr="000F0D8B" w:rsidRDefault="000B0BA0" w:rsidP="009E3AD8">
      <w:pPr>
        <w:spacing w:line="276" w:lineRule="auto"/>
        <w:ind w:left="708"/>
        <w:jc w:val="both"/>
        <w:rPr>
          <w:rFonts w:asciiTheme="minorHAnsi" w:hAnsiTheme="minorHAnsi" w:cstheme="minorHAnsi"/>
          <w:sz w:val="26"/>
          <w:szCs w:val="26"/>
        </w:rPr>
      </w:pPr>
      <w:r w:rsidRPr="000F0D8B">
        <w:rPr>
          <w:rFonts w:asciiTheme="minorHAnsi" w:hAnsiTheme="minorHAnsi" w:cstheme="minorHAnsi"/>
          <w:sz w:val="26"/>
          <w:szCs w:val="26"/>
        </w:rPr>
        <w:t>E.R.A. - Academia de Drept European</w:t>
      </w:r>
    </w:p>
    <w:p w14:paraId="4DE53BB2" w14:textId="324DC6E4" w:rsidR="00751AD1" w:rsidRPr="000F0D8B" w:rsidRDefault="00751AD1" w:rsidP="009E3AD8">
      <w:pPr>
        <w:spacing w:line="276" w:lineRule="auto"/>
        <w:ind w:left="708"/>
        <w:jc w:val="both"/>
        <w:rPr>
          <w:rFonts w:asciiTheme="minorHAnsi" w:hAnsiTheme="minorHAnsi" w:cstheme="minorHAnsi"/>
          <w:sz w:val="26"/>
          <w:szCs w:val="26"/>
        </w:rPr>
      </w:pPr>
      <w:r w:rsidRPr="000F0D8B">
        <w:rPr>
          <w:rFonts w:asciiTheme="minorHAnsi" w:hAnsiTheme="minorHAnsi" w:cstheme="minorHAnsi"/>
          <w:sz w:val="26"/>
          <w:szCs w:val="26"/>
        </w:rPr>
        <w:t>F.R.A. - Agenția Europeană a Drepturilor Omului</w:t>
      </w:r>
    </w:p>
    <w:p w14:paraId="0D74C2DB" w14:textId="77777777" w:rsidR="000B0BA0" w:rsidRPr="000F0D8B" w:rsidRDefault="000B0BA0" w:rsidP="009E3AD8">
      <w:pPr>
        <w:spacing w:line="276" w:lineRule="auto"/>
        <w:ind w:left="708"/>
        <w:jc w:val="both"/>
        <w:rPr>
          <w:rFonts w:asciiTheme="minorHAnsi" w:hAnsiTheme="minorHAnsi" w:cstheme="minorHAnsi"/>
          <w:sz w:val="26"/>
          <w:szCs w:val="26"/>
        </w:rPr>
      </w:pPr>
      <w:r w:rsidRPr="000F0D8B">
        <w:rPr>
          <w:rFonts w:asciiTheme="minorHAnsi" w:hAnsiTheme="minorHAnsi" w:cstheme="minorHAnsi"/>
          <w:sz w:val="26"/>
          <w:szCs w:val="26"/>
        </w:rPr>
        <w:t>H.G. - Hotărârea Guvernului României</w:t>
      </w:r>
    </w:p>
    <w:p w14:paraId="53640A59" w14:textId="77777777" w:rsidR="000B0BA0" w:rsidRPr="000F0D8B" w:rsidRDefault="000B0BA0" w:rsidP="009E3AD8">
      <w:pPr>
        <w:spacing w:line="276" w:lineRule="auto"/>
        <w:ind w:left="708"/>
        <w:jc w:val="both"/>
        <w:rPr>
          <w:rFonts w:asciiTheme="minorHAnsi" w:hAnsiTheme="minorHAnsi" w:cstheme="minorHAnsi"/>
          <w:sz w:val="26"/>
          <w:szCs w:val="26"/>
        </w:rPr>
      </w:pPr>
      <w:r w:rsidRPr="000F0D8B">
        <w:rPr>
          <w:rFonts w:asciiTheme="minorHAnsi" w:hAnsiTheme="minorHAnsi" w:cstheme="minorHAnsi"/>
          <w:sz w:val="26"/>
          <w:szCs w:val="26"/>
        </w:rPr>
        <w:t>Hot. - hotărâre</w:t>
      </w:r>
    </w:p>
    <w:p w14:paraId="3FEDDA6A" w14:textId="77777777" w:rsidR="000B0BA0" w:rsidRPr="000F0D8B" w:rsidRDefault="000B0BA0" w:rsidP="009E3AD8">
      <w:pPr>
        <w:spacing w:line="276" w:lineRule="auto"/>
        <w:ind w:left="708"/>
        <w:jc w:val="both"/>
        <w:rPr>
          <w:rFonts w:asciiTheme="minorHAnsi" w:hAnsiTheme="minorHAnsi" w:cstheme="minorHAnsi"/>
          <w:sz w:val="26"/>
          <w:szCs w:val="26"/>
        </w:rPr>
      </w:pPr>
      <w:r w:rsidRPr="000F0D8B">
        <w:rPr>
          <w:rFonts w:asciiTheme="minorHAnsi" w:hAnsiTheme="minorHAnsi" w:cstheme="minorHAnsi"/>
          <w:sz w:val="26"/>
          <w:szCs w:val="26"/>
        </w:rPr>
        <w:t>I.G.P.R. - Inspectoratul General al Poliţiei Române</w:t>
      </w:r>
    </w:p>
    <w:p w14:paraId="22E0E56F" w14:textId="77777777" w:rsidR="000B0BA0" w:rsidRPr="000F0D8B" w:rsidRDefault="000B0BA0" w:rsidP="009E3AD8">
      <w:pPr>
        <w:spacing w:line="276" w:lineRule="auto"/>
        <w:ind w:left="708"/>
        <w:jc w:val="both"/>
        <w:rPr>
          <w:rFonts w:asciiTheme="minorHAnsi" w:hAnsiTheme="minorHAnsi" w:cstheme="minorHAnsi"/>
          <w:sz w:val="26"/>
          <w:szCs w:val="26"/>
        </w:rPr>
      </w:pPr>
      <w:r w:rsidRPr="000F0D8B">
        <w:rPr>
          <w:rFonts w:asciiTheme="minorHAnsi" w:hAnsiTheme="minorHAnsi" w:cstheme="minorHAnsi"/>
          <w:sz w:val="26"/>
          <w:szCs w:val="26"/>
        </w:rPr>
        <w:t>I.J. - Inspecţia Judiciară</w:t>
      </w:r>
    </w:p>
    <w:p w14:paraId="28CE8D65" w14:textId="77777777" w:rsidR="000B0BA0" w:rsidRPr="000F0D8B" w:rsidRDefault="000B0BA0" w:rsidP="009E3AD8">
      <w:pPr>
        <w:spacing w:line="276" w:lineRule="auto"/>
        <w:ind w:left="708"/>
        <w:jc w:val="both"/>
        <w:rPr>
          <w:rFonts w:asciiTheme="minorHAnsi" w:hAnsiTheme="minorHAnsi" w:cstheme="minorHAnsi"/>
          <w:sz w:val="26"/>
          <w:szCs w:val="26"/>
        </w:rPr>
      </w:pPr>
      <w:r w:rsidRPr="000F0D8B">
        <w:rPr>
          <w:rFonts w:asciiTheme="minorHAnsi" w:hAnsiTheme="minorHAnsi" w:cstheme="minorHAnsi"/>
          <w:sz w:val="26"/>
          <w:szCs w:val="26"/>
        </w:rPr>
        <w:t>I.N.E.C. - Institutul Naţional de Expertize Criminalistice</w:t>
      </w:r>
    </w:p>
    <w:p w14:paraId="17132CC4" w14:textId="77777777" w:rsidR="000B0BA0" w:rsidRPr="000F0D8B" w:rsidRDefault="000B0BA0" w:rsidP="009E3AD8">
      <w:pPr>
        <w:spacing w:line="276" w:lineRule="auto"/>
        <w:ind w:left="708"/>
        <w:jc w:val="both"/>
        <w:rPr>
          <w:rFonts w:asciiTheme="minorHAnsi" w:hAnsiTheme="minorHAnsi" w:cstheme="minorHAnsi"/>
          <w:sz w:val="26"/>
          <w:szCs w:val="26"/>
        </w:rPr>
      </w:pPr>
      <w:r w:rsidRPr="000F0D8B">
        <w:rPr>
          <w:rFonts w:asciiTheme="minorHAnsi" w:hAnsiTheme="minorHAnsi" w:cstheme="minorHAnsi"/>
          <w:sz w:val="26"/>
          <w:szCs w:val="26"/>
        </w:rPr>
        <w:t xml:space="preserve">I.N.M. - Institutul Naţional al Magistraturii </w:t>
      </w:r>
    </w:p>
    <w:p w14:paraId="55A92335" w14:textId="77777777" w:rsidR="000B0BA0" w:rsidRPr="000F0D8B" w:rsidRDefault="000B0BA0" w:rsidP="009E3AD8">
      <w:pPr>
        <w:spacing w:line="276" w:lineRule="auto"/>
        <w:ind w:left="708"/>
        <w:jc w:val="both"/>
        <w:rPr>
          <w:rFonts w:asciiTheme="minorHAnsi" w:hAnsiTheme="minorHAnsi" w:cstheme="minorHAnsi"/>
          <w:sz w:val="26"/>
          <w:szCs w:val="26"/>
        </w:rPr>
      </w:pPr>
      <w:r w:rsidRPr="000F0D8B">
        <w:rPr>
          <w:rFonts w:asciiTheme="minorHAnsi" w:hAnsiTheme="minorHAnsi" w:cstheme="minorHAnsi"/>
          <w:sz w:val="26"/>
          <w:szCs w:val="26"/>
        </w:rPr>
        <w:t>Î.C.C.J. - Înalta Curte de Casaţie şi Justiţie</w:t>
      </w:r>
    </w:p>
    <w:p w14:paraId="54B89772" w14:textId="77777777" w:rsidR="000B0BA0" w:rsidRPr="000F0D8B" w:rsidRDefault="000B0BA0" w:rsidP="009E3AD8">
      <w:pPr>
        <w:spacing w:line="276" w:lineRule="auto"/>
        <w:ind w:left="708"/>
        <w:jc w:val="both"/>
        <w:rPr>
          <w:rFonts w:asciiTheme="minorHAnsi" w:hAnsiTheme="minorHAnsi" w:cstheme="minorHAnsi"/>
          <w:sz w:val="26"/>
          <w:szCs w:val="26"/>
        </w:rPr>
      </w:pPr>
      <w:r w:rsidRPr="000F0D8B">
        <w:rPr>
          <w:rFonts w:asciiTheme="minorHAnsi" w:hAnsiTheme="minorHAnsi" w:cstheme="minorHAnsi"/>
          <w:sz w:val="26"/>
          <w:szCs w:val="26"/>
        </w:rPr>
        <w:t>M.C.V. - Mecanismul de Cooperare şi Verificare</w:t>
      </w:r>
    </w:p>
    <w:p w14:paraId="4896DF88" w14:textId="77777777" w:rsidR="000B0BA0" w:rsidRPr="000F0D8B" w:rsidRDefault="000B0BA0" w:rsidP="009E3AD8">
      <w:pPr>
        <w:spacing w:line="276" w:lineRule="auto"/>
        <w:ind w:left="708"/>
        <w:jc w:val="both"/>
        <w:rPr>
          <w:rFonts w:asciiTheme="minorHAnsi" w:hAnsiTheme="minorHAnsi" w:cstheme="minorHAnsi"/>
          <w:sz w:val="26"/>
          <w:szCs w:val="26"/>
        </w:rPr>
      </w:pPr>
      <w:r w:rsidRPr="000F0D8B">
        <w:rPr>
          <w:rFonts w:asciiTheme="minorHAnsi" w:hAnsiTheme="minorHAnsi" w:cstheme="minorHAnsi"/>
          <w:sz w:val="26"/>
          <w:szCs w:val="26"/>
        </w:rPr>
        <w:t>M.J. - Ministerul Justiţiei</w:t>
      </w:r>
    </w:p>
    <w:p w14:paraId="5F0A4C8E" w14:textId="77777777" w:rsidR="000B0BA0" w:rsidRPr="000F0D8B" w:rsidRDefault="000B0BA0" w:rsidP="009E3AD8">
      <w:pPr>
        <w:spacing w:line="276" w:lineRule="auto"/>
        <w:ind w:left="708"/>
        <w:jc w:val="both"/>
        <w:rPr>
          <w:rFonts w:asciiTheme="minorHAnsi" w:hAnsiTheme="minorHAnsi" w:cstheme="minorHAnsi"/>
          <w:sz w:val="26"/>
          <w:szCs w:val="26"/>
        </w:rPr>
      </w:pPr>
      <w:r w:rsidRPr="000F0D8B">
        <w:rPr>
          <w:rFonts w:asciiTheme="minorHAnsi" w:hAnsiTheme="minorHAnsi" w:cstheme="minorHAnsi"/>
          <w:sz w:val="26"/>
          <w:szCs w:val="26"/>
        </w:rPr>
        <w:t>nr. - număr</w:t>
      </w:r>
    </w:p>
    <w:p w14:paraId="2927CFDC" w14:textId="77777777" w:rsidR="000B0BA0" w:rsidRPr="000F0D8B" w:rsidRDefault="000B0BA0" w:rsidP="009E3AD8">
      <w:pPr>
        <w:spacing w:line="276" w:lineRule="auto"/>
        <w:ind w:left="708"/>
        <w:jc w:val="both"/>
        <w:rPr>
          <w:rFonts w:asciiTheme="minorHAnsi" w:hAnsiTheme="minorHAnsi" w:cstheme="minorHAnsi"/>
          <w:sz w:val="26"/>
          <w:szCs w:val="26"/>
        </w:rPr>
      </w:pPr>
      <w:r w:rsidRPr="000F0D8B">
        <w:rPr>
          <w:rFonts w:asciiTheme="minorHAnsi" w:hAnsiTheme="minorHAnsi" w:cstheme="minorHAnsi"/>
          <w:sz w:val="26"/>
          <w:szCs w:val="26"/>
        </w:rPr>
        <w:t>O.U.G. – Ordonanţa de Urgenţă a Guvernului</w:t>
      </w:r>
    </w:p>
    <w:p w14:paraId="775DF074" w14:textId="77777777" w:rsidR="000B0BA0" w:rsidRPr="000F0D8B" w:rsidRDefault="000B0BA0" w:rsidP="009E3AD8">
      <w:pPr>
        <w:spacing w:line="276" w:lineRule="auto"/>
        <w:ind w:left="708"/>
        <w:jc w:val="both"/>
        <w:rPr>
          <w:rFonts w:asciiTheme="minorHAnsi" w:hAnsiTheme="minorHAnsi" w:cstheme="minorHAnsi"/>
          <w:sz w:val="26"/>
          <w:szCs w:val="26"/>
        </w:rPr>
      </w:pPr>
      <w:r w:rsidRPr="000F0D8B">
        <w:rPr>
          <w:rFonts w:asciiTheme="minorHAnsi" w:hAnsiTheme="minorHAnsi" w:cstheme="minorHAnsi"/>
          <w:sz w:val="26"/>
          <w:szCs w:val="26"/>
        </w:rPr>
        <w:t>P.Î.C.C.J. - Parchetul de pe lângă Înalta Curte de Casaţie şi Justiţie</w:t>
      </w:r>
    </w:p>
    <w:p w14:paraId="69DE818F" w14:textId="77777777" w:rsidR="000B0BA0" w:rsidRPr="000F0D8B" w:rsidRDefault="000B0BA0" w:rsidP="009E3AD8">
      <w:pPr>
        <w:spacing w:line="276" w:lineRule="auto"/>
        <w:ind w:left="708"/>
        <w:jc w:val="both"/>
        <w:rPr>
          <w:rFonts w:asciiTheme="minorHAnsi" w:hAnsiTheme="minorHAnsi" w:cstheme="minorHAnsi"/>
          <w:sz w:val="26"/>
          <w:szCs w:val="26"/>
        </w:rPr>
      </w:pPr>
      <w:r w:rsidRPr="000F0D8B">
        <w:rPr>
          <w:rFonts w:asciiTheme="minorHAnsi" w:hAnsiTheme="minorHAnsi" w:cstheme="minorHAnsi"/>
          <w:sz w:val="26"/>
          <w:szCs w:val="26"/>
        </w:rPr>
        <w:t xml:space="preserve">P.C.A. </w:t>
      </w:r>
      <w:r w:rsidRPr="000F0D8B">
        <w:rPr>
          <w:rFonts w:asciiTheme="minorHAnsi" w:hAnsiTheme="minorHAnsi" w:cstheme="minorHAnsi"/>
          <w:b/>
          <w:sz w:val="26"/>
          <w:szCs w:val="26"/>
        </w:rPr>
        <w:t xml:space="preserve">- </w:t>
      </w:r>
      <w:r w:rsidRPr="000F0D8B">
        <w:rPr>
          <w:rFonts w:asciiTheme="minorHAnsi" w:hAnsiTheme="minorHAnsi" w:cstheme="minorHAnsi"/>
          <w:sz w:val="26"/>
          <w:szCs w:val="26"/>
        </w:rPr>
        <w:t>parchet de pe lângă curtea de apel</w:t>
      </w:r>
    </w:p>
    <w:p w14:paraId="181D28B0" w14:textId="77777777" w:rsidR="000B0BA0" w:rsidRPr="000F0D8B" w:rsidRDefault="000B0BA0" w:rsidP="009E3AD8">
      <w:pPr>
        <w:spacing w:line="276" w:lineRule="auto"/>
        <w:ind w:left="708"/>
        <w:jc w:val="both"/>
        <w:rPr>
          <w:rFonts w:asciiTheme="minorHAnsi" w:hAnsiTheme="minorHAnsi" w:cstheme="minorHAnsi"/>
          <w:sz w:val="26"/>
          <w:szCs w:val="26"/>
        </w:rPr>
      </w:pPr>
      <w:r w:rsidRPr="000F0D8B">
        <w:rPr>
          <w:rFonts w:asciiTheme="minorHAnsi" w:hAnsiTheme="minorHAnsi" w:cstheme="minorHAnsi"/>
          <w:sz w:val="26"/>
          <w:szCs w:val="26"/>
        </w:rPr>
        <w:t>P.O.C.A. - Programul Operaţional Capacitate Administrativă 2014-2020</w:t>
      </w:r>
    </w:p>
    <w:p w14:paraId="31AEA455" w14:textId="77777777" w:rsidR="000B0BA0" w:rsidRPr="000F0D8B" w:rsidRDefault="000B0BA0" w:rsidP="009E3AD8">
      <w:pPr>
        <w:spacing w:line="276" w:lineRule="auto"/>
        <w:ind w:left="708"/>
        <w:jc w:val="both"/>
        <w:rPr>
          <w:rFonts w:asciiTheme="minorHAnsi" w:hAnsiTheme="minorHAnsi" w:cstheme="minorHAnsi"/>
          <w:sz w:val="26"/>
          <w:szCs w:val="26"/>
        </w:rPr>
      </w:pPr>
      <w:r w:rsidRPr="000F0D8B">
        <w:rPr>
          <w:rFonts w:asciiTheme="minorHAnsi" w:hAnsiTheme="minorHAnsi" w:cstheme="minorHAnsi"/>
          <w:sz w:val="26"/>
          <w:szCs w:val="26"/>
        </w:rPr>
        <w:t>P.T. - parchet de pe lângă tribunal</w:t>
      </w:r>
    </w:p>
    <w:p w14:paraId="13E313CB" w14:textId="77777777" w:rsidR="000B0BA0" w:rsidRPr="000F0D8B" w:rsidRDefault="000B0BA0" w:rsidP="009E3AD8">
      <w:pPr>
        <w:spacing w:line="276" w:lineRule="auto"/>
        <w:ind w:left="708"/>
        <w:jc w:val="both"/>
        <w:rPr>
          <w:rFonts w:asciiTheme="minorHAnsi" w:hAnsiTheme="minorHAnsi" w:cstheme="minorHAnsi"/>
          <w:sz w:val="26"/>
          <w:szCs w:val="26"/>
        </w:rPr>
      </w:pPr>
      <w:r w:rsidRPr="000F0D8B">
        <w:rPr>
          <w:rFonts w:asciiTheme="minorHAnsi" w:hAnsiTheme="minorHAnsi" w:cstheme="minorHAnsi"/>
          <w:sz w:val="26"/>
          <w:szCs w:val="26"/>
        </w:rPr>
        <w:t>P.J. - parchet de pe lângă judecătorie</w:t>
      </w:r>
    </w:p>
    <w:p w14:paraId="097B0E18" w14:textId="77777777" w:rsidR="000B0BA0" w:rsidRPr="000F0D8B" w:rsidRDefault="000B0BA0" w:rsidP="009E3AD8">
      <w:pPr>
        <w:spacing w:line="276" w:lineRule="auto"/>
        <w:ind w:left="708"/>
        <w:jc w:val="both"/>
        <w:rPr>
          <w:rFonts w:asciiTheme="minorHAnsi" w:hAnsiTheme="minorHAnsi" w:cstheme="minorHAnsi"/>
          <w:sz w:val="26"/>
          <w:szCs w:val="26"/>
        </w:rPr>
      </w:pPr>
      <w:r w:rsidRPr="000F0D8B">
        <w:rPr>
          <w:rFonts w:asciiTheme="minorHAnsi" w:hAnsiTheme="minorHAnsi" w:cstheme="minorHAnsi"/>
          <w:sz w:val="26"/>
          <w:szCs w:val="26"/>
        </w:rPr>
        <w:t>R.E.C.J. - Reţeaua Europeană a Consiliilor Judiciare</w:t>
      </w:r>
    </w:p>
    <w:p w14:paraId="50D85CCD" w14:textId="77777777" w:rsidR="000B0BA0" w:rsidRPr="000F0D8B" w:rsidRDefault="000B0BA0" w:rsidP="009E3AD8">
      <w:pPr>
        <w:spacing w:line="276" w:lineRule="auto"/>
        <w:ind w:left="708"/>
        <w:jc w:val="both"/>
        <w:rPr>
          <w:rFonts w:asciiTheme="minorHAnsi" w:hAnsiTheme="minorHAnsi" w:cstheme="minorHAnsi"/>
          <w:sz w:val="26"/>
          <w:szCs w:val="26"/>
        </w:rPr>
      </w:pPr>
      <w:r w:rsidRPr="000F0D8B">
        <w:rPr>
          <w:rFonts w:asciiTheme="minorHAnsi" w:hAnsiTheme="minorHAnsi" w:cstheme="minorHAnsi"/>
          <w:sz w:val="26"/>
          <w:szCs w:val="26"/>
        </w:rPr>
        <w:t>S.A.E.R.I. - Serviciul afaceri europene şi relaţii internaţionale</w:t>
      </w:r>
    </w:p>
    <w:p w14:paraId="176CF326" w14:textId="77777777" w:rsidR="000B0BA0" w:rsidRPr="000F0D8B" w:rsidRDefault="000B0BA0" w:rsidP="009E3AD8">
      <w:pPr>
        <w:spacing w:line="276" w:lineRule="auto"/>
        <w:ind w:left="708"/>
        <w:jc w:val="both"/>
        <w:rPr>
          <w:rFonts w:asciiTheme="minorHAnsi" w:hAnsiTheme="minorHAnsi" w:cstheme="minorHAnsi"/>
          <w:sz w:val="26"/>
          <w:szCs w:val="26"/>
        </w:rPr>
      </w:pPr>
      <w:r w:rsidRPr="000F0D8B">
        <w:rPr>
          <w:rFonts w:asciiTheme="minorHAnsi" w:hAnsiTheme="minorHAnsi" w:cstheme="minorHAnsi"/>
          <w:sz w:val="26"/>
          <w:szCs w:val="26"/>
        </w:rPr>
        <w:t>S.I.P.R.M.M.P.D.C.P. - Serviciul de Informare Publică, Relaţii cu Mass Media și Protecția Datelor cu Caracter Personal</w:t>
      </w:r>
    </w:p>
    <w:p w14:paraId="49B8C801" w14:textId="77777777" w:rsidR="000B0BA0" w:rsidRPr="000F0D8B" w:rsidRDefault="000B0BA0" w:rsidP="009E3AD8">
      <w:pPr>
        <w:spacing w:line="276" w:lineRule="auto"/>
        <w:ind w:left="708"/>
        <w:jc w:val="both"/>
        <w:rPr>
          <w:rFonts w:asciiTheme="minorHAnsi" w:hAnsiTheme="minorHAnsi" w:cstheme="minorHAnsi"/>
          <w:sz w:val="26"/>
          <w:szCs w:val="26"/>
        </w:rPr>
      </w:pPr>
      <w:r w:rsidRPr="000F0D8B">
        <w:rPr>
          <w:rFonts w:asciiTheme="minorHAnsi" w:hAnsiTheme="minorHAnsi" w:cstheme="minorHAnsi"/>
          <w:sz w:val="26"/>
          <w:szCs w:val="26"/>
        </w:rPr>
        <w:t>S.N.G. - Şcoala Naţională de Grefieri</w:t>
      </w:r>
    </w:p>
    <w:p w14:paraId="50DDA7FA" w14:textId="77777777" w:rsidR="000B0BA0" w:rsidRPr="000F0D8B" w:rsidRDefault="000B0BA0" w:rsidP="009E3AD8">
      <w:pPr>
        <w:spacing w:line="276" w:lineRule="auto"/>
        <w:ind w:left="708"/>
        <w:jc w:val="both"/>
        <w:rPr>
          <w:rFonts w:asciiTheme="minorHAnsi" w:hAnsiTheme="minorHAnsi" w:cstheme="minorHAnsi"/>
          <w:sz w:val="26"/>
          <w:szCs w:val="26"/>
        </w:rPr>
      </w:pPr>
      <w:r w:rsidRPr="000F0D8B">
        <w:rPr>
          <w:rFonts w:asciiTheme="minorHAnsi" w:hAnsiTheme="minorHAnsi" w:cstheme="minorHAnsi"/>
          <w:sz w:val="26"/>
          <w:szCs w:val="26"/>
        </w:rPr>
        <w:t>U.E. - Uniunea Europeană</w:t>
      </w:r>
    </w:p>
    <w:p w14:paraId="628204F3" w14:textId="77777777" w:rsidR="000B0BA0" w:rsidRPr="000F0D8B" w:rsidRDefault="000B0BA0" w:rsidP="009E3AD8">
      <w:pPr>
        <w:tabs>
          <w:tab w:val="left" w:pos="1105"/>
        </w:tabs>
        <w:spacing w:line="276" w:lineRule="auto"/>
        <w:rPr>
          <w:rFonts w:asciiTheme="minorHAnsi" w:hAnsiTheme="minorHAnsi" w:cstheme="minorHAnsi"/>
          <w:b/>
          <w:sz w:val="26"/>
          <w:szCs w:val="26"/>
        </w:rPr>
      </w:pPr>
    </w:p>
    <w:p w14:paraId="7EC73B50" w14:textId="77777777" w:rsidR="003175C4" w:rsidRPr="000F0D8B" w:rsidRDefault="003175C4" w:rsidP="009E3AD8">
      <w:pPr>
        <w:widowControl w:val="0"/>
        <w:autoSpaceDE w:val="0"/>
        <w:autoSpaceDN w:val="0"/>
        <w:adjustRightInd w:val="0"/>
        <w:spacing w:line="276" w:lineRule="auto"/>
        <w:ind w:firstLine="851"/>
        <w:jc w:val="center"/>
        <w:rPr>
          <w:rFonts w:asciiTheme="minorHAnsi" w:hAnsiTheme="minorHAnsi" w:cstheme="minorHAnsi"/>
          <w:b/>
          <w:sz w:val="26"/>
          <w:szCs w:val="26"/>
        </w:rPr>
      </w:pPr>
    </w:p>
    <w:p w14:paraId="5173E5B2" w14:textId="77777777" w:rsidR="000B3441" w:rsidRPr="000F0D8B" w:rsidRDefault="000B3441" w:rsidP="009E3AD8">
      <w:pPr>
        <w:pStyle w:val="Heading1"/>
        <w:ind w:firstLine="0"/>
        <w:rPr>
          <w:rFonts w:cstheme="minorHAnsi"/>
          <w:color w:val="auto"/>
          <w:sz w:val="26"/>
          <w:szCs w:val="26"/>
        </w:rPr>
      </w:pPr>
      <w:bookmarkStart w:id="0" w:name="_Toc94524070"/>
      <w:bookmarkStart w:id="1" w:name="_Toc219287933"/>
      <w:r w:rsidRPr="000F0D8B">
        <w:rPr>
          <w:rFonts w:cstheme="minorHAnsi"/>
          <w:color w:val="auto"/>
          <w:sz w:val="26"/>
          <w:szCs w:val="26"/>
        </w:rPr>
        <w:t>Cuvânt înainte al preşedintelui Consiliului Superior al Magistraturii</w:t>
      </w:r>
      <w:bookmarkEnd w:id="0"/>
      <w:bookmarkEnd w:id="1"/>
    </w:p>
    <w:p w14:paraId="4C67F9B7" w14:textId="77777777" w:rsidR="00A8330C" w:rsidRPr="00A8330C" w:rsidRDefault="00A8330C" w:rsidP="00A8330C">
      <w:pPr>
        <w:tabs>
          <w:tab w:val="left" w:pos="5475"/>
        </w:tabs>
        <w:spacing w:line="276" w:lineRule="auto"/>
        <w:ind w:firstLine="709"/>
        <w:jc w:val="both"/>
        <w:rPr>
          <w:rFonts w:asciiTheme="minorHAnsi" w:hAnsiTheme="minorHAnsi" w:cstheme="minorHAnsi"/>
          <w:sz w:val="26"/>
          <w:szCs w:val="26"/>
        </w:rPr>
      </w:pPr>
      <w:bookmarkStart w:id="2" w:name="_Toc430867104"/>
      <w:r w:rsidRPr="00A8330C">
        <w:rPr>
          <w:rFonts w:asciiTheme="minorHAnsi" w:hAnsiTheme="minorHAnsi" w:cstheme="minorHAnsi"/>
          <w:sz w:val="26"/>
          <w:szCs w:val="26"/>
        </w:rPr>
        <w:t>Consiliul Superior al Magistraturii, în calitatea sa constituţională de garant al independenței justiției, exercită un rol esențial în arhitectura funcțională a sistemului judiciar din România, indispensabil funcţionării normale a justiției ca serviciu public.</w:t>
      </w:r>
    </w:p>
    <w:p w14:paraId="4BE3BE2B" w14:textId="07173545" w:rsidR="00A8330C" w:rsidRPr="00A8330C" w:rsidRDefault="00A8330C" w:rsidP="00A8330C">
      <w:pPr>
        <w:tabs>
          <w:tab w:val="left" w:pos="5475"/>
        </w:tabs>
        <w:spacing w:line="276" w:lineRule="auto"/>
        <w:ind w:firstLine="709"/>
        <w:jc w:val="both"/>
        <w:rPr>
          <w:rFonts w:asciiTheme="minorHAnsi" w:hAnsiTheme="minorHAnsi" w:cstheme="minorHAnsi"/>
          <w:sz w:val="26"/>
          <w:szCs w:val="26"/>
        </w:rPr>
      </w:pPr>
      <w:r w:rsidRPr="00A8330C">
        <w:rPr>
          <w:rFonts w:asciiTheme="minorHAnsi" w:hAnsiTheme="minorHAnsi" w:cstheme="minorHAnsi"/>
          <w:sz w:val="26"/>
          <w:szCs w:val="26"/>
        </w:rPr>
        <w:t>În anul 2025, justiţia din România s-a confruntat cu o campanie de dezinformare a cetăţenilor şi de defăimare a corpului magistraţilor fără precedent, în contextul elaborării şi adoptării prin asumare</w:t>
      </w:r>
      <w:r>
        <w:rPr>
          <w:rFonts w:asciiTheme="minorHAnsi" w:hAnsiTheme="minorHAnsi" w:cstheme="minorHAnsi"/>
          <w:sz w:val="26"/>
          <w:szCs w:val="26"/>
        </w:rPr>
        <w:t xml:space="preserve"> </w:t>
      </w:r>
      <w:r w:rsidR="00574983">
        <w:rPr>
          <w:rFonts w:asciiTheme="minorHAnsi" w:hAnsiTheme="minorHAnsi" w:cstheme="minorHAnsi"/>
          <w:sz w:val="26"/>
          <w:szCs w:val="26"/>
        </w:rPr>
        <w:t xml:space="preserve">de către Guvernul României </w:t>
      </w:r>
      <w:r w:rsidRPr="00A8330C">
        <w:rPr>
          <w:rFonts w:asciiTheme="minorHAnsi" w:hAnsiTheme="minorHAnsi" w:cstheme="minorHAnsi"/>
          <w:sz w:val="26"/>
          <w:szCs w:val="26"/>
        </w:rPr>
        <w:t xml:space="preserve">a proiectului de lege privind modificarea statutului magistratului în componentele referitoare la cuantumul pensiei de serviciu şi vârsta de pensionare. </w:t>
      </w:r>
    </w:p>
    <w:p w14:paraId="7B03458B" w14:textId="409813F6" w:rsidR="00A8330C" w:rsidRPr="00A8330C" w:rsidRDefault="00A8330C" w:rsidP="00A8330C">
      <w:pPr>
        <w:tabs>
          <w:tab w:val="left" w:pos="5475"/>
        </w:tabs>
        <w:spacing w:line="276" w:lineRule="auto"/>
        <w:ind w:firstLine="709"/>
        <w:jc w:val="both"/>
        <w:rPr>
          <w:rFonts w:asciiTheme="minorHAnsi" w:hAnsiTheme="minorHAnsi" w:cstheme="minorHAnsi"/>
          <w:sz w:val="26"/>
          <w:szCs w:val="26"/>
        </w:rPr>
      </w:pPr>
      <w:r w:rsidRPr="00A8330C">
        <w:rPr>
          <w:rFonts w:asciiTheme="minorHAnsi" w:hAnsiTheme="minorHAnsi" w:cstheme="minorHAnsi"/>
          <w:sz w:val="26"/>
          <w:szCs w:val="26"/>
        </w:rPr>
        <w:t>A fost creată în mod artificial şi nemeritat o atmosferă negativă în jurul sistemului de justiţie, prin declaraţii publice care au trecut dincolo de marja permisă pentru critica rezonabilă, acceptabilă şi chiar necesară într-o societate democratică, ajungându-se, de multe ori, la descrierea falsă şi agresivă a sistemului de justiţie, în general, şi a corpului magistraţilor, în special.</w:t>
      </w:r>
    </w:p>
    <w:p w14:paraId="478FE21A" w14:textId="143855A0" w:rsidR="00A8330C" w:rsidRPr="00A8330C" w:rsidRDefault="00A8330C" w:rsidP="00A8330C">
      <w:pPr>
        <w:tabs>
          <w:tab w:val="left" w:pos="5475"/>
        </w:tabs>
        <w:spacing w:line="276" w:lineRule="auto"/>
        <w:ind w:firstLine="709"/>
        <w:jc w:val="both"/>
        <w:rPr>
          <w:rFonts w:asciiTheme="minorHAnsi" w:hAnsiTheme="minorHAnsi" w:cstheme="minorHAnsi"/>
          <w:sz w:val="26"/>
          <w:szCs w:val="26"/>
        </w:rPr>
      </w:pPr>
      <w:r w:rsidRPr="00A8330C">
        <w:rPr>
          <w:rFonts w:asciiTheme="minorHAnsi" w:hAnsiTheme="minorHAnsi" w:cstheme="minorHAnsi"/>
          <w:sz w:val="26"/>
          <w:szCs w:val="26"/>
        </w:rPr>
        <w:t>Au avut loc atacuri descalificante la adresa unor membri ai Consiliului care au luat o poziţie publică de apărare a sistemului judiciar, precum şi la adresa unor judecători şi procurori individual, magistraţi care au devenit ţinta unei campanii de discreditare personală, menită să canalizeze aversiunea cetăţenilor împotriva sistemului de justiţie.</w:t>
      </w:r>
    </w:p>
    <w:p w14:paraId="2ABA4DBB" w14:textId="524EACAF" w:rsidR="00A8330C" w:rsidRDefault="00A8330C" w:rsidP="00A8330C">
      <w:pPr>
        <w:tabs>
          <w:tab w:val="left" w:pos="5475"/>
        </w:tabs>
        <w:spacing w:line="276" w:lineRule="auto"/>
        <w:ind w:firstLine="709"/>
        <w:jc w:val="both"/>
        <w:rPr>
          <w:rFonts w:asciiTheme="minorHAnsi" w:hAnsiTheme="minorHAnsi" w:cstheme="minorHAnsi"/>
          <w:sz w:val="26"/>
          <w:szCs w:val="26"/>
        </w:rPr>
      </w:pPr>
      <w:r w:rsidRPr="00A8330C">
        <w:rPr>
          <w:rFonts w:asciiTheme="minorHAnsi" w:hAnsiTheme="minorHAnsi" w:cstheme="minorHAnsi"/>
          <w:sz w:val="26"/>
          <w:szCs w:val="26"/>
        </w:rPr>
        <w:t>Astfel de acţiuni nu au mai putut fi tratate ca simple derapaje de opinie, ele reprez</w:t>
      </w:r>
      <w:r>
        <w:rPr>
          <w:rFonts w:asciiTheme="minorHAnsi" w:hAnsiTheme="minorHAnsi" w:cstheme="minorHAnsi"/>
          <w:sz w:val="26"/>
          <w:szCs w:val="26"/>
        </w:rPr>
        <w:t>e</w:t>
      </w:r>
      <w:r w:rsidRPr="00A8330C">
        <w:rPr>
          <w:rFonts w:asciiTheme="minorHAnsi" w:hAnsiTheme="minorHAnsi" w:cstheme="minorHAnsi"/>
          <w:sz w:val="26"/>
          <w:szCs w:val="26"/>
        </w:rPr>
        <w:t xml:space="preserve">ntând o ameninţare directă la adresa siguranţei personale a magistraţilor şi, mai grav, la adresa funcţionării independente a justiţiei, context în care </w:t>
      </w:r>
      <w:r w:rsidR="00DA245A">
        <w:rPr>
          <w:rFonts w:asciiTheme="minorHAnsi" w:hAnsiTheme="minorHAnsi" w:cstheme="minorHAnsi"/>
          <w:sz w:val="26"/>
          <w:szCs w:val="26"/>
        </w:rPr>
        <w:t xml:space="preserve">a fost necesară intervenţia </w:t>
      </w:r>
      <w:r w:rsidRPr="00A8330C">
        <w:rPr>
          <w:rFonts w:asciiTheme="minorHAnsi" w:hAnsiTheme="minorHAnsi" w:cstheme="minorHAnsi"/>
          <w:sz w:val="26"/>
          <w:szCs w:val="26"/>
        </w:rPr>
        <w:t>Consiliul</w:t>
      </w:r>
      <w:r w:rsidR="00DA245A">
        <w:rPr>
          <w:rFonts w:asciiTheme="minorHAnsi" w:hAnsiTheme="minorHAnsi" w:cstheme="minorHAnsi"/>
          <w:sz w:val="26"/>
          <w:szCs w:val="26"/>
        </w:rPr>
        <w:t>ui</w:t>
      </w:r>
      <w:r>
        <w:rPr>
          <w:rFonts w:asciiTheme="minorHAnsi" w:hAnsiTheme="minorHAnsi" w:cstheme="minorHAnsi"/>
          <w:sz w:val="26"/>
          <w:szCs w:val="26"/>
        </w:rPr>
        <w:t xml:space="preserve"> Superior al Magistraturii </w:t>
      </w:r>
      <w:r w:rsidR="00DA245A">
        <w:rPr>
          <w:rFonts w:asciiTheme="minorHAnsi" w:hAnsiTheme="minorHAnsi" w:cstheme="minorHAnsi"/>
          <w:sz w:val="26"/>
          <w:szCs w:val="26"/>
        </w:rPr>
        <w:t xml:space="preserve">pentru </w:t>
      </w:r>
      <w:r w:rsidRPr="00A8330C">
        <w:rPr>
          <w:rFonts w:asciiTheme="minorHAnsi" w:hAnsiTheme="minorHAnsi" w:cstheme="minorHAnsi"/>
          <w:sz w:val="26"/>
          <w:szCs w:val="26"/>
        </w:rPr>
        <w:t>apăr</w:t>
      </w:r>
      <w:r w:rsidR="00DA245A">
        <w:rPr>
          <w:rFonts w:asciiTheme="minorHAnsi" w:hAnsiTheme="minorHAnsi" w:cstheme="minorHAnsi"/>
          <w:sz w:val="26"/>
          <w:szCs w:val="26"/>
        </w:rPr>
        <w:t>area</w:t>
      </w:r>
      <w:r w:rsidRPr="00A8330C">
        <w:rPr>
          <w:rFonts w:asciiTheme="minorHAnsi" w:hAnsiTheme="minorHAnsi" w:cstheme="minorHAnsi"/>
          <w:sz w:val="26"/>
          <w:szCs w:val="26"/>
        </w:rPr>
        <w:t xml:space="preserve"> independenţei şi asigur</w:t>
      </w:r>
      <w:r w:rsidR="00DA245A">
        <w:rPr>
          <w:rFonts w:asciiTheme="minorHAnsi" w:hAnsiTheme="minorHAnsi" w:cstheme="minorHAnsi"/>
          <w:sz w:val="26"/>
          <w:szCs w:val="26"/>
        </w:rPr>
        <w:t xml:space="preserve">area </w:t>
      </w:r>
      <w:r w:rsidRPr="00A8330C">
        <w:rPr>
          <w:rFonts w:asciiTheme="minorHAnsi" w:hAnsiTheme="minorHAnsi" w:cstheme="minorHAnsi"/>
          <w:sz w:val="26"/>
          <w:szCs w:val="26"/>
        </w:rPr>
        <w:t>protecţiei corpului magistraţilor.</w:t>
      </w:r>
    </w:p>
    <w:p w14:paraId="2DF0F068" w14:textId="747068F5" w:rsidR="00A8330C" w:rsidRPr="00A8330C" w:rsidRDefault="00A8330C" w:rsidP="00A8330C">
      <w:pPr>
        <w:tabs>
          <w:tab w:val="left" w:pos="5475"/>
        </w:tabs>
        <w:spacing w:line="276" w:lineRule="auto"/>
        <w:ind w:firstLine="709"/>
        <w:jc w:val="both"/>
        <w:rPr>
          <w:rFonts w:asciiTheme="minorHAnsi" w:hAnsiTheme="minorHAnsi" w:cstheme="minorHAnsi"/>
          <w:sz w:val="26"/>
          <w:szCs w:val="26"/>
        </w:rPr>
      </w:pPr>
      <w:r w:rsidRPr="00A8330C">
        <w:rPr>
          <w:rFonts w:asciiTheme="minorHAnsi" w:hAnsiTheme="minorHAnsi" w:cstheme="minorHAnsi"/>
          <w:sz w:val="26"/>
          <w:szCs w:val="26"/>
        </w:rPr>
        <w:t>Consiliul şi-a afirmat public</w:t>
      </w:r>
      <w:r>
        <w:rPr>
          <w:rFonts w:asciiTheme="minorHAnsi" w:hAnsiTheme="minorHAnsi" w:cstheme="minorHAnsi"/>
          <w:sz w:val="26"/>
          <w:szCs w:val="26"/>
        </w:rPr>
        <w:t xml:space="preserve"> în mai multe rânduri</w:t>
      </w:r>
      <w:r w:rsidRPr="00A8330C">
        <w:rPr>
          <w:rFonts w:asciiTheme="minorHAnsi" w:hAnsiTheme="minorHAnsi" w:cstheme="minorHAnsi"/>
          <w:sz w:val="26"/>
          <w:szCs w:val="26"/>
        </w:rPr>
        <w:t xml:space="preserve"> îngrijorarea profundă pentru atitudinea lipsită de responsabilitate a factorilor politici care, în locul unei consultări tehnice, au declanşat un </w:t>
      </w:r>
      <w:r w:rsidR="00CB1C80">
        <w:rPr>
          <w:rFonts w:asciiTheme="minorHAnsi" w:hAnsiTheme="minorHAnsi" w:cstheme="minorHAnsi"/>
          <w:sz w:val="26"/>
          <w:szCs w:val="26"/>
        </w:rPr>
        <w:t xml:space="preserve">mecanism </w:t>
      </w:r>
      <w:r w:rsidRPr="00A8330C">
        <w:rPr>
          <w:rFonts w:asciiTheme="minorHAnsi" w:hAnsiTheme="minorHAnsi" w:cstheme="minorHAnsi"/>
          <w:sz w:val="26"/>
          <w:szCs w:val="26"/>
        </w:rPr>
        <w:t>pentru dis</w:t>
      </w:r>
      <w:r w:rsidR="00CB1C80">
        <w:rPr>
          <w:rFonts w:asciiTheme="minorHAnsi" w:hAnsiTheme="minorHAnsi" w:cstheme="minorHAnsi"/>
          <w:sz w:val="26"/>
          <w:szCs w:val="26"/>
        </w:rPr>
        <w:t>creditarea</w:t>
      </w:r>
      <w:r w:rsidRPr="00A8330C">
        <w:rPr>
          <w:rFonts w:asciiTheme="minorHAnsi" w:hAnsiTheme="minorHAnsi" w:cstheme="minorHAnsi"/>
          <w:sz w:val="26"/>
          <w:szCs w:val="26"/>
        </w:rPr>
        <w:t xml:space="preserve"> imaginii sistemului de justiţie, precum şi faţă de lipsa de loialitate în interacţiunea dintre puterile statului. </w:t>
      </w:r>
    </w:p>
    <w:p w14:paraId="0F438925" w14:textId="6484012D" w:rsidR="00A8330C" w:rsidRPr="00A8330C" w:rsidRDefault="00A8330C" w:rsidP="00A8330C">
      <w:pPr>
        <w:tabs>
          <w:tab w:val="left" w:pos="5475"/>
        </w:tabs>
        <w:spacing w:line="276" w:lineRule="auto"/>
        <w:ind w:firstLine="709"/>
        <w:jc w:val="both"/>
        <w:rPr>
          <w:rFonts w:asciiTheme="minorHAnsi" w:hAnsiTheme="minorHAnsi" w:cstheme="minorHAnsi"/>
          <w:sz w:val="26"/>
          <w:szCs w:val="26"/>
        </w:rPr>
      </w:pPr>
      <w:r w:rsidRPr="00A8330C">
        <w:rPr>
          <w:rFonts w:asciiTheme="minorHAnsi" w:hAnsiTheme="minorHAnsi" w:cstheme="minorHAnsi"/>
          <w:sz w:val="26"/>
          <w:szCs w:val="26"/>
        </w:rPr>
        <w:t xml:space="preserve">Această îngrijorare a fost afirmată în toate intervenţiile publice ale Consiliului Superior al Magistraturii, fie prin comunicate de presă, fie </w:t>
      </w:r>
      <w:r w:rsidR="00CB1C80">
        <w:rPr>
          <w:rFonts w:asciiTheme="minorHAnsi" w:hAnsiTheme="minorHAnsi" w:cstheme="minorHAnsi"/>
          <w:sz w:val="26"/>
          <w:szCs w:val="26"/>
        </w:rPr>
        <w:t>în mod direct de conducerea</w:t>
      </w:r>
      <w:r w:rsidRPr="00A8330C">
        <w:rPr>
          <w:rFonts w:asciiTheme="minorHAnsi" w:hAnsiTheme="minorHAnsi" w:cstheme="minorHAnsi"/>
          <w:sz w:val="26"/>
          <w:szCs w:val="26"/>
        </w:rPr>
        <w:t xml:space="preserve"> </w:t>
      </w:r>
      <w:r>
        <w:rPr>
          <w:rFonts w:asciiTheme="minorHAnsi" w:hAnsiTheme="minorHAnsi" w:cstheme="minorHAnsi"/>
          <w:sz w:val="26"/>
          <w:szCs w:val="26"/>
        </w:rPr>
        <w:t xml:space="preserve">instituţiei sau </w:t>
      </w:r>
      <w:r w:rsidR="00CB1C80">
        <w:rPr>
          <w:rFonts w:asciiTheme="minorHAnsi" w:hAnsiTheme="minorHAnsi" w:cstheme="minorHAnsi"/>
          <w:sz w:val="26"/>
          <w:szCs w:val="26"/>
        </w:rPr>
        <w:t xml:space="preserve">de către </w:t>
      </w:r>
      <w:r>
        <w:rPr>
          <w:rFonts w:asciiTheme="minorHAnsi" w:hAnsiTheme="minorHAnsi" w:cstheme="minorHAnsi"/>
          <w:sz w:val="26"/>
          <w:szCs w:val="26"/>
        </w:rPr>
        <w:t>m</w:t>
      </w:r>
      <w:r w:rsidRPr="00A8330C">
        <w:rPr>
          <w:rFonts w:asciiTheme="minorHAnsi" w:hAnsiTheme="minorHAnsi" w:cstheme="minorHAnsi"/>
          <w:sz w:val="26"/>
          <w:szCs w:val="26"/>
        </w:rPr>
        <w:t>embri ai Consiliului, atrăgându-se atenţia că în această modalitate este afectată imaginea justiţiei</w:t>
      </w:r>
      <w:r>
        <w:rPr>
          <w:rFonts w:asciiTheme="minorHAnsi" w:hAnsiTheme="minorHAnsi" w:cstheme="minorHAnsi"/>
          <w:sz w:val="26"/>
          <w:szCs w:val="26"/>
        </w:rPr>
        <w:t>,</w:t>
      </w:r>
      <w:r w:rsidRPr="00A8330C">
        <w:rPr>
          <w:rFonts w:asciiTheme="minorHAnsi" w:hAnsiTheme="minorHAnsi" w:cstheme="minorHAnsi"/>
          <w:sz w:val="26"/>
          <w:szCs w:val="26"/>
        </w:rPr>
        <w:t xml:space="preserve"> cu consecinţa deteriorării încrederii cetăţenilor în sistemul de justiţie şi în capacitatea acestuia de a le apăra drepturile şi libetărţile fundamentale.</w:t>
      </w:r>
    </w:p>
    <w:p w14:paraId="2CF10F3C" w14:textId="04737FF2" w:rsidR="00A8330C" w:rsidRPr="00A8330C" w:rsidRDefault="00A8330C" w:rsidP="00A8330C">
      <w:pPr>
        <w:tabs>
          <w:tab w:val="left" w:pos="5475"/>
        </w:tabs>
        <w:spacing w:line="276" w:lineRule="auto"/>
        <w:ind w:firstLine="709"/>
        <w:jc w:val="both"/>
        <w:rPr>
          <w:rFonts w:asciiTheme="minorHAnsi" w:hAnsiTheme="minorHAnsi" w:cstheme="minorHAnsi"/>
          <w:sz w:val="26"/>
          <w:szCs w:val="26"/>
        </w:rPr>
      </w:pPr>
      <w:r w:rsidRPr="00A8330C">
        <w:rPr>
          <w:rFonts w:asciiTheme="minorHAnsi" w:hAnsiTheme="minorHAnsi" w:cstheme="minorHAnsi"/>
          <w:sz w:val="26"/>
          <w:szCs w:val="26"/>
        </w:rPr>
        <w:t>Chiar şi într-un astfel de climat soci</w:t>
      </w:r>
      <w:r w:rsidR="00DA245A">
        <w:rPr>
          <w:rFonts w:asciiTheme="minorHAnsi" w:hAnsiTheme="minorHAnsi" w:cstheme="minorHAnsi"/>
          <w:sz w:val="26"/>
          <w:szCs w:val="26"/>
        </w:rPr>
        <w:t>al</w:t>
      </w:r>
      <w:r w:rsidRPr="00A8330C">
        <w:rPr>
          <w:rFonts w:asciiTheme="minorHAnsi" w:hAnsiTheme="minorHAnsi" w:cstheme="minorHAnsi"/>
          <w:sz w:val="26"/>
          <w:szCs w:val="26"/>
        </w:rPr>
        <w:t xml:space="preserve"> la adresa justiţiei, organizarea şi funcționarea corespunzătoare a instanțelor şi parchetelor, precum şi gestionarea</w:t>
      </w:r>
      <w:r>
        <w:rPr>
          <w:rFonts w:asciiTheme="minorHAnsi" w:hAnsiTheme="minorHAnsi" w:cstheme="minorHAnsi"/>
          <w:sz w:val="26"/>
          <w:szCs w:val="26"/>
        </w:rPr>
        <w:t xml:space="preserve"> </w:t>
      </w:r>
      <w:r w:rsidRPr="00A8330C">
        <w:rPr>
          <w:rFonts w:asciiTheme="minorHAnsi" w:hAnsiTheme="minorHAnsi" w:cstheme="minorHAnsi"/>
          <w:sz w:val="26"/>
          <w:szCs w:val="26"/>
        </w:rPr>
        <w:t>corectă şi echilibrată a carierei judecătorilor şi procurorilor au fost repere esențiale în activitatea instituției, cu atât mai mult în condițiile unui deficit major de personal în instanțele judecătorești și parchetele de pe lângă acestea</w:t>
      </w:r>
      <w:r w:rsidR="00FE2F89">
        <w:rPr>
          <w:rFonts w:asciiTheme="minorHAnsi" w:hAnsiTheme="minorHAnsi" w:cstheme="minorHAnsi"/>
          <w:sz w:val="26"/>
          <w:szCs w:val="26"/>
        </w:rPr>
        <w:t>, deficit</w:t>
      </w:r>
      <w:r w:rsidRPr="00A8330C">
        <w:rPr>
          <w:rFonts w:asciiTheme="minorHAnsi" w:hAnsiTheme="minorHAnsi" w:cstheme="minorHAnsi"/>
          <w:sz w:val="26"/>
          <w:szCs w:val="26"/>
        </w:rPr>
        <w:t xml:space="preserve"> generat, în principal, de eliberări din funcţie pe fondul instabilităţii legislative privind statutul judecătorilor şi procurorilor.</w:t>
      </w:r>
    </w:p>
    <w:p w14:paraId="36E22C84" w14:textId="0509D4B2" w:rsidR="00A8330C" w:rsidRPr="00A8330C" w:rsidRDefault="00A8330C" w:rsidP="00A8330C">
      <w:pPr>
        <w:tabs>
          <w:tab w:val="left" w:pos="5475"/>
        </w:tabs>
        <w:spacing w:line="276" w:lineRule="auto"/>
        <w:ind w:firstLine="709"/>
        <w:jc w:val="both"/>
        <w:rPr>
          <w:rFonts w:asciiTheme="minorHAnsi" w:hAnsiTheme="minorHAnsi" w:cstheme="minorHAnsi"/>
          <w:sz w:val="26"/>
          <w:szCs w:val="26"/>
        </w:rPr>
      </w:pPr>
      <w:r w:rsidRPr="00A8330C">
        <w:rPr>
          <w:rFonts w:asciiTheme="minorHAnsi" w:hAnsiTheme="minorHAnsi" w:cstheme="minorHAnsi"/>
          <w:sz w:val="26"/>
          <w:szCs w:val="26"/>
        </w:rPr>
        <w:t>Pentru atingerea acestui obiectiv, Consiliul a organizat concursu</w:t>
      </w:r>
      <w:r w:rsidR="001F6F7B">
        <w:rPr>
          <w:rFonts w:asciiTheme="minorHAnsi" w:hAnsiTheme="minorHAnsi" w:cstheme="minorHAnsi"/>
          <w:sz w:val="26"/>
          <w:szCs w:val="26"/>
        </w:rPr>
        <w:t>l</w:t>
      </w:r>
      <w:r w:rsidRPr="00A8330C">
        <w:rPr>
          <w:rFonts w:asciiTheme="minorHAnsi" w:hAnsiTheme="minorHAnsi" w:cstheme="minorHAnsi"/>
          <w:sz w:val="26"/>
          <w:szCs w:val="26"/>
        </w:rPr>
        <w:t xml:space="preserve"> de admitere la I</w:t>
      </w:r>
      <w:r w:rsidR="001F6F7B">
        <w:rPr>
          <w:rFonts w:asciiTheme="minorHAnsi" w:hAnsiTheme="minorHAnsi" w:cstheme="minorHAnsi"/>
          <w:sz w:val="26"/>
          <w:szCs w:val="26"/>
        </w:rPr>
        <w:t>.</w:t>
      </w:r>
      <w:r w:rsidRPr="00A8330C">
        <w:rPr>
          <w:rFonts w:asciiTheme="minorHAnsi" w:hAnsiTheme="minorHAnsi" w:cstheme="minorHAnsi"/>
          <w:sz w:val="26"/>
          <w:szCs w:val="26"/>
        </w:rPr>
        <w:t>N</w:t>
      </w:r>
      <w:r w:rsidR="001F6F7B">
        <w:rPr>
          <w:rFonts w:asciiTheme="minorHAnsi" w:hAnsiTheme="minorHAnsi" w:cstheme="minorHAnsi"/>
          <w:sz w:val="26"/>
          <w:szCs w:val="26"/>
        </w:rPr>
        <w:t>.</w:t>
      </w:r>
      <w:r w:rsidRPr="00A8330C">
        <w:rPr>
          <w:rFonts w:asciiTheme="minorHAnsi" w:hAnsiTheme="minorHAnsi" w:cstheme="minorHAnsi"/>
          <w:sz w:val="26"/>
          <w:szCs w:val="26"/>
        </w:rPr>
        <w:t>M</w:t>
      </w:r>
      <w:r w:rsidR="001F6F7B">
        <w:rPr>
          <w:rFonts w:asciiTheme="minorHAnsi" w:hAnsiTheme="minorHAnsi" w:cstheme="minorHAnsi"/>
          <w:sz w:val="26"/>
          <w:szCs w:val="26"/>
        </w:rPr>
        <w:t xml:space="preserve">. sesiunea iulie 2025 – martie 2026 </w:t>
      </w:r>
      <w:r w:rsidRPr="00A8330C">
        <w:rPr>
          <w:rFonts w:asciiTheme="minorHAnsi" w:hAnsiTheme="minorHAnsi" w:cstheme="minorHAnsi"/>
          <w:sz w:val="26"/>
          <w:szCs w:val="26"/>
        </w:rPr>
        <w:t>și a finalizat concursu</w:t>
      </w:r>
      <w:r w:rsidR="00CB1C80">
        <w:rPr>
          <w:rFonts w:asciiTheme="minorHAnsi" w:hAnsiTheme="minorHAnsi" w:cstheme="minorHAnsi"/>
          <w:sz w:val="26"/>
          <w:szCs w:val="26"/>
        </w:rPr>
        <w:t>rile</w:t>
      </w:r>
      <w:r w:rsidR="001F6F7B">
        <w:rPr>
          <w:rFonts w:asciiTheme="minorHAnsi" w:hAnsiTheme="minorHAnsi" w:cstheme="minorHAnsi"/>
          <w:sz w:val="26"/>
          <w:szCs w:val="26"/>
        </w:rPr>
        <w:t xml:space="preserve"> de admitere la I.N.M. şi în</w:t>
      </w:r>
      <w:r w:rsidRPr="00A8330C">
        <w:rPr>
          <w:rFonts w:asciiTheme="minorHAnsi" w:hAnsiTheme="minorHAnsi" w:cstheme="minorHAnsi"/>
          <w:sz w:val="26"/>
          <w:szCs w:val="26"/>
        </w:rPr>
        <w:t xml:space="preserve"> magistratură declanşat</w:t>
      </w:r>
      <w:r w:rsidR="001F6F7B">
        <w:rPr>
          <w:rFonts w:asciiTheme="minorHAnsi" w:hAnsiTheme="minorHAnsi" w:cstheme="minorHAnsi"/>
          <w:sz w:val="26"/>
          <w:szCs w:val="26"/>
        </w:rPr>
        <w:t>e</w:t>
      </w:r>
      <w:r w:rsidRPr="00A8330C">
        <w:rPr>
          <w:rFonts w:asciiTheme="minorHAnsi" w:hAnsiTheme="minorHAnsi" w:cstheme="minorHAnsi"/>
          <w:sz w:val="26"/>
          <w:szCs w:val="26"/>
        </w:rPr>
        <w:t xml:space="preserve"> în anul 2024, sesiuni de reîncadrare a judecătorilor și procurorilor pensionați în ultimii </w:t>
      </w:r>
      <w:r w:rsidRPr="00A8330C">
        <w:rPr>
          <w:rFonts w:asciiTheme="minorHAnsi" w:hAnsiTheme="minorHAnsi" w:cstheme="minorHAnsi"/>
          <w:sz w:val="26"/>
          <w:szCs w:val="26"/>
        </w:rPr>
        <w:lastRenderedPageBreak/>
        <w:t xml:space="preserve">3 ani, sesiuni de transferuri, concursuri de promovare, precum și de numire în funcții de conducere la instanțele judecătorești și la parchetele de pe lângă acestea. Asigurarea necesarului de personal a fost cu atât mai dificilă cu cât în cursul anului 2025, prin măsurile legislative adoptate, a fost instituită </w:t>
      </w:r>
      <w:r w:rsidR="00AC2448">
        <w:rPr>
          <w:rFonts w:asciiTheme="minorHAnsi" w:hAnsiTheme="minorHAnsi" w:cstheme="minorHAnsi"/>
          <w:sz w:val="26"/>
          <w:szCs w:val="26"/>
        </w:rPr>
        <w:t xml:space="preserve">suspendarea </w:t>
      </w:r>
      <w:r w:rsidRPr="00A8330C">
        <w:rPr>
          <w:rFonts w:asciiTheme="minorHAnsi" w:hAnsiTheme="minorHAnsi" w:cstheme="minorHAnsi"/>
          <w:sz w:val="26"/>
          <w:szCs w:val="26"/>
        </w:rPr>
        <w:t>organizării concursurilor</w:t>
      </w:r>
      <w:r w:rsidR="00AC2448">
        <w:rPr>
          <w:rFonts w:asciiTheme="minorHAnsi" w:hAnsiTheme="minorHAnsi" w:cstheme="minorHAnsi"/>
          <w:sz w:val="26"/>
          <w:szCs w:val="26"/>
        </w:rPr>
        <w:t xml:space="preserve"> sau examenelor</w:t>
      </w:r>
      <w:r w:rsidRPr="00A8330C">
        <w:rPr>
          <w:rFonts w:asciiTheme="minorHAnsi" w:hAnsiTheme="minorHAnsi" w:cstheme="minorHAnsi"/>
          <w:sz w:val="26"/>
          <w:szCs w:val="26"/>
        </w:rPr>
        <w:t xml:space="preserve"> directe</w:t>
      </w:r>
      <w:r w:rsidR="00AC2448">
        <w:rPr>
          <w:rFonts w:asciiTheme="minorHAnsi" w:hAnsiTheme="minorHAnsi" w:cstheme="minorHAnsi"/>
          <w:sz w:val="26"/>
          <w:szCs w:val="26"/>
        </w:rPr>
        <w:t xml:space="preserve"> </w:t>
      </w:r>
      <w:r w:rsidRPr="00A8330C">
        <w:rPr>
          <w:rFonts w:asciiTheme="minorHAnsi" w:hAnsiTheme="minorHAnsi" w:cstheme="minorHAnsi"/>
          <w:sz w:val="26"/>
          <w:szCs w:val="26"/>
        </w:rPr>
        <w:t>şi</w:t>
      </w:r>
      <w:r w:rsidR="00AC2448">
        <w:rPr>
          <w:rFonts w:asciiTheme="minorHAnsi" w:hAnsiTheme="minorHAnsi" w:cstheme="minorHAnsi"/>
          <w:sz w:val="26"/>
          <w:szCs w:val="26"/>
        </w:rPr>
        <w:t xml:space="preserve">, implicit, </w:t>
      </w:r>
      <w:r w:rsidRPr="00A8330C">
        <w:rPr>
          <w:rFonts w:asciiTheme="minorHAnsi" w:hAnsiTheme="minorHAnsi" w:cstheme="minorHAnsi"/>
          <w:sz w:val="26"/>
          <w:szCs w:val="26"/>
        </w:rPr>
        <w:t>recrutarea magistraţilor în această modalitate</w:t>
      </w:r>
      <w:r w:rsidR="00DF74D3">
        <w:rPr>
          <w:rFonts w:asciiTheme="minorHAnsi" w:hAnsiTheme="minorHAnsi" w:cstheme="minorHAnsi"/>
          <w:sz w:val="26"/>
          <w:szCs w:val="26"/>
        </w:rPr>
        <w:t xml:space="preserve"> pe posturile vacante</w:t>
      </w:r>
      <w:r w:rsidRPr="00A8330C">
        <w:rPr>
          <w:rFonts w:asciiTheme="minorHAnsi" w:hAnsiTheme="minorHAnsi" w:cstheme="minorHAnsi"/>
          <w:sz w:val="26"/>
          <w:szCs w:val="26"/>
        </w:rPr>
        <w:t xml:space="preserve">. </w:t>
      </w:r>
    </w:p>
    <w:p w14:paraId="1DD294E1" w14:textId="117415AD" w:rsidR="00A8330C" w:rsidRPr="00A8330C" w:rsidRDefault="00A8330C" w:rsidP="00A8330C">
      <w:pPr>
        <w:tabs>
          <w:tab w:val="left" w:pos="5475"/>
        </w:tabs>
        <w:spacing w:line="276" w:lineRule="auto"/>
        <w:ind w:firstLine="709"/>
        <w:jc w:val="both"/>
        <w:rPr>
          <w:rFonts w:asciiTheme="minorHAnsi" w:hAnsiTheme="minorHAnsi" w:cstheme="minorHAnsi"/>
          <w:sz w:val="26"/>
          <w:szCs w:val="26"/>
        </w:rPr>
      </w:pPr>
      <w:r w:rsidRPr="00A8330C">
        <w:rPr>
          <w:rFonts w:asciiTheme="minorHAnsi" w:hAnsiTheme="minorHAnsi" w:cstheme="minorHAnsi"/>
          <w:sz w:val="26"/>
          <w:szCs w:val="26"/>
        </w:rPr>
        <w:t xml:space="preserve">Consiliul a luat toate măsurile necesare pentru continuarea liniei demersurilor anterioare vizând asigurarea unui cadru normativ echilibrat şi predictibil, care să furnizeze premisele firești pentru funcționarea corespunzătoare a sistemului judiciar și care să garanteze statutul constituțional al judecătorilor și procurorilor. </w:t>
      </w:r>
    </w:p>
    <w:p w14:paraId="32A635CF" w14:textId="77777777" w:rsidR="00A8330C" w:rsidRPr="00A8330C" w:rsidRDefault="00A8330C" w:rsidP="00A8330C">
      <w:pPr>
        <w:tabs>
          <w:tab w:val="left" w:pos="5475"/>
        </w:tabs>
        <w:spacing w:line="276" w:lineRule="auto"/>
        <w:ind w:firstLine="709"/>
        <w:jc w:val="both"/>
        <w:rPr>
          <w:rFonts w:asciiTheme="minorHAnsi" w:hAnsiTheme="minorHAnsi" w:cstheme="minorHAnsi"/>
          <w:sz w:val="26"/>
          <w:szCs w:val="26"/>
        </w:rPr>
      </w:pPr>
      <w:r w:rsidRPr="00A8330C">
        <w:rPr>
          <w:rFonts w:asciiTheme="minorHAnsi" w:hAnsiTheme="minorHAnsi" w:cstheme="minorHAnsi"/>
          <w:sz w:val="26"/>
          <w:szCs w:val="26"/>
        </w:rPr>
        <w:t xml:space="preserve">Inițiativele normative care au vizat fie statutul judecătorilor şi procurorilor sau organizarea şi funcționarea sistemului judiciar, fie alte aspecte esențiale în activitatea autorității judecătorești, au fost permanent urmărite de către Consiliul Superior al Magistraturii care, de fiecare dată, a intervenit activ în procedura legislativă. </w:t>
      </w:r>
    </w:p>
    <w:p w14:paraId="3FB5102C" w14:textId="77777777" w:rsidR="001F6F7B" w:rsidRDefault="00A8330C" w:rsidP="00A8330C">
      <w:pPr>
        <w:tabs>
          <w:tab w:val="left" w:pos="5475"/>
        </w:tabs>
        <w:spacing w:line="276" w:lineRule="auto"/>
        <w:ind w:firstLine="709"/>
        <w:jc w:val="both"/>
        <w:rPr>
          <w:rFonts w:asciiTheme="minorHAnsi" w:hAnsiTheme="minorHAnsi" w:cstheme="minorHAnsi"/>
          <w:sz w:val="26"/>
          <w:szCs w:val="26"/>
        </w:rPr>
      </w:pPr>
      <w:r w:rsidRPr="00A8330C">
        <w:rPr>
          <w:rFonts w:asciiTheme="minorHAnsi" w:hAnsiTheme="minorHAnsi" w:cstheme="minorHAnsi"/>
          <w:sz w:val="26"/>
          <w:szCs w:val="26"/>
        </w:rPr>
        <w:t>În acest sens, Consiliul Superior al Magistraturii a susținut Înalta Curte de Casație de Justiție în demersul instanței supreme de a supune controlului de constituționalitate anterior promulgării Legea pentru modificarea și completarea unor acte normative din domeniul pensiilor de serviciu.</w:t>
      </w:r>
    </w:p>
    <w:p w14:paraId="0068A071" w14:textId="0D0DA4C2" w:rsidR="00A8330C" w:rsidRPr="00A8330C" w:rsidRDefault="00A8330C" w:rsidP="001F6F7B">
      <w:pPr>
        <w:tabs>
          <w:tab w:val="left" w:pos="5475"/>
        </w:tabs>
        <w:spacing w:line="276" w:lineRule="auto"/>
        <w:ind w:firstLine="709"/>
        <w:jc w:val="both"/>
        <w:rPr>
          <w:rFonts w:asciiTheme="minorHAnsi" w:hAnsiTheme="minorHAnsi" w:cstheme="minorHAnsi"/>
          <w:sz w:val="26"/>
          <w:szCs w:val="26"/>
        </w:rPr>
      </w:pPr>
      <w:r w:rsidRPr="00A8330C">
        <w:rPr>
          <w:rFonts w:asciiTheme="minorHAnsi" w:hAnsiTheme="minorHAnsi" w:cstheme="minorHAnsi"/>
          <w:sz w:val="26"/>
          <w:szCs w:val="26"/>
        </w:rPr>
        <w:t xml:space="preserve">Prin decizia Curţii Constituţionale a României, </w:t>
      </w:r>
      <w:r w:rsidR="00FE2F89">
        <w:rPr>
          <w:rFonts w:asciiTheme="minorHAnsi" w:hAnsiTheme="minorHAnsi" w:cstheme="minorHAnsi"/>
          <w:sz w:val="26"/>
          <w:szCs w:val="26"/>
        </w:rPr>
        <w:t>pronunţată</w:t>
      </w:r>
      <w:r w:rsidRPr="00A8330C">
        <w:rPr>
          <w:rFonts w:asciiTheme="minorHAnsi" w:hAnsiTheme="minorHAnsi" w:cstheme="minorHAnsi"/>
          <w:sz w:val="26"/>
          <w:szCs w:val="26"/>
        </w:rPr>
        <w:t xml:space="preserve"> la data de 20 octombrie 2025, </w:t>
      </w:r>
      <w:r w:rsidR="00FA03C8">
        <w:rPr>
          <w:rFonts w:asciiTheme="minorHAnsi" w:hAnsiTheme="minorHAnsi" w:cstheme="minorHAnsi"/>
          <w:sz w:val="26"/>
          <w:szCs w:val="26"/>
        </w:rPr>
        <w:br/>
      </w:r>
      <w:r w:rsidRPr="00A8330C">
        <w:rPr>
          <w:rFonts w:asciiTheme="minorHAnsi" w:hAnsiTheme="minorHAnsi" w:cstheme="minorHAnsi"/>
          <w:sz w:val="26"/>
          <w:szCs w:val="26"/>
        </w:rPr>
        <w:t>s-</w:t>
      </w:r>
      <w:r w:rsidR="00FE2F89">
        <w:rPr>
          <w:rFonts w:asciiTheme="minorHAnsi" w:hAnsiTheme="minorHAnsi" w:cstheme="minorHAnsi"/>
          <w:sz w:val="26"/>
          <w:szCs w:val="26"/>
        </w:rPr>
        <w:t xml:space="preserve">a </w:t>
      </w:r>
      <w:r w:rsidRPr="00A8330C">
        <w:rPr>
          <w:rFonts w:asciiTheme="minorHAnsi" w:hAnsiTheme="minorHAnsi" w:cstheme="minorHAnsi"/>
          <w:sz w:val="26"/>
          <w:szCs w:val="26"/>
        </w:rPr>
        <w:t>constatat că legea este neconstituțională în ansamblul său.</w:t>
      </w:r>
      <w:r w:rsidR="001F6F7B">
        <w:rPr>
          <w:rFonts w:asciiTheme="minorHAnsi" w:hAnsiTheme="minorHAnsi" w:cstheme="minorHAnsi"/>
          <w:sz w:val="26"/>
          <w:szCs w:val="26"/>
        </w:rPr>
        <w:t xml:space="preserve"> </w:t>
      </w:r>
      <w:r w:rsidRPr="00A8330C">
        <w:rPr>
          <w:rFonts w:asciiTheme="minorHAnsi" w:hAnsiTheme="minorHAnsi" w:cstheme="minorHAnsi"/>
          <w:sz w:val="26"/>
          <w:szCs w:val="26"/>
        </w:rPr>
        <w:t>Consiliul a luat act în mod public de decizia instanței de contencios constituțional, care a sancționat lipsa avizului Consiliului Superior al Magistraturii, reafirmând rolul acestuia de garant al independenței justiției în arhitectura constituțională, rol ce impune un dialog interinstituțional real și onest între puterile statului, care să dea efect principiului cooperării loiale între acestea.</w:t>
      </w:r>
    </w:p>
    <w:p w14:paraId="48DFB185" w14:textId="77777777" w:rsidR="00A8330C" w:rsidRPr="00A8330C" w:rsidRDefault="00A8330C" w:rsidP="00A8330C">
      <w:pPr>
        <w:tabs>
          <w:tab w:val="left" w:pos="5475"/>
        </w:tabs>
        <w:spacing w:line="276" w:lineRule="auto"/>
        <w:ind w:firstLine="709"/>
        <w:jc w:val="both"/>
        <w:rPr>
          <w:rFonts w:asciiTheme="minorHAnsi" w:hAnsiTheme="minorHAnsi" w:cstheme="minorHAnsi"/>
          <w:sz w:val="26"/>
          <w:szCs w:val="26"/>
        </w:rPr>
      </w:pPr>
      <w:r w:rsidRPr="00A8330C">
        <w:rPr>
          <w:rFonts w:asciiTheme="minorHAnsi" w:hAnsiTheme="minorHAnsi" w:cstheme="minorHAnsi"/>
          <w:sz w:val="26"/>
          <w:szCs w:val="26"/>
        </w:rPr>
        <w:t>Totodată, în cursul anului 2025, a fost sesizat Ministerul Justiției în vederea exercitării prerogativei de inițiativă legislativă în situațiile în care, în urma analizei Consiliului, a reieșit că se impune modificarea legislației.</w:t>
      </w:r>
    </w:p>
    <w:p w14:paraId="48AA0413" w14:textId="73B04ED5" w:rsidR="00A8330C" w:rsidRPr="00A8330C" w:rsidRDefault="00A8330C" w:rsidP="00A8330C">
      <w:pPr>
        <w:tabs>
          <w:tab w:val="left" w:pos="5475"/>
        </w:tabs>
        <w:spacing w:line="276" w:lineRule="auto"/>
        <w:ind w:firstLine="709"/>
        <w:jc w:val="both"/>
        <w:rPr>
          <w:rFonts w:asciiTheme="minorHAnsi" w:hAnsiTheme="minorHAnsi" w:cstheme="minorHAnsi"/>
          <w:sz w:val="26"/>
          <w:szCs w:val="26"/>
        </w:rPr>
      </w:pPr>
      <w:r w:rsidRPr="00A8330C">
        <w:rPr>
          <w:rFonts w:asciiTheme="minorHAnsi" w:hAnsiTheme="minorHAnsi" w:cstheme="minorHAnsi"/>
          <w:sz w:val="26"/>
          <w:szCs w:val="26"/>
        </w:rPr>
        <w:t>În cursul anului de referinţă, prin modul în care au fost derulate și finalizate procedurile disciplinare declanșate împotriva magistraților care au săvârșit abateri disciplinare, Consiliul</w:t>
      </w:r>
      <w:r>
        <w:rPr>
          <w:rFonts w:asciiTheme="minorHAnsi" w:hAnsiTheme="minorHAnsi" w:cstheme="minorHAnsi"/>
          <w:sz w:val="26"/>
          <w:szCs w:val="26"/>
        </w:rPr>
        <w:t xml:space="preserve"> </w:t>
      </w:r>
      <w:r w:rsidRPr="00A8330C">
        <w:rPr>
          <w:rFonts w:asciiTheme="minorHAnsi" w:hAnsiTheme="minorHAnsi" w:cstheme="minorHAnsi"/>
          <w:sz w:val="26"/>
          <w:szCs w:val="26"/>
        </w:rPr>
        <w:t>a dovedit că are capacitatea de a regla situațiile punctuale în care conduita unor magistrați s-a abătut de la înaltele standarde profesionale impuse de dispozițiile legale.</w:t>
      </w:r>
    </w:p>
    <w:p w14:paraId="3D6B1D13" w14:textId="22527518" w:rsidR="00A8330C" w:rsidRPr="00A8330C" w:rsidRDefault="00A8330C" w:rsidP="00A8330C">
      <w:pPr>
        <w:tabs>
          <w:tab w:val="left" w:pos="5475"/>
        </w:tabs>
        <w:spacing w:line="276" w:lineRule="auto"/>
        <w:ind w:firstLine="709"/>
        <w:jc w:val="both"/>
        <w:rPr>
          <w:rFonts w:asciiTheme="minorHAnsi" w:hAnsiTheme="minorHAnsi" w:cstheme="minorHAnsi"/>
          <w:sz w:val="26"/>
          <w:szCs w:val="26"/>
        </w:rPr>
      </w:pPr>
      <w:r w:rsidRPr="00A8330C">
        <w:rPr>
          <w:rFonts w:asciiTheme="minorHAnsi" w:hAnsiTheme="minorHAnsi" w:cstheme="minorHAnsi"/>
          <w:sz w:val="26"/>
          <w:szCs w:val="26"/>
        </w:rPr>
        <w:t>Dezvoltarea capacității instituționale a Institutului Național al Magistraturii și Școlii Naționale de Grefieri, prin consolidarea corpului formatorilor și colaboratorilor la nivelul instituțiilor coordonate a fost esențială pentru îmbunătățirea și valorificarea metodelor de formare care să asigure un corp de profesioniști cu experiență și solide cunoștințe juridice.</w:t>
      </w:r>
    </w:p>
    <w:p w14:paraId="39259429" w14:textId="77777777" w:rsidR="008811E0" w:rsidRDefault="00A8330C" w:rsidP="008811E0">
      <w:pPr>
        <w:spacing w:line="276" w:lineRule="auto"/>
        <w:ind w:firstLine="709"/>
        <w:jc w:val="both"/>
        <w:rPr>
          <w:rFonts w:asciiTheme="minorHAnsi" w:hAnsiTheme="minorHAnsi" w:cstheme="minorHAnsi"/>
          <w:sz w:val="26"/>
          <w:szCs w:val="26"/>
        </w:rPr>
      </w:pPr>
      <w:r w:rsidRPr="00A8330C">
        <w:rPr>
          <w:rFonts w:asciiTheme="minorHAnsi" w:hAnsiTheme="minorHAnsi" w:cstheme="minorHAnsi"/>
          <w:sz w:val="26"/>
          <w:szCs w:val="26"/>
        </w:rPr>
        <w:t>Consiliul Superior al Magistraturii a continuat derularea proiectelor cu finanțare externă demarate în anii anteriori, fiind finalizată, în anul 2025, implementarea proiectului „Îmbunătățirea digitalizării la nivelul Consiliului Superior al Magistraturii”, care a asigurat consolidarea capacității instituționale a Consiliului pentru asigurarea îndeplinirii adecvate a atribuțiilor, prin sporirea infrastructurii IT și a securității informatice.</w:t>
      </w:r>
      <w:r w:rsidR="008811E0">
        <w:rPr>
          <w:rFonts w:asciiTheme="minorHAnsi" w:hAnsiTheme="minorHAnsi" w:cstheme="minorHAnsi"/>
          <w:sz w:val="26"/>
          <w:szCs w:val="26"/>
        </w:rPr>
        <w:t xml:space="preserve"> </w:t>
      </w:r>
    </w:p>
    <w:p w14:paraId="51474961" w14:textId="08E2C3E7" w:rsidR="00A8330C" w:rsidRDefault="008811E0" w:rsidP="008811E0">
      <w:pPr>
        <w:spacing w:line="276" w:lineRule="auto"/>
        <w:ind w:firstLine="709"/>
        <w:jc w:val="both"/>
        <w:rPr>
          <w:rFonts w:asciiTheme="minorHAnsi" w:hAnsiTheme="minorHAnsi" w:cstheme="minorHAnsi"/>
          <w:sz w:val="26"/>
          <w:szCs w:val="26"/>
        </w:rPr>
      </w:pPr>
      <w:r>
        <w:rPr>
          <w:rFonts w:asciiTheme="minorHAnsi" w:hAnsiTheme="minorHAnsi" w:cstheme="minorHAnsi"/>
          <w:sz w:val="26"/>
          <w:szCs w:val="26"/>
        </w:rPr>
        <w:t>De asemenea, î</w:t>
      </w:r>
      <w:r w:rsidRPr="000F0D8B">
        <w:rPr>
          <w:rFonts w:asciiTheme="minorHAnsi" w:hAnsiTheme="minorHAnsi" w:cstheme="minorHAnsi"/>
          <w:sz w:val="26"/>
          <w:szCs w:val="26"/>
        </w:rPr>
        <w:t xml:space="preserve">n luna aprilie 2025, Consiliul Superior al Magistraturii a semnat contractul de finanțare aferent </w:t>
      </w:r>
      <w:r w:rsidRPr="00936217">
        <w:rPr>
          <w:rFonts w:asciiTheme="minorHAnsi" w:hAnsiTheme="minorHAnsi" w:cstheme="minorHAnsi"/>
          <w:sz w:val="26"/>
          <w:szCs w:val="26"/>
        </w:rPr>
        <w:t>Componentei de program 5</w:t>
      </w:r>
      <w:r>
        <w:rPr>
          <w:rFonts w:asciiTheme="minorHAnsi" w:hAnsiTheme="minorHAnsi" w:cstheme="minorHAnsi"/>
          <w:sz w:val="26"/>
          <w:szCs w:val="26"/>
        </w:rPr>
        <w:t xml:space="preserve"> - </w:t>
      </w:r>
      <w:r w:rsidRPr="00936217">
        <w:rPr>
          <w:rFonts w:asciiTheme="minorHAnsi" w:hAnsiTheme="minorHAnsi" w:cstheme="minorHAnsi"/>
          <w:sz w:val="26"/>
          <w:szCs w:val="26"/>
        </w:rPr>
        <w:t>Îmbunătățirea și consolidarea sistemului de justiție pentru minori,</w:t>
      </w:r>
      <w:r w:rsidRPr="000F0D8B">
        <w:rPr>
          <w:rFonts w:asciiTheme="minorHAnsi" w:hAnsiTheme="minorHAnsi" w:cstheme="minorHAnsi"/>
          <w:sz w:val="26"/>
          <w:szCs w:val="26"/>
        </w:rPr>
        <w:t xml:space="preserve"> un demers de anvergură finanțat în cadrul Programului de Cooperare Elvețiano-Român</w:t>
      </w:r>
      <w:r>
        <w:rPr>
          <w:rFonts w:asciiTheme="minorHAnsi" w:hAnsiTheme="minorHAnsi" w:cstheme="minorHAnsi"/>
          <w:sz w:val="26"/>
          <w:szCs w:val="26"/>
        </w:rPr>
        <w:t xml:space="preserve"> - </w:t>
      </w:r>
      <w:r w:rsidRPr="000F0D8B">
        <w:rPr>
          <w:rFonts w:asciiTheme="minorHAnsi" w:hAnsiTheme="minorHAnsi" w:cstheme="minorHAnsi"/>
          <w:sz w:val="26"/>
          <w:szCs w:val="26"/>
        </w:rPr>
        <w:t xml:space="preserve">Programul de securitate și siguranță publică (Justiție). Această componentă se concentrează pe dezvoltarea unui sistem judiciar mai prietenos cu copiii, cu impact direct asupra </w:t>
      </w:r>
      <w:r w:rsidRPr="000F0D8B">
        <w:rPr>
          <w:rFonts w:asciiTheme="minorHAnsi" w:hAnsiTheme="minorHAnsi" w:cstheme="minorHAnsi"/>
          <w:sz w:val="26"/>
          <w:szCs w:val="26"/>
        </w:rPr>
        <w:lastRenderedPageBreak/>
        <w:t>protecției acestora în timpul procedurilor judiciare, pentru a reduce riscul de revictimizare a acestora și traumele sistemice.</w:t>
      </w:r>
    </w:p>
    <w:p w14:paraId="3D8452C9" w14:textId="5C935E39" w:rsidR="00E2333F" w:rsidRDefault="00E2333F" w:rsidP="00E2333F">
      <w:pPr>
        <w:spacing w:line="276" w:lineRule="auto"/>
        <w:ind w:firstLine="709"/>
        <w:jc w:val="both"/>
        <w:rPr>
          <w:rFonts w:asciiTheme="minorHAnsi" w:hAnsiTheme="minorHAnsi" w:cstheme="minorHAnsi"/>
          <w:sz w:val="26"/>
          <w:szCs w:val="26"/>
        </w:rPr>
      </w:pPr>
      <w:r>
        <w:rPr>
          <w:rFonts w:asciiTheme="minorHAnsi" w:hAnsiTheme="minorHAnsi" w:cstheme="minorHAnsi"/>
          <w:sz w:val="26"/>
          <w:szCs w:val="26"/>
        </w:rPr>
        <w:t>În domeniul digitalizării justiţiei, Consiliul a continuat demersurile iniţiate anterior, pentru creşterea eficienţei instanţelor şi parchetelor prin utilizarea tehnologiilor informatice în cadrul redactării actelor de procedură, cu consecinţa scurtării timpilor de lucru în activitatea magistraţilor, asigurând totodată accesul mai facil al cetăţenilor la justiţie şi al publicului larg la hotărârile judecătoreşti anonimizate, în vederea cunoaşterii jurisprudenţei instanţelor şi a creşterii transparenţei sistemului judiciar.</w:t>
      </w:r>
    </w:p>
    <w:p w14:paraId="1E78B09D" w14:textId="1EBC6BE8" w:rsidR="00510D76" w:rsidRDefault="00A8330C" w:rsidP="00E2333F">
      <w:pPr>
        <w:spacing w:line="276" w:lineRule="auto"/>
        <w:ind w:firstLine="709"/>
        <w:jc w:val="both"/>
        <w:rPr>
          <w:rFonts w:asciiTheme="minorHAnsi" w:hAnsiTheme="minorHAnsi" w:cstheme="minorHAnsi"/>
          <w:sz w:val="26"/>
          <w:szCs w:val="26"/>
        </w:rPr>
      </w:pPr>
      <w:r w:rsidRPr="00A8330C">
        <w:rPr>
          <w:rFonts w:asciiTheme="minorHAnsi" w:hAnsiTheme="minorHAnsi" w:cstheme="minorHAnsi"/>
          <w:sz w:val="26"/>
          <w:szCs w:val="26"/>
        </w:rPr>
        <w:t>Anul 2025, prin provocările pe care le-a adus</w:t>
      </w:r>
      <w:r w:rsidR="001C423C">
        <w:rPr>
          <w:rFonts w:asciiTheme="minorHAnsi" w:hAnsiTheme="minorHAnsi" w:cstheme="minorHAnsi"/>
          <w:sz w:val="26"/>
          <w:szCs w:val="26"/>
        </w:rPr>
        <w:t>,</w:t>
      </w:r>
      <w:r w:rsidRPr="00A8330C">
        <w:rPr>
          <w:rFonts w:asciiTheme="minorHAnsi" w:hAnsiTheme="minorHAnsi" w:cstheme="minorHAnsi"/>
          <w:sz w:val="26"/>
          <w:szCs w:val="26"/>
        </w:rPr>
        <w:t xml:space="preserve"> în special în ceea ce privește modificarea statutului magistratului, a relevat importanța menținerii echilibrului constituțional din această perspectivă, precum şi faptul că toate demersurile în sensul salvgardării garanțiilor aferente statutului magistratului</w:t>
      </w:r>
      <w:r w:rsidR="001F6F7B">
        <w:rPr>
          <w:rFonts w:asciiTheme="minorHAnsi" w:hAnsiTheme="minorHAnsi" w:cstheme="minorHAnsi"/>
          <w:sz w:val="26"/>
          <w:szCs w:val="26"/>
        </w:rPr>
        <w:t xml:space="preserve"> </w:t>
      </w:r>
      <w:r w:rsidRPr="00A8330C">
        <w:rPr>
          <w:rFonts w:asciiTheme="minorHAnsi" w:hAnsiTheme="minorHAnsi" w:cstheme="minorHAnsi"/>
          <w:sz w:val="26"/>
          <w:szCs w:val="26"/>
        </w:rPr>
        <w:t>trebuie să aibă în vedere, în egală măsură, vocea corpului profesional al judecătorilor şi procurorilor, precum şi asigurarea independenței sistemului judiciar.</w:t>
      </w:r>
    </w:p>
    <w:p w14:paraId="0A4B00B6" w14:textId="64431FC4" w:rsidR="0065137A" w:rsidRDefault="0065137A">
      <w:pPr>
        <w:spacing w:after="160" w:line="259" w:lineRule="auto"/>
        <w:rPr>
          <w:rFonts w:asciiTheme="minorHAnsi" w:hAnsiTheme="minorHAnsi" w:cstheme="minorHAnsi"/>
          <w:sz w:val="26"/>
          <w:szCs w:val="26"/>
        </w:rPr>
      </w:pPr>
      <w:r>
        <w:rPr>
          <w:rFonts w:asciiTheme="minorHAnsi" w:hAnsiTheme="minorHAnsi" w:cstheme="minorHAnsi"/>
          <w:sz w:val="26"/>
          <w:szCs w:val="26"/>
        </w:rPr>
        <w:br w:type="page"/>
      </w:r>
    </w:p>
    <w:p w14:paraId="462614B4" w14:textId="3300B97C" w:rsidR="00B1514A" w:rsidRPr="000F0D8B" w:rsidRDefault="00B1514A" w:rsidP="009E3AD8">
      <w:pPr>
        <w:pStyle w:val="Heading1"/>
        <w:keepNext w:val="0"/>
        <w:keepLines w:val="0"/>
        <w:suppressLineNumbers/>
        <w:suppressAutoHyphens/>
        <w:ind w:firstLine="0"/>
        <w:rPr>
          <w:rFonts w:cstheme="minorHAnsi"/>
          <w:color w:val="auto"/>
          <w:sz w:val="26"/>
          <w:szCs w:val="26"/>
        </w:rPr>
      </w:pPr>
      <w:bookmarkStart w:id="3" w:name="_Toc219287934"/>
      <w:r w:rsidRPr="000F0D8B">
        <w:rPr>
          <w:rFonts w:cstheme="minorHAnsi"/>
          <w:color w:val="auto"/>
          <w:sz w:val="26"/>
          <w:szCs w:val="26"/>
        </w:rPr>
        <w:lastRenderedPageBreak/>
        <w:t>CAPITOLUL I</w:t>
      </w:r>
      <w:bookmarkEnd w:id="3"/>
    </w:p>
    <w:p w14:paraId="3DF50818" w14:textId="77777777" w:rsidR="00B1514A" w:rsidRPr="000F0D8B" w:rsidRDefault="00B1514A" w:rsidP="009E3AD8">
      <w:pPr>
        <w:pStyle w:val="Heading1"/>
        <w:keepNext w:val="0"/>
        <w:keepLines w:val="0"/>
        <w:suppressLineNumbers/>
        <w:suppressAutoHyphens/>
        <w:ind w:firstLine="0"/>
        <w:rPr>
          <w:rFonts w:cstheme="minorHAnsi"/>
          <w:color w:val="auto"/>
          <w:sz w:val="26"/>
          <w:szCs w:val="26"/>
        </w:rPr>
      </w:pPr>
      <w:bookmarkStart w:id="4" w:name="_Toc219287935"/>
      <w:r w:rsidRPr="000F0D8B">
        <w:rPr>
          <w:rFonts w:cstheme="minorHAnsi"/>
          <w:color w:val="auto"/>
          <w:sz w:val="26"/>
          <w:szCs w:val="26"/>
        </w:rPr>
        <w:t>Îndeplinirea rolului constituţional de garant al independenţei justiţiei</w:t>
      </w:r>
      <w:bookmarkEnd w:id="4"/>
    </w:p>
    <w:p w14:paraId="65DFCB48" w14:textId="2F10D332" w:rsidR="00B1514A" w:rsidRPr="000F0D8B" w:rsidRDefault="00B1514A" w:rsidP="009E3AD8">
      <w:pPr>
        <w:pStyle w:val="Heading2"/>
        <w:keepLines w:val="0"/>
        <w:rPr>
          <w:rFonts w:cstheme="minorHAnsi"/>
          <w:color w:val="auto"/>
          <w:lang w:val="ro-RO"/>
        </w:rPr>
      </w:pPr>
      <w:bookmarkStart w:id="5" w:name="_Toc430867105"/>
      <w:bookmarkStart w:id="6" w:name="_Toc219287936"/>
      <w:r w:rsidRPr="000F0D8B">
        <w:rPr>
          <w:rFonts w:cstheme="minorHAnsi"/>
          <w:color w:val="auto"/>
          <w:lang w:val="ro-RO"/>
        </w:rPr>
        <w:t>I.1</w:t>
      </w:r>
      <w:bookmarkEnd w:id="5"/>
      <w:r w:rsidRPr="000F0D8B">
        <w:rPr>
          <w:rFonts w:cstheme="minorHAnsi"/>
          <w:color w:val="auto"/>
          <w:lang w:val="ro-RO"/>
        </w:rPr>
        <w:t>. Procedurile derulate privind ocuparea celor mai înalte funcţii din cadrul Înaltei Curţi de Casaţie şi Justiţie</w:t>
      </w:r>
      <w:bookmarkEnd w:id="6"/>
    </w:p>
    <w:p w14:paraId="7CF32DEC" w14:textId="77777777" w:rsidR="00A926FA" w:rsidRPr="004A72CD" w:rsidRDefault="00A926FA" w:rsidP="009E3AD8">
      <w:pPr>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 xml:space="preserve">În acord cu dispoziţiile art. 21 din Legea nr. 304/2022 privind organizarea judiciară, cu modificările și completările ulterioare, la nivelul Înaltei Curţi de Casaţie şi Justiţie, </w:t>
      </w:r>
      <w:r>
        <w:rPr>
          <w:rFonts w:asciiTheme="minorHAnsi" w:hAnsiTheme="minorHAnsi" w:cstheme="minorHAnsi"/>
          <w:sz w:val="26"/>
          <w:szCs w:val="26"/>
        </w:rPr>
        <w:t xml:space="preserve">instanță </w:t>
      </w:r>
      <w:r w:rsidRPr="004A72CD">
        <w:rPr>
          <w:rFonts w:asciiTheme="minorHAnsi" w:hAnsiTheme="minorHAnsi" w:cstheme="minorHAnsi"/>
          <w:sz w:val="26"/>
          <w:szCs w:val="26"/>
        </w:rPr>
        <w:t xml:space="preserve">cu rol </w:t>
      </w:r>
      <w:r>
        <w:rPr>
          <w:rFonts w:asciiTheme="minorHAnsi" w:hAnsiTheme="minorHAnsi" w:cstheme="minorHAnsi"/>
          <w:sz w:val="26"/>
          <w:szCs w:val="26"/>
        </w:rPr>
        <w:t>esențial</w:t>
      </w:r>
      <w:r w:rsidRPr="004A72CD">
        <w:rPr>
          <w:rFonts w:asciiTheme="minorHAnsi" w:hAnsiTheme="minorHAnsi" w:cstheme="minorHAnsi"/>
          <w:sz w:val="26"/>
          <w:szCs w:val="26"/>
        </w:rPr>
        <w:t xml:space="preserve"> în cadrul sistemului judiciar şi aflată la vârful structurii instanţelor judecătoreşti, sunt prevăzute un număr de 7 funcţii de conducere (preşedinte, doi vicepreşedinţi şi patru preşedinţi de secţie). </w:t>
      </w:r>
    </w:p>
    <w:p w14:paraId="1835A4BB" w14:textId="77777777" w:rsidR="00A926FA" w:rsidRPr="004A72CD" w:rsidRDefault="00A926FA" w:rsidP="009E3AD8">
      <w:pPr>
        <w:spacing w:line="276" w:lineRule="auto"/>
        <w:ind w:firstLine="720"/>
        <w:jc w:val="both"/>
        <w:rPr>
          <w:rFonts w:asciiTheme="minorHAnsi" w:hAnsiTheme="minorHAnsi" w:cstheme="minorHAnsi"/>
          <w:sz w:val="26"/>
          <w:szCs w:val="26"/>
        </w:rPr>
      </w:pPr>
      <w:r w:rsidRPr="004A72CD">
        <w:rPr>
          <w:rFonts w:asciiTheme="minorHAnsi" w:hAnsiTheme="minorHAnsi" w:cstheme="minorHAnsi"/>
          <w:sz w:val="26"/>
          <w:szCs w:val="26"/>
        </w:rPr>
        <w:t>Preşedintele, vicepreşedinţii şi preşedinţii de secţie ai Înaltei Curţi de Casaţie şi Justiţie sunt numiţi, pentru o perioadă de 3 ani, de către Secţia pentru judecători a Consiliului Superior al Magistraturii</w:t>
      </w:r>
      <w:r w:rsidRPr="004A72CD">
        <w:rPr>
          <w:rFonts w:asciiTheme="minorHAnsi" w:hAnsiTheme="minorHAnsi" w:cstheme="minorHAnsi"/>
          <w:b/>
          <w:i/>
          <w:sz w:val="26"/>
          <w:szCs w:val="26"/>
        </w:rPr>
        <w:t xml:space="preserve"> </w:t>
      </w:r>
      <w:r w:rsidRPr="004A72CD">
        <w:rPr>
          <w:rFonts w:asciiTheme="minorHAnsi" w:hAnsiTheme="minorHAnsi" w:cstheme="minorHAnsi"/>
          <w:sz w:val="26"/>
          <w:szCs w:val="26"/>
        </w:rPr>
        <w:t xml:space="preserve">dintre judecătorii Înaltei Curţi de Casaţie şi Justiţie care au funcţionat la această instanţă cel puţin 2 ani şi care nu au fost sancţionaţi disciplinar în ultimii 3 ani, potrivit dispoziţiilor art. 142 alin. (1) şi alin. (2) din Legea nr. 303/2022 privind statutul judecătorilor și procurorilor, cu modificările și completările ulterioare. </w:t>
      </w:r>
    </w:p>
    <w:p w14:paraId="5CFD6649" w14:textId="11486D6F" w:rsidR="00A926FA" w:rsidRPr="004A72CD" w:rsidRDefault="00A926FA" w:rsidP="009E3AD8">
      <w:pPr>
        <w:spacing w:line="276" w:lineRule="auto"/>
        <w:ind w:firstLine="708"/>
        <w:jc w:val="both"/>
        <w:rPr>
          <w:rFonts w:asciiTheme="minorHAnsi" w:hAnsiTheme="minorHAnsi" w:cstheme="minorHAnsi"/>
          <w:bCs/>
          <w:iCs/>
          <w:sz w:val="26"/>
          <w:szCs w:val="26"/>
        </w:rPr>
      </w:pPr>
      <w:r w:rsidRPr="004A72CD">
        <w:rPr>
          <w:rFonts w:asciiTheme="minorHAnsi" w:hAnsiTheme="minorHAnsi" w:cstheme="minorHAnsi"/>
          <w:sz w:val="26"/>
          <w:szCs w:val="26"/>
        </w:rPr>
        <w:t xml:space="preserve">În vederea asigurării desfăşurării în bune condiţii a activităţii Înaltei Curţi de Casaţie şi Justiţie, reţinând importanţa funcţiilor de conducere de la nivelul instanţei supreme, precum şi necesitatea asigurării stabilităţii şi continuităţii exercitării funcţiei, la data de </w:t>
      </w:r>
      <w:r>
        <w:rPr>
          <w:rFonts w:asciiTheme="minorHAnsi" w:hAnsiTheme="minorHAnsi" w:cstheme="minorHAnsi"/>
          <w:sz w:val="26"/>
          <w:szCs w:val="26"/>
        </w:rPr>
        <w:t>19</w:t>
      </w:r>
      <w:r w:rsidRPr="004A72CD">
        <w:rPr>
          <w:rFonts w:asciiTheme="minorHAnsi" w:hAnsiTheme="minorHAnsi" w:cstheme="minorHAnsi"/>
          <w:sz w:val="26"/>
          <w:szCs w:val="26"/>
        </w:rPr>
        <w:t xml:space="preserve"> </w:t>
      </w:r>
      <w:r>
        <w:rPr>
          <w:rFonts w:asciiTheme="minorHAnsi" w:hAnsiTheme="minorHAnsi" w:cstheme="minorHAnsi"/>
          <w:sz w:val="26"/>
          <w:szCs w:val="26"/>
        </w:rPr>
        <w:t>mai</w:t>
      </w:r>
      <w:r w:rsidRPr="004A72CD">
        <w:rPr>
          <w:rFonts w:asciiTheme="minorHAnsi" w:hAnsiTheme="minorHAnsi" w:cstheme="minorHAnsi"/>
          <w:sz w:val="26"/>
          <w:szCs w:val="26"/>
        </w:rPr>
        <w:t xml:space="preserve"> 202</w:t>
      </w:r>
      <w:r>
        <w:rPr>
          <w:rFonts w:asciiTheme="minorHAnsi" w:hAnsiTheme="minorHAnsi" w:cstheme="minorHAnsi"/>
          <w:sz w:val="26"/>
          <w:szCs w:val="26"/>
        </w:rPr>
        <w:t>5</w:t>
      </w:r>
      <w:r w:rsidR="001B7F1B">
        <w:rPr>
          <w:rFonts w:asciiTheme="minorHAnsi" w:hAnsiTheme="minorHAnsi" w:cstheme="minorHAnsi"/>
          <w:sz w:val="26"/>
          <w:szCs w:val="26"/>
        </w:rPr>
        <w:t xml:space="preserve"> a fost declanşată </w:t>
      </w:r>
      <w:r w:rsidRPr="004A72CD">
        <w:rPr>
          <w:rFonts w:asciiTheme="minorHAnsi" w:hAnsiTheme="minorHAnsi" w:cstheme="minorHAnsi"/>
          <w:sz w:val="26"/>
          <w:szCs w:val="26"/>
        </w:rPr>
        <w:t>procedur</w:t>
      </w:r>
      <w:r w:rsidR="001B7F1B">
        <w:rPr>
          <w:rFonts w:asciiTheme="minorHAnsi" w:hAnsiTheme="minorHAnsi" w:cstheme="minorHAnsi"/>
          <w:sz w:val="26"/>
          <w:szCs w:val="26"/>
        </w:rPr>
        <w:t>a</w:t>
      </w:r>
      <w:r w:rsidRPr="004A72CD">
        <w:rPr>
          <w:rFonts w:asciiTheme="minorHAnsi" w:hAnsiTheme="minorHAnsi" w:cstheme="minorHAnsi"/>
          <w:sz w:val="26"/>
          <w:szCs w:val="26"/>
        </w:rPr>
        <w:t xml:space="preserve"> de ocupare a </w:t>
      </w:r>
      <w:r w:rsidRPr="004A72CD">
        <w:rPr>
          <w:rFonts w:asciiTheme="minorHAnsi" w:hAnsiTheme="minorHAnsi" w:cstheme="minorHAnsi"/>
          <w:bCs/>
          <w:sz w:val="26"/>
          <w:szCs w:val="26"/>
        </w:rPr>
        <w:t>funcți</w:t>
      </w:r>
      <w:r>
        <w:rPr>
          <w:rFonts w:asciiTheme="minorHAnsi" w:hAnsiTheme="minorHAnsi" w:cstheme="minorHAnsi"/>
          <w:bCs/>
          <w:sz w:val="26"/>
          <w:szCs w:val="26"/>
        </w:rPr>
        <w:t>ei</w:t>
      </w:r>
      <w:r w:rsidRPr="004A72CD">
        <w:rPr>
          <w:rFonts w:asciiTheme="minorHAnsi" w:hAnsiTheme="minorHAnsi" w:cstheme="minorHAnsi"/>
          <w:bCs/>
          <w:sz w:val="26"/>
          <w:szCs w:val="26"/>
        </w:rPr>
        <w:t xml:space="preserve"> de președinte al Înaltei Curţi de Casație și Justiție</w:t>
      </w:r>
      <w:r w:rsidRPr="004A72CD">
        <w:rPr>
          <w:rFonts w:asciiTheme="minorHAnsi" w:hAnsiTheme="minorHAnsi" w:cstheme="minorHAnsi"/>
          <w:bCs/>
          <w:iCs/>
          <w:sz w:val="26"/>
          <w:szCs w:val="26"/>
        </w:rPr>
        <w:t>, în acord cu prevederile art. 142 din Legea nr. 303/2022, cu modificările și completările ulterioare.</w:t>
      </w:r>
    </w:p>
    <w:p w14:paraId="0049DBE2" w14:textId="5D2E9C57" w:rsidR="00A926FA" w:rsidRDefault="00A926FA" w:rsidP="009E3AD8">
      <w:pPr>
        <w:spacing w:line="276" w:lineRule="auto"/>
        <w:ind w:firstLine="708"/>
        <w:jc w:val="both"/>
        <w:rPr>
          <w:rFonts w:asciiTheme="minorHAnsi" w:hAnsiTheme="minorHAnsi" w:cstheme="minorHAnsi"/>
          <w:sz w:val="26"/>
          <w:szCs w:val="26"/>
        </w:rPr>
      </w:pPr>
      <w:r>
        <w:rPr>
          <w:rFonts w:asciiTheme="minorHAnsi" w:hAnsiTheme="minorHAnsi" w:cstheme="minorHAnsi"/>
          <w:bCs/>
          <w:iCs/>
          <w:sz w:val="26"/>
          <w:szCs w:val="26"/>
        </w:rPr>
        <w:t>În ședința din data de 23 iunie 2025, Secția pentru judecători a Consiliului Superior al Magistraturii a</w:t>
      </w:r>
      <w:r w:rsidRPr="004A72CD">
        <w:rPr>
          <w:rFonts w:asciiTheme="minorHAnsi" w:hAnsiTheme="minorHAnsi" w:cstheme="minorHAnsi"/>
          <w:bCs/>
          <w:iCs/>
          <w:sz w:val="26"/>
          <w:szCs w:val="26"/>
        </w:rPr>
        <w:t xml:space="preserve"> analiz</w:t>
      </w:r>
      <w:r>
        <w:rPr>
          <w:rFonts w:asciiTheme="minorHAnsi" w:hAnsiTheme="minorHAnsi" w:cstheme="minorHAnsi"/>
          <w:bCs/>
          <w:iCs/>
          <w:sz w:val="26"/>
          <w:szCs w:val="26"/>
        </w:rPr>
        <w:t>at</w:t>
      </w:r>
      <w:r w:rsidRPr="004A72CD">
        <w:rPr>
          <w:rFonts w:asciiTheme="minorHAnsi" w:hAnsiTheme="minorHAnsi" w:cstheme="minorHAnsi"/>
          <w:bCs/>
          <w:iCs/>
          <w:sz w:val="26"/>
          <w:szCs w:val="26"/>
        </w:rPr>
        <w:t xml:space="preserve"> candidatur</w:t>
      </w:r>
      <w:r>
        <w:rPr>
          <w:rFonts w:asciiTheme="minorHAnsi" w:hAnsiTheme="minorHAnsi" w:cstheme="minorHAnsi"/>
          <w:bCs/>
          <w:iCs/>
          <w:sz w:val="26"/>
          <w:szCs w:val="26"/>
        </w:rPr>
        <w:t xml:space="preserve">a, </w:t>
      </w:r>
      <w:r w:rsidRPr="004A72CD">
        <w:rPr>
          <w:rFonts w:asciiTheme="minorHAnsi" w:hAnsiTheme="minorHAnsi" w:cstheme="minorHAnsi"/>
          <w:bCs/>
          <w:sz w:val="26"/>
          <w:szCs w:val="26"/>
        </w:rPr>
        <w:t>proiect</w:t>
      </w:r>
      <w:r>
        <w:rPr>
          <w:rFonts w:asciiTheme="minorHAnsi" w:hAnsiTheme="minorHAnsi" w:cstheme="minorHAnsi"/>
          <w:bCs/>
          <w:sz w:val="26"/>
          <w:szCs w:val="26"/>
        </w:rPr>
        <w:t>ul</w:t>
      </w:r>
      <w:r w:rsidRPr="004A72CD">
        <w:rPr>
          <w:rFonts w:asciiTheme="minorHAnsi" w:hAnsiTheme="minorHAnsi" w:cstheme="minorHAnsi"/>
          <w:bCs/>
          <w:sz w:val="26"/>
          <w:szCs w:val="26"/>
        </w:rPr>
        <w:t xml:space="preserve"> managerial</w:t>
      </w:r>
      <w:r>
        <w:rPr>
          <w:rFonts w:asciiTheme="minorHAnsi" w:hAnsiTheme="minorHAnsi" w:cstheme="minorHAnsi"/>
          <w:bCs/>
          <w:sz w:val="26"/>
          <w:szCs w:val="26"/>
        </w:rPr>
        <w:t xml:space="preserve"> și celelalte înscrisuri</w:t>
      </w:r>
      <w:r w:rsidRPr="004A72CD">
        <w:rPr>
          <w:rFonts w:asciiTheme="minorHAnsi" w:hAnsiTheme="minorHAnsi" w:cstheme="minorHAnsi"/>
          <w:bCs/>
          <w:sz w:val="26"/>
          <w:szCs w:val="26"/>
        </w:rPr>
        <w:t xml:space="preserve"> </w:t>
      </w:r>
      <w:r w:rsidRPr="004A72CD">
        <w:rPr>
          <w:rFonts w:asciiTheme="minorHAnsi" w:hAnsiTheme="minorHAnsi" w:cstheme="minorHAnsi"/>
          <w:bCs/>
          <w:iCs/>
          <w:sz w:val="26"/>
          <w:szCs w:val="26"/>
        </w:rPr>
        <w:t>depus</w:t>
      </w:r>
      <w:r>
        <w:rPr>
          <w:rFonts w:asciiTheme="minorHAnsi" w:hAnsiTheme="minorHAnsi" w:cstheme="minorHAnsi"/>
          <w:bCs/>
          <w:iCs/>
          <w:sz w:val="26"/>
          <w:szCs w:val="26"/>
        </w:rPr>
        <w:t>e</w:t>
      </w:r>
      <w:r w:rsidRPr="004A72CD">
        <w:rPr>
          <w:rFonts w:asciiTheme="minorHAnsi" w:hAnsiTheme="minorHAnsi" w:cstheme="minorHAnsi"/>
          <w:bCs/>
          <w:iCs/>
          <w:sz w:val="26"/>
          <w:szCs w:val="26"/>
        </w:rPr>
        <w:t xml:space="preserve"> </w:t>
      </w:r>
      <w:r w:rsidRPr="004A72CD">
        <w:rPr>
          <w:rFonts w:asciiTheme="minorHAnsi" w:hAnsiTheme="minorHAnsi" w:cstheme="minorHAnsi"/>
          <w:bCs/>
          <w:sz w:val="26"/>
          <w:szCs w:val="26"/>
        </w:rPr>
        <w:t>de către candida</w:t>
      </w:r>
      <w:r>
        <w:rPr>
          <w:rFonts w:asciiTheme="minorHAnsi" w:hAnsiTheme="minorHAnsi" w:cstheme="minorHAnsi"/>
          <w:bCs/>
          <w:sz w:val="26"/>
          <w:szCs w:val="26"/>
        </w:rPr>
        <w:t>t</w:t>
      </w:r>
      <w:r w:rsidR="00A35EF2">
        <w:rPr>
          <w:rFonts w:asciiTheme="minorHAnsi" w:hAnsiTheme="minorHAnsi" w:cstheme="minorHAnsi"/>
          <w:bCs/>
          <w:sz w:val="26"/>
          <w:szCs w:val="26"/>
        </w:rPr>
        <w:t>ul</w:t>
      </w:r>
      <w:r w:rsidRPr="004A72CD">
        <w:rPr>
          <w:rFonts w:asciiTheme="minorHAnsi" w:hAnsiTheme="minorHAnsi" w:cstheme="minorHAnsi"/>
          <w:bCs/>
          <w:iCs/>
          <w:sz w:val="26"/>
          <w:szCs w:val="26"/>
        </w:rPr>
        <w:t xml:space="preserve"> pentru funcți</w:t>
      </w:r>
      <w:r>
        <w:rPr>
          <w:rFonts w:asciiTheme="minorHAnsi" w:hAnsiTheme="minorHAnsi" w:cstheme="minorHAnsi"/>
          <w:bCs/>
          <w:iCs/>
          <w:sz w:val="26"/>
          <w:szCs w:val="26"/>
        </w:rPr>
        <w:t>a</w:t>
      </w:r>
      <w:r w:rsidRPr="004A72CD">
        <w:rPr>
          <w:rFonts w:asciiTheme="minorHAnsi" w:hAnsiTheme="minorHAnsi" w:cstheme="minorHAnsi"/>
          <w:bCs/>
          <w:iCs/>
          <w:sz w:val="26"/>
          <w:szCs w:val="26"/>
        </w:rPr>
        <w:t xml:space="preserve"> de </w:t>
      </w:r>
      <w:r w:rsidRPr="004A72CD">
        <w:rPr>
          <w:rFonts w:asciiTheme="minorHAnsi" w:hAnsiTheme="minorHAnsi" w:cstheme="minorHAnsi"/>
          <w:bCs/>
          <w:sz w:val="26"/>
          <w:szCs w:val="26"/>
        </w:rPr>
        <w:t>președinte al</w:t>
      </w:r>
      <w:r w:rsidR="00A35EF2">
        <w:rPr>
          <w:rFonts w:asciiTheme="minorHAnsi" w:hAnsiTheme="minorHAnsi" w:cstheme="minorHAnsi"/>
          <w:bCs/>
          <w:sz w:val="26"/>
          <w:szCs w:val="26"/>
        </w:rPr>
        <w:t xml:space="preserve"> Înaltei Curţi de Casaţie şi Justiţie</w:t>
      </w:r>
      <w:r>
        <w:rPr>
          <w:rFonts w:asciiTheme="minorHAnsi" w:hAnsiTheme="minorHAnsi" w:cstheme="minorHAnsi"/>
          <w:bCs/>
          <w:sz w:val="26"/>
          <w:szCs w:val="26"/>
        </w:rPr>
        <w:t>. În cadrul aceleiași ședințe a avut loc</w:t>
      </w:r>
      <w:r w:rsidRPr="004A72CD">
        <w:rPr>
          <w:rFonts w:asciiTheme="minorHAnsi" w:hAnsiTheme="minorHAnsi" w:cstheme="minorHAnsi"/>
          <w:bCs/>
          <w:sz w:val="26"/>
          <w:szCs w:val="26"/>
        </w:rPr>
        <w:t xml:space="preserve"> susținer</w:t>
      </w:r>
      <w:r>
        <w:rPr>
          <w:rFonts w:asciiTheme="minorHAnsi" w:hAnsiTheme="minorHAnsi" w:cstheme="minorHAnsi"/>
          <w:bCs/>
          <w:sz w:val="26"/>
          <w:szCs w:val="26"/>
        </w:rPr>
        <w:t>ea</w:t>
      </w:r>
      <w:r w:rsidRPr="004A72CD">
        <w:rPr>
          <w:rFonts w:asciiTheme="minorHAnsi" w:hAnsiTheme="minorHAnsi" w:cstheme="minorHAnsi"/>
          <w:bCs/>
          <w:sz w:val="26"/>
          <w:szCs w:val="26"/>
        </w:rPr>
        <w:t xml:space="preserve"> interviului</w:t>
      </w:r>
      <w:r w:rsidRPr="004A72CD">
        <w:rPr>
          <w:rFonts w:asciiTheme="minorHAnsi" w:hAnsiTheme="minorHAnsi" w:cstheme="minorHAnsi"/>
          <w:bCs/>
          <w:iCs/>
          <w:sz w:val="26"/>
          <w:szCs w:val="26"/>
        </w:rPr>
        <w:t xml:space="preserve">, </w:t>
      </w:r>
      <w:r>
        <w:rPr>
          <w:rFonts w:asciiTheme="minorHAnsi" w:hAnsiTheme="minorHAnsi" w:cstheme="minorHAnsi"/>
          <w:bCs/>
          <w:iCs/>
          <w:sz w:val="26"/>
          <w:szCs w:val="26"/>
        </w:rPr>
        <w:t xml:space="preserve">iar </w:t>
      </w:r>
      <w:r w:rsidRPr="004A72CD">
        <w:rPr>
          <w:rFonts w:asciiTheme="minorHAnsi" w:hAnsiTheme="minorHAnsi" w:cstheme="minorHAnsi"/>
          <w:sz w:val="26"/>
          <w:szCs w:val="26"/>
        </w:rPr>
        <w:t xml:space="preserve">prin Hotărârea Secţiei pentru judecători a Consiliului Superior al Magistraturii nr. </w:t>
      </w:r>
      <w:r>
        <w:rPr>
          <w:rFonts w:asciiTheme="minorHAnsi" w:hAnsiTheme="minorHAnsi" w:cstheme="minorHAnsi"/>
          <w:sz w:val="26"/>
          <w:szCs w:val="26"/>
        </w:rPr>
        <w:t>1533</w:t>
      </w:r>
      <w:r w:rsidRPr="004A72CD">
        <w:rPr>
          <w:rFonts w:asciiTheme="minorHAnsi" w:hAnsiTheme="minorHAnsi" w:cstheme="minorHAnsi"/>
          <w:sz w:val="26"/>
          <w:szCs w:val="26"/>
        </w:rPr>
        <w:t>/202</w:t>
      </w:r>
      <w:r>
        <w:rPr>
          <w:rFonts w:asciiTheme="minorHAnsi" w:hAnsiTheme="minorHAnsi" w:cstheme="minorHAnsi"/>
          <w:sz w:val="26"/>
          <w:szCs w:val="26"/>
        </w:rPr>
        <w:t>5</w:t>
      </w:r>
      <w:r w:rsidRPr="004A72CD">
        <w:rPr>
          <w:rFonts w:asciiTheme="minorHAnsi" w:hAnsiTheme="minorHAnsi" w:cstheme="minorHAnsi"/>
          <w:sz w:val="26"/>
          <w:szCs w:val="26"/>
        </w:rPr>
        <w:t xml:space="preserve"> s-a dispus numirea în funcţia de preşedinte al Înaltei Curți de Casație și Justiție a doamnei judecător </w:t>
      </w:r>
      <w:r>
        <w:rPr>
          <w:rFonts w:asciiTheme="minorHAnsi" w:hAnsiTheme="minorHAnsi" w:cstheme="minorHAnsi"/>
          <w:sz w:val="26"/>
          <w:szCs w:val="26"/>
        </w:rPr>
        <w:t>Lia Savonea, pe o per</w:t>
      </w:r>
      <w:r w:rsidRPr="004A72CD">
        <w:rPr>
          <w:rFonts w:asciiTheme="minorHAnsi" w:hAnsiTheme="minorHAnsi" w:cstheme="minorHAnsi"/>
          <w:sz w:val="26"/>
          <w:szCs w:val="26"/>
        </w:rPr>
        <w:t xml:space="preserve">ioadă de 3 ani, </w:t>
      </w:r>
      <w:r w:rsidR="009C7F3C">
        <w:rPr>
          <w:rFonts w:asciiTheme="minorHAnsi" w:hAnsiTheme="minorHAnsi" w:cstheme="minorHAnsi"/>
          <w:sz w:val="26"/>
          <w:szCs w:val="26"/>
        </w:rPr>
        <w:t xml:space="preserve">exercitarea </w:t>
      </w:r>
      <w:r w:rsidR="001B7F1B">
        <w:rPr>
          <w:rFonts w:asciiTheme="minorHAnsi" w:hAnsiTheme="minorHAnsi" w:cstheme="minorHAnsi"/>
          <w:sz w:val="26"/>
          <w:szCs w:val="26"/>
        </w:rPr>
        <w:t>mandatul</w:t>
      </w:r>
      <w:r w:rsidR="009C7F3C">
        <w:rPr>
          <w:rFonts w:asciiTheme="minorHAnsi" w:hAnsiTheme="minorHAnsi" w:cstheme="minorHAnsi"/>
          <w:sz w:val="26"/>
          <w:szCs w:val="26"/>
        </w:rPr>
        <w:t>ui</w:t>
      </w:r>
      <w:r w:rsidR="001B7F1B">
        <w:rPr>
          <w:rFonts w:asciiTheme="minorHAnsi" w:hAnsiTheme="minorHAnsi" w:cstheme="minorHAnsi"/>
          <w:sz w:val="26"/>
          <w:szCs w:val="26"/>
        </w:rPr>
        <w:t xml:space="preserve"> </w:t>
      </w:r>
      <w:r>
        <w:rPr>
          <w:rFonts w:asciiTheme="minorHAnsi" w:hAnsiTheme="minorHAnsi" w:cstheme="minorHAnsi"/>
          <w:sz w:val="26"/>
          <w:szCs w:val="26"/>
        </w:rPr>
        <w:t xml:space="preserve">începând cu data de 01 august 2025. </w:t>
      </w:r>
    </w:p>
    <w:p w14:paraId="793062CE" w14:textId="4C372A93" w:rsidR="00947C15" w:rsidRPr="00096F8D" w:rsidRDefault="00947C15" w:rsidP="00947C15">
      <w:pPr>
        <w:spacing w:line="276" w:lineRule="auto"/>
        <w:ind w:firstLine="708"/>
        <w:jc w:val="both"/>
        <w:rPr>
          <w:rFonts w:asciiTheme="minorHAnsi" w:hAnsiTheme="minorHAnsi" w:cstheme="minorHAnsi"/>
          <w:sz w:val="26"/>
          <w:szCs w:val="26"/>
        </w:rPr>
      </w:pPr>
      <w:r w:rsidRPr="00096F8D">
        <w:rPr>
          <w:rFonts w:asciiTheme="minorHAnsi" w:hAnsiTheme="minorHAnsi" w:cstheme="minorHAnsi"/>
          <w:sz w:val="26"/>
          <w:szCs w:val="26"/>
        </w:rPr>
        <w:t>De asemenea, la data de 29 octombrie 2025 a fost declanşată procedura de ocupare a unei funcţii de vicepreşedinte al Înaltei Curţi de Casaţie şi Justiţie, iar prin Hotărârea Secţiei pentru judecători nr. 2688/2025 s-a dispus numirea în funcţia de vicepreşedinte al Înaltei Curți de Casație și Justiție a doamnei judecător Ana-Hermina Iancu, pe o perioadă de 3 ani, exercitarea mandatului începând cu data de 25</w:t>
      </w:r>
      <w:r w:rsidR="00776003" w:rsidRPr="00096F8D">
        <w:rPr>
          <w:rFonts w:asciiTheme="minorHAnsi" w:hAnsiTheme="minorHAnsi" w:cstheme="minorHAnsi"/>
          <w:sz w:val="26"/>
          <w:szCs w:val="26"/>
        </w:rPr>
        <w:t xml:space="preserve"> noiembrie </w:t>
      </w:r>
      <w:r w:rsidRPr="00096F8D">
        <w:rPr>
          <w:rFonts w:asciiTheme="minorHAnsi" w:hAnsiTheme="minorHAnsi" w:cstheme="minorHAnsi"/>
          <w:sz w:val="26"/>
          <w:szCs w:val="26"/>
        </w:rPr>
        <w:t xml:space="preserve">2025. </w:t>
      </w:r>
    </w:p>
    <w:p w14:paraId="3837C33B" w14:textId="7B691706" w:rsidR="00947C15" w:rsidRPr="00096F8D" w:rsidRDefault="00947C15" w:rsidP="009E3AD8">
      <w:pPr>
        <w:spacing w:line="276" w:lineRule="auto"/>
        <w:ind w:firstLine="708"/>
        <w:jc w:val="both"/>
        <w:rPr>
          <w:rFonts w:asciiTheme="minorHAnsi" w:hAnsiTheme="minorHAnsi" w:cstheme="minorHAnsi"/>
          <w:sz w:val="26"/>
          <w:szCs w:val="26"/>
        </w:rPr>
      </w:pPr>
      <w:r w:rsidRPr="00096F8D">
        <w:rPr>
          <w:rFonts w:asciiTheme="minorHAnsi" w:hAnsiTheme="minorHAnsi" w:cstheme="minorHAnsi"/>
          <w:sz w:val="26"/>
          <w:szCs w:val="26"/>
        </w:rPr>
        <w:t>În prezent, la nivelul instanţei supreme, funcția de președinte al Secției penale este ocupată prin delegare de către doamna judecător Eleni-Cristina Marcu, conform Hotărârii Secției pentru judecători nr. 1895/2025. Totodată, doamna judecător Adina Oana Surdu, numită în funcţia de preşedinte al Secţiei a II-a Civile a instanţei supreme, prin Hotărârea Secţiei pentru judecători nr. 2226/2024, a început exercitarea mandatului la data de 11 ianuarie 2025.</w:t>
      </w:r>
    </w:p>
    <w:p w14:paraId="3FD00489" w14:textId="3382EF45" w:rsidR="00B1514A" w:rsidRPr="000F0D8B" w:rsidRDefault="00B1514A" w:rsidP="009E3AD8">
      <w:pPr>
        <w:pStyle w:val="Heading2"/>
        <w:keepLines w:val="0"/>
        <w:jc w:val="both"/>
        <w:rPr>
          <w:rFonts w:cstheme="minorHAnsi"/>
          <w:color w:val="auto"/>
          <w:lang w:val="ro-RO"/>
        </w:rPr>
      </w:pPr>
      <w:bookmarkStart w:id="7" w:name="_Toc219287937"/>
      <w:r w:rsidRPr="000F0D8B">
        <w:rPr>
          <w:rFonts w:cstheme="minorHAnsi"/>
          <w:color w:val="auto"/>
          <w:lang w:val="ro-RO"/>
        </w:rPr>
        <w:lastRenderedPageBreak/>
        <w:t>I.2. Procedurile derulate privind ocuparea celor mai înalte funcţii din cadrul Parchetului de pe lângă Înalta Curte de Casaţie şi Justiţie</w:t>
      </w:r>
      <w:bookmarkEnd w:id="7"/>
    </w:p>
    <w:p w14:paraId="2BBFB53E" w14:textId="77777777" w:rsidR="00634528" w:rsidRPr="000F0D8B" w:rsidRDefault="00634528" w:rsidP="009E3AD8">
      <w:pPr>
        <w:autoSpaceDE w:val="0"/>
        <w:autoSpaceDN w:val="0"/>
        <w:adjustRightInd w:val="0"/>
        <w:spacing w:line="276" w:lineRule="auto"/>
        <w:ind w:firstLine="720"/>
        <w:jc w:val="both"/>
        <w:rPr>
          <w:rFonts w:asciiTheme="minorHAnsi" w:hAnsiTheme="minorHAnsi" w:cstheme="minorHAnsi"/>
          <w:bCs/>
          <w:sz w:val="26"/>
          <w:szCs w:val="26"/>
          <w:lang w:eastAsia="ro-RO"/>
        </w:rPr>
      </w:pPr>
      <w:r w:rsidRPr="000F0D8B">
        <w:rPr>
          <w:rFonts w:asciiTheme="minorHAnsi" w:hAnsiTheme="minorHAnsi" w:cstheme="minorHAnsi"/>
          <w:bCs/>
          <w:sz w:val="26"/>
          <w:szCs w:val="26"/>
          <w:lang w:eastAsia="ro-RO"/>
        </w:rPr>
        <w:t>În conformitate cu dispoziţiile art. 144 alin. (1) din Legea nr. 303/2022 privind statutul judecătorilor și procurorilor, procurorul general al Parchetului de pe lângă Înalta Curte de Casaţie şi Justiţie, prim-adjunctul şi adjunctul acestuia, procurorul şef al Direcţiei Naţionale Anticorupţie, adjuncţii acestuia, procurorul şef al Direcţiei de Investigare a Infracţiunilor de Criminalitate Organizată şi Terorism şi adjuncţii acestuia, precum și procurorii șefi de secție din cadrul acestor parchete sunt numiţi de Preşedintele României, la propunerea ministrului justiţiei, cu avizul Secției pentru procurori a Consiliului Superior al Magistraturii.</w:t>
      </w:r>
    </w:p>
    <w:p w14:paraId="3B960F61" w14:textId="21126102" w:rsidR="00B1514A" w:rsidRPr="000F0D8B" w:rsidRDefault="00B1514A" w:rsidP="009E3AD8">
      <w:pPr>
        <w:pStyle w:val="Heading2"/>
        <w:keepLines w:val="0"/>
        <w:jc w:val="both"/>
        <w:rPr>
          <w:rFonts w:cstheme="minorHAnsi"/>
          <w:color w:val="auto"/>
          <w:lang w:val="ro-RO"/>
        </w:rPr>
      </w:pPr>
      <w:bookmarkStart w:id="8" w:name="_Toc219287938"/>
      <w:bookmarkStart w:id="9" w:name="_Toc430867107"/>
      <w:r w:rsidRPr="000F0D8B">
        <w:rPr>
          <w:rFonts w:cstheme="minorHAnsi"/>
          <w:color w:val="auto"/>
          <w:lang w:val="ro-RO"/>
        </w:rPr>
        <w:t>I.3. Demersuri pentru consolidarea capacităţii instituţionale a Consiliului Superior al Magistraturii</w:t>
      </w:r>
      <w:bookmarkEnd w:id="8"/>
    </w:p>
    <w:p w14:paraId="2AFCC8DC" w14:textId="77777777" w:rsidR="00836C33" w:rsidRPr="008744B5" w:rsidRDefault="00836C33" w:rsidP="009E3AD8">
      <w:pPr>
        <w:pStyle w:val="Heading3"/>
        <w:rPr>
          <w:rFonts w:eastAsia="Calibri"/>
          <w:color w:val="auto"/>
        </w:rPr>
      </w:pPr>
      <w:bookmarkStart w:id="10" w:name="_Toc126071105"/>
      <w:bookmarkStart w:id="11" w:name="_Toc187824348"/>
      <w:bookmarkStart w:id="12" w:name="_Toc219287939"/>
      <w:r w:rsidRPr="008744B5">
        <w:rPr>
          <w:rFonts w:eastAsia="Calibri"/>
          <w:color w:val="auto"/>
        </w:rPr>
        <w:t>I.3.1. Structura Consiliului Superior al Magistraturii</w:t>
      </w:r>
      <w:bookmarkEnd w:id="10"/>
      <w:bookmarkEnd w:id="11"/>
      <w:bookmarkEnd w:id="12"/>
    </w:p>
    <w:p w14:paraId="3EB25E6A" w14:textId="77777777" w:rsidR="00836C33" w:rsidRPr="008744B5" w:rsidRDefault="00836C33" w:rsidP="009E3AD8">
      <w:pPr>
        <w:tabs>
          <w:tab w:val="left" w:pos="8820"/>
        </w:tabs>
        <w:spacing w:line="276" w:lineRule="auto"/>
        <w:ind w:firstLine="709"/>
        <w:jc w:val="both"/>
        <w:rPr>
          <w:rFonts w:asciiTheme="minorHAnsi" w:hAnsiTheme="minorHAnsi" w:cstheme="minorHAnsi"/>
          <w:sz w:val="26"/>
          <w:szCs w:val="26"/>
          <w:lang w:eastAsia="ro-RO"/>
        </w:rPr>
      </w:pPr>
      <w:r w:rsidRPr="008744B5">
        <w:rPr>
          <w:rFonts w:asciiTheme="minorHAnsi" w:hAnsiTheme="minorHAnsi" w:cstheme="minorHAnsi"/>
          <w:sz w:val="26"/>
          <w:szCs w:val="26"/>
          <w:lang w:eastAsia="ro-RO"/>
        </w:rPr>
        <w:t xml:space="preserve">Informaţiile privind organigrama Consiliului Superior al Magistraturii şi persoanele cu funcţii de conducere se regăsesc pe pagina de internet a Consiliului, </w:t>
      </w:r>
      <w:r>
        <w:fldChar w:fldCharType="begin"/>
      </w:r>
      <w:r>
        <w:instrText>HYPERLINK "http://www.csm1909.ro"</w:instrText>
      </w:r>
      <w:r>
        <w:fldChar w:fldCharType="separate"/>
      </w:r>
      <w:r w:rsidRPr="00AC2448">
        <w:rPr>
          <w:rFonts w:asciiTheme="minorHAnsi" w:hAnsiTheme="minorHAnsi" w:cstheme="minorHAnsi"/>
          <w:sz w:val="26"/>
          <w:szCs w:val="26"/>
          <w:lang w:eastAsia="ro-RO"/>
        </w:rPr>
        <w:t>www.csm1909.ro</w:t>
      </w:r>
      <w:r>
        <w:fldChar w:fldCharType="end"/>
      </w:r>
      <w:r w:rsidRPr="008744B5">
        <w:rPr>
          <w:rFonts w:asciiTheme="minorHAnsi" w:hAnsiTheme="minorHAnsi" w:cstheme="minorHAnsi"/>
          <w:sz w:val="26"/>
          <w:szCs w:val="26"/>
          <w:lang w:eastAsia="ro-RO"/>
        </w:rPr>
        <w:t>, la secţiunile „Organigrama” şi „Structura actuală a aparatului C.S.M.”.</w:t>
      </w:r>
    </w:p>
    <w:p w14:paraId="5BDCCEB7" w14:textId="77777777" w:rsidR="00836C33" w:rsidRPr="008744B5" w:rsidRDefault="00836C33" w:rsidP="009E3AD8">
      <w:pPr>
        <w:shd w:val="clear" w:color="auto" w:fill="FFFFFF"/>
        <w:tabs>
          <w:tab w:val="left" w:pos="3544"/>
        </w:tabs>
        <w:spacing w:line="276" w:lineRule="auto"/>
        <w:jc w:val="center"/>
        <w:rPr>
          <w:rFonts w:asciiTheme="minorHAnsi" w:hAnsiTheme="minorHAnsi" w:cstheme="minorHAnsi"/>
          <w:sz w:val="26"/>
          <w:szCs w:val="26"/>
          <w:lang w:eastAsia="ro-RO"/>
        </w:rPr>
      </w:pPr>
    </w:p>
    <w:p w14:paraId="40F323E3" w14:textId="77777777" w:rsidR="00836C33" w:rsidRPr="008744B5" w:rsidRDefault="00836C33" w:rsidP="009E3AD8">
      <w:pPr>
        <w:shd w:val="clear" w:color="auto" w:fill="FFFFFF"/>
        <w:tabs>
          <w:tab w:val="left" w:pos="3544"/>
        </w:tabs>
        <w:spacing w:line="276" w:lineRule="auto"/>
        <w:jc w:val="center"/>
        <w:rPr>
          <w:rFonts w:asciiTheme="minorHAnsi" w:hAnsiTheme="minorHAnsi" w:cstheme="minorHAnsi"/>
          <w:sz w:val="26"/>
          <w:szCs w:val="26"/>
          <w:lang w:eastAsia="ro-RO"/>
        </w:rPr>
      </w:pPr>
      <w:r w:rsidRPr="008744B5">
        <w:rPr>
          <w:rFonts w:asciiTheme="minorHAnsi" w:hAnsiTheme="minorHAnsi" w:cstheme="minorHAnsi"/>
          <w:noProof/>
          <w:sz w:val="26"/>
          <w:szCs w:val="26"/>
          <w:lang w:eastAsia="ro-RO"/>
        </w:rPr>
        <w:drawing>
          <wp:inline distT="0" distB="0" distL="0" distR="0" wp14:anchorId="763B8F2C" wp14:editId="250672E4">
            <wp:extent cx="5486400" cy="3200400"/>
            <wp:effectExtent l="0" t="0" r="0" b="0"/>
            <wp:docPr id="120590652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5BE7DAF" w14:textId="77777777" w:rsidR="00836C33" w:rsidRPr="008744B5" w:rsidRDefault="00836C33" w:rsidP="009E3AD8">
      <w:pPr>
        <w:pStyle w:val="Heading3"/>
        <w:jc w:val="both"/>
        <w:rPr>
          <w:color w:val="auto"/>
        </w:rPr>
      </w:pPr>
      <w:bookmarkStart w:id="13" w:name="_Toc126071106"/>
      <w:bookmarkStart w:id="14" w:name="_Toc57228193"/>
      <w:bookmarkStart w:id="15" w:name="_Toc26181276"/>
      <w:bookmarkStart w:id="16" w:name="_Toc187824349"/>
      <w:bookmarkStart w:id="17" w:name="_Toc219287940"/>
      <w:r w:rsidRPr="008744B5">
        <w:rPr>
          <w:color w:val="auto"/>
        </w:rPr>
        <w:t>I.3.2. Proceduri pentru ocuparea funcţiilor de execuţie şi de conducere din aparatul propriu al Consiliului Superior al Magistraturii</w:t>
      </w:r>
      <w:bookmarkEnd w:id="13"/>
      <w:bookmarkEnd w:id="14"/>
      <w:bookmarkEnd w:id="15"/>
      <w:bookmarkEnd w:id="16"/>
      <w:bookmarkEnd w:id="17"/>
    </w:p>
    <w:p w14:paraId="77E863E9" w14:textId="77777777" w:rsidR="00836C33" w:rsidRPr="008744B5" w:rsidRDefault="00836C33" w:rsidP="009E3AD8">
      <w:pPr>
        <w:pStyle w:val="Heading3"/>
        <w:rPr>
          <w:color w:val="auto"/>
        </w:rPr>
      </w:pPr>
      <w:bookmarkStart w:id="18" w:name="_Toc126071107"/>
      <w:bookmarkStart w:id="19" w:name="_Toc57228194"/>
      <w:bookmarkStart w:id="20" w:name="_Toc26181277"/>
      <w:bookmarkStart w:id="21" w:name="_Toc532479758"/>
      <w:bookmarkStart w:id="22" w:name="_Toc187824350"/>
      <w:bookmarkStart w:id="23" w:name="_Toc219287941"/>
      <w:r w:rsidRPr="008744B5">
        <w:rPr>
          <w:color w:val="auto"/>
        </w:rPr>
        <w:t>I.3.2.1. Posturi de execuţie</w:t>
      </w:r>
      <w:bookmarkEnd w:id="18"/>
      <w:bookmarkEnd w:id="19"/>
      <w:bookmarkEnd w:id="20"/>
      <w:bookmarkEnd w:id="21"/>
      <w:bookmarkEnd w:id="22"/>
      <w:bookmarkEnd w:id="23"/>
    </w:p>
    <w:p w14:paraId="294DCA79" w14:textId="77777777" w:rsidR="00836C33" w:rsidRPr="008744B5" w:rsidRDefault="00836C33" w:rsidP="009E3AD8">
      <w:pPr>
        <w:spacing w:line="276" w:lineRule="auto"/>
        <w:ind w:firstLine="709"/>
        <w:jc w:val="both"/>
        <w:rPr>
          <w:rFonts w:asciiTheme="minorHAnsi" w:hAnsiTheme="minorHAnsi" w:cstheme="minorHAnsi"/>
          <w:b/>
          <w:sz w:val="26"/>
          <w:szCs w:val="26"/>
        </w:rPr>
      </w:pPr>
      <w:r w:rsidRPr="008744B5">
        <w:rPr>
          <w:rFonts w:asciiTheme="minorHAnsi" w:hAnsiTheme="minorHAnsi" w:cstheme="minorHAnsi"/>
          <w:sz w:val="26"/>
          <w:szCs w:val="26"/>
        </w:rPr>
        <w:t xml:space="preserve">În cursul anului 2025 a fost menţinută </w:t>
      </w:r>
      <w:r w:rsidRPr="00AC2448">
        <w:rPr>
          <w:rFonts w:asciiTheme="minorHAnsi" w:hAnsiTheme="minorHAnsi" w:cstheme="minorHAnsi"/>
          <w:sz w:val="26"/>
          <w:szCs w:val="26"/>
        </w:rPr>
        <w:t>suspendarea ocupării prin concurs sau examen a posturilor vacante din autorităţile şi instituţiile publice</w:t>
      </w:r>
      <w:r w:rsidRPr="008744B5">
        <w:rPr>
          <w:rFonts w:asciiTheme="minorHAnsi" w:hAnsiTheme="minorHAnsi" w:cstheme="minorHAnsi"/>
          <w:i/>
          <w:iCs/>
          <w:sz w:val="26"/>
          <w:szCs w:val="26"/>
        </w:rPr>
        <w:t xml:space="preserve"> </w:t>
      </w:r>
      <w:r w:rsidRPr="00216EFB">
        <w:rPr>
          <w:rFonts w:asciiTheme="minorHAnsi" w:hAnsiTheme="minorHAnsi" w:cstheme="minorHAnsi"/>
          <w:sz w:val="26"/>
          <w:szCs w:val="26"/>
        </w:rPr>
        <w:t>astfel că, în raport de prevederile</w:t>
      </w:r>
      <w:r w:rsidRPr="008744B5">
        <w:rPr>
          <w:rFonts w:asciiTheme="minorHAnsi" w:hAnsiTheme="minorHAnsi" w:cstheme="minorHAnsi"/>
          <w:i/>
          <w:iCs/>
          <w:sz w:val="26"/>
          <w:szCs w:val="26"/>
        </w:rPr>
        <w:t xml:space="preserve">  </w:t>
      </w:r>
      <w:r w:rsidRPr="008744B5">
        <w:rPr>
          <w:rFonts w:asciiTheme="minorHAnsi" w:hAnsiTheme="minorHAnsi" w:cstheme="minorHAnsi"/>
          <w:sz w:val="26"/>
          <w:szCs w:val="26"/>
        </w:rPr>
        <w:t>art. VIII alin. (1) şi (2)  din O.U.G. nr. 156/2024, la nivelul Consiliului nu au fost organizate proceduri de ocupare, prin concurs sau examen, a posturilor vacante.</w:t>
      </w:r>
    </w:p>
    <w:p w14:paraId="285D3BEE" w14:textId="77777777" w:rsidR="00836C33" w:rsidRPr="008744B5" w:rsidRDefault="00836C33" w:rsidP="009E3AD8">
      <w:pPr>
        <w:keepNext/>
        <w:keepLines/>
        <w:spacing w:line="276" w:lineRule="auto"/>
        <w:ind w:firstLine="709"/>
        <w:jc w:val="both"/>
        <w:rPr>
          <w:rFonts w:asciiTheme="minorHAnsi" w:hAnsiTheme="minorHAnsi" w:cstheme="minorHAnsi"/>
          <w:sz w:val="26"/>
          <w:szCs w:val="26"/>
        </w:rPr>
      </w:pPr>
      <w:r w:rsidRPr="008744B5">
        <w:rPr>
          <w:rFonts w:asciiTheme="minorHAnsi" w:hAnsiTheme="minorHAnsi" w:cstheme="minorHAnsi"/>
          <w:b/>
          <w:sz w:val="26"/>
          <w:szCs w:val="26"/>
        </w:rPr>
        <w:lastRenderedPageBreak/>
        <w:t>Proceduri pentru ocuparea posturilor de personal de specialitate juridică asimilat judecătorilor şi procurorilor</w:t>
      </w:r>
    </w:p>
    <w:p w14:paraId="1BD0E73D" w14:textId="300CF0B0" w:rsidR="00836C33" w:rsidRPr="008744B5" w:rsidRDefault="00836C33" w:rsidP="009E3AD8">
      <w:pPr>
        <w:spacing w:line="276" w:lineRule="auto"/>
        <w:ind w:firstLine="709"/>
        <w:jc w:val="both"/>
        <w:rPr>
          <w:rFonts w:asciiTheme="minorHAnsi" w:hAnsiTheme="minorHAnsi" w:cstheme="minorHAnsi"/>
          <w:sz w:val="26"/>
          <w:szCs w:val="26"/>
        </w:rPr>
      </w:pPr>
      <w:r w:rsidRPr="008744B5">
        <w:rPr>
          <w:rFonts w:asciiTheme="minorHAnsi" w:hAnsiTheme="minorHAnsi" w:cstheme="minorHAnsi"/>
          <w:sz w:val="26"/>
          <w:szCs w:val="26"/>
        </w:rPr>
        <w:t>În vederea ocupării posturilor de personal de specialitate juridică asimilat judecătorilor şi procurorilor, în anul 2025, s-a dispus detaşarea la Consiliul Superior al Magistraturii a 3 magistraţi (judecători).</w:t>
      </w:r>
    </w:p>
    <w:p w14:paraId="3843D777" w14:textId="77777777" w:rsidR="00836C33" w:rsidRPr="008744B5" w:rsidRDefault="00836C33" w:rsidP="009E3AD8">
      <w:pPr>
        <w:spacing w:line="276" w:lineRule="auto"/>
        <w:ind w:firstLine="709"/>
        <w:jc w:val="both"/>
        <w:rPr>
          <w:rFonts w:asciiTheme="minorHAnsi" w:hAnsiTheme="minorHAnsi" w:cstheme="minorHAnsi"/>
          <w:b/>
          <w:bCs/>
          <w:sz w:val="26"/>
          <w:szCs w:val="26"/>
        </w:rPr>
      </w:pPr>
      <w:r w:rsidRPr="008744B5">
        <w:rPr>
          <w:rFonts w:asciiTheme="minorHAnsi" w:hAnsiTheme="minorHAnsi" w:cstheme="minorHAnsi"/>
          <w:b/>
          <w:bCs/>
          <w:sz w:val="26"/>
          <w:szCs w:val="26"/>
        </w:rPr>
        <w:t>Proceduri pentru ocuparea posturilor de personal contractual şi funcţionari publici</w:t>
      </w:r>
    </w:p>
    <w:p w14:paraId="1DADD4F0" w14:textId="77777777" w:rsidR="00836C33" w:rsidRPr="008744B5" w:rsidRDefault="00836C33" w:rsidP="009E3AD8">
      <w:pPr>
        <w:spacing w:line="276" w:lineRule="auto"/>
        <w:ind w:firstLine="709"/>
        <w:jc w:val="both"/>
        <w:rPr>
          <w:rFonts w:asciiTheme="minorHAnsi" w:hAnsiTheme="minorHAnsi" w:cstheme="minorHAnsi"/>
          <w:sz w:val="26"/>
          <w:szCs w:val="26"/>
          <w:lang w:val="pt-PT" w:eastAsia="ro-RO"/>
        </w:rPr>
      </w:pPr>
      <w:bookmarkStart w:id="24" w:name="_Toc126071108"/>
      <w:bookmarkStart w:id="25" w:name="_Toc57228195"/>
      <w:bookmarkStart w:id="26" w:name="_Toc26181278"/>
      <w:bookmarkStart w:id="27" w:name="_Toc532479759"/>
      <w:r w:rsidRPr="008744B5">
        <w:rPr>
          <w:rFonts w:asciiTheme="minorHAnsi" w:hAnsiTheme="minorHAnsi" w:cstheme="minorHAnsi"/>
          <w:sz w:val="26"/>
          <w:szCs w:val="26"/>
          <w:lang w:eastAsia="ro-RO"/>
        </w:rPr>
        <w:t xml:space="preserve">În cursul anului 2025 </w:t>
      </w:r>
      <w:r w:rsidRPr="008744B5">
        <w:rPr>
          <w:rFonts w:asciiTheme="minorHAnsi" w:hAnsiTheme="minorHAnsi" w:cstheme="minorHAnsi"/>
          <w:sz w:val="26"/>
          <w:szCs w:val="26"/>
          <w:lang w:val="pt-PT" w:eastAsia="ro-RO"/>
        </w:rPr>
        <w:t xml:space="preserve">a fost ocupată, prin transfer, o funcție publică din cadrul aparatului propriu al Consiliului Superior al Magistraturii.  </w:t>
      </w:r>
    </w:p>
    <w:p w14:paraId="30CEB376" w14:textId="77777777" w:rsidR="00836C33" w:rsidRPr="008744B5" w:rsidRDefault="00836C33" w:rsidP="009E3AD8">
      <w:pPr>
        <w:autoSpaceDE w:val="0"/>
        <w:autoSpaceDN w:val="0"/>
        <w:spacing w:line="276" w:lineRule="auto"/>
        <w:ind w:firstLine="709"/>
        <w:jc w:val="both"/>
        <w:rPr>
          <w:rFonts w:asciiTheme="minorHAnsi" w:hAnsiTheme="minorHAnsi" w:cstheme="minorHAnsi"/>
          <w:sz w:val="26"/>
          <w:szCs w:val="26"/>
          <w:lang w:val="pt-PT" w:eastAsia="ro-RO"/>
        </w:rPr>
      </w:pPr>
      <w:r w:rsidRPr="008744B5">
        <w:rPr>
          <w:rFonts w:asciiTheme="minorHAnsi" w:hAnsiTheme="minorHAnsi" w:cstheme="minorHAnsi"/>
          <w:sz w:val="26"/>
          <w:szCs w:val="26"/>
          <w:lang w:val="pt-PT" w:eastAsia="ro-RO"/>
        </w:rPr>
        <w:t>Pe de altă parte, în perioada de referinţă, 2 posturi de personal contractual din cadrul aparatului propriu au fost ocupate prin detaşare.</w:t>
      </w:r>
    </w:p>
    <w:p w14:paraId="04C77928" w14:textId="7C29F6FF" w:rsidR="00836C33" w:rsidRPr="002E39A3" w:rsidRDefault="00836C33" w:rsidP="009E3AD8">
      <w:pPr>
        <w:autoSpaceDE w:val="0"/>
        <w:autoSpaceDN w:val="0"/>
        <w:spacing w:line="276" w:lineRule="auto"/>
        <w:ind w:firstLine="709"/>
        <w:jc w:val="both"/>
        <w:rPr>
          <w:rFonts w:asciiTheme="minorHAnsi" w:hAnsiTheme="minorHAnsi" w:cstheme="minorHAnsi"/>
          <w:sz w:val="26"/>
          <w:szCs w:val="26"/>
          <w:lang w:val="pt-PT" w:eastAsia="ro-RO"/>
        </w:rPr>
      </w:pPr>
      <w:r w:rsidRPr="002E39A3">
        <w:rPr>
          <w:rFonts w:asciiTheme="minorHAnsi" w:hAnsiTheme="minorHAnsi" w:cstheme="minorHAnsi"/>
          <w:sz w:val="26"/>
          <w:szCs w:val="26"/>
          <w:lang w:val="pt-PT" w:eastAsia="ro-RO"/>
        </w:rPr>
        <w:t xml:space="preserve">În raport cu procedurile de ocupare a posturilor vacante organizate în anul 2025 şi având în vedere fluctuaţia de personal din perioada de referinţă, la data de </w:t>
      </w:r>
      <w:r w:rsidR="004B4B9E" w:rsidRPr="002E39A3">
        <w:rPr>
          <w:rFonts w:asciiTheme="minorHAnsi" w:hAnsiTheme="minorHAnsi" w:cstheme="minorHAnsi"/>
          <w:sz w:val="26"/>
          <w:szCs w:val="26"/>
          <w:lang w:val="pt-PT" w:eastAsia="ro-RO"/>
        </w:rPr>
        <w:t>31 decembrie</w:t>
      </w:r>
      <w:r w:rsidRPr="002E39A3">
        <w:rPr>
          <w:rFonts w:asciiTheme="minorHAnsi" w:hAnsiTheme="minorHAnsi" w:cstheme="minorHAnsi"/>
          <w:sz w:val="26"/>
          <w:szCs w:val="26"/>
          <w:lang w:val="pt-PT" w:eastAsia="ro-RO"/>
        </w:rPr>
        <w:t xml:space="preserve"> 2025, în cadrul aparatului propriu al Consiliului Superior al Magistraturii erau ocupate </w:t>
      </w:r>
      <w:r w:rsidR="004B4B9E" w:rsidRPr="002E39A3">
        <w:rPr>
          <w:rFonts w:asciiTheme="minorHAnsi" w:hAnsiTheme="minorHAnsi" w:cstheme="minorHAnsi"/>
          <w:sz w:val="26"/>
          <w:szCs w:val="26"/>
          <w:lang w:val="pt-PT" w:eastAsia="ro-RO"/>
        </w:rPr>
        <w:t>221</w:t>
      </w:r>
      <w:r w:rsidRPr="002E39A3">
        <w:rPr>
          <w:rFonts w:asciiTheme="minorHAnsi" w:hAnsiTheme="minorHAnsi" w:cstheme="minorHAnsi"/>
          <w:sz w:val="26"/>
          <w:szCs w:val="26"/>
          <w:lang w:val="pt-PT" w:eastAsia="ro-RO"/>
        </w:rPr>
        <w:t xml:space="preserve"> de posturi, din totalul de 242 posturi finanţate.</w:t>
      </w:r>
    </w:p>
    <w:p w14:paraId="737FAB5A" w14:textId="43394B11" w:rsidR="00836C33" w:rsidRPr="002E39A3" w:rsidRDefault="00836C33" w:rsidP="009E3AD8">
      <w:pPr>
        <w:autoSpaceDE w:val="0"/>
        <w:autoSpaceDN w:val="0"/>
        <w:spacing w:line="276" w:lineRule="auto"/>
        <w:ind w:firstLine="709"/>
        <w:jc w:val="both"/>
        <w:rPr>
          <w:rFonts w:asciiTheme="minorHAnsi" w:hAnsiTheme="minorHAnsi" w:cstheme="minorHAnsi"/>
          <w:sz w:val="26"/>
          <w:szCs w:val="26"/>
          <w:lang w:val="pt-PT" w:eastAsia="ro-RO"/>
        </w:rPr>
      </w:pPr>
      <w:r w:rsidRPr="002E39A3">
        <w:rPr>
          <w:rFonts w:asciiTheme="minorHAnsi" w:hAnsiTheme="minorHAnsi" w:cstheme="minorHAnsi"/>
          <w:sz w:val="26"/>
          <w:szCs w:val="26"/>
          <w:lang w:val="pt-PT" w:eastAsia="ro-RO"/>
        </w:rPr>
        <w:t xml:space="preserve">Situaţia posturilor ocupate la data de </w:t>
      </w:r>
      <w:r w:rsidR="004B4B9E" w:rsidRPr="002E39A3">
        <w:rPr>
          <w:rFonts w:asciiTheme="minorHAnsi" w:hAnsiTheme="minorHAnsi" w:cstheme="minorHAnsi"/>
          <w:sz w:val="26"/>
          <w:szCs w:val="26"/>
          <w:lang w:val="pt-PT" w:eastAsia="ro-RO"/>
        </w:rPr>
        <w:t>31 decembrie</w:t>
      </w:r>
      <w:r w:rsidRPr="002E39A3">
        <w:rPr>
          <w:rFonts w:asciiTheme="minorHAnsi" w:hAnsiTheme="minorHAnsi" w:cstheme="minorHAnsi"/>
          <w:sz w:val="26"/>
          <w:szCs w:val="26"/>
          <w:lang w:val="pt-PT" w:eastAsia="ro-RO"/>
        </w:rPr>
        <w:t xml:space="preserve"> 2025, pe categorii de personal, este redată în tabelul de mai jos:</w:t>
      </w:r>
    </w:p>
    <w:tbl>
      <w:tblPr>
        <w:tblW w:w="4997" w:type="pct"/>
        <w:tblCellMar>
          <w:left w:w="0" w:type="dxa"/>
          <w:right w:w="0" w:type="dxa"/>
        </w:tblCellMar>
        <w:tblLook w:val="04A0" w:firstRow="1" w:lastRow="0" w:firstColumn="1" w:lastColumn="0" w:noHBand="0" w:noVBand="1"/>
      </w:tblPr>
      <w:tblGrid>
        <w:gridCol w:w="4841"/>
        <w:gridCol w:w="2426"/>
        <w:gridCol w:w="2911"/>
      </w:tblGrid>
      <w:tr w:rsidR="00836C33" w:rsidRPr="008744B5" w14:paraId="50153A66" w14:textId="77777777" w:rsidTr="00BE6FF5">
        <w:trPr>
          <w:trHeight w:val="387"/>
          <w:tblHeader/>
        </w:trPr>
        <w:tc>
          <w:tcPr>
            <w:tcW w:w="2378" w:type="pct"/>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03DD81E7" w14:textId="77777777" w:rsidR="00836C33" w:rsidRPr="008744B5" w:rsidRDefault="00836C33" w:rsidP="009E3AD8">
            <w:pPr>
              <w:autoSpaceDE w:val="0"/>
              <w:autoSpaceDN w:val="0"/>
              <w:spacing w:line="276" w:lineRule="auto"/>
              <w:jc w:val="center"/>
              <w:rPr>
                <w:rFonts w:asciiTheme="minorHAnsi" w:hAnsiTheme="minorHAnsi" w:cstheme="minorHAnsi"/>
                <w:sz w:val="26"/>
                <w:szCs w:val="26"/>
                <w:lang w:val="pt-PT" w:eastAsia="ro-RO"/>
              </w:rPr>
            </w:pPr>
            <w:r w:rsidRPr="008744B5">
              <w:rPr>
                <w:rFonts w:asciiTheme="minorHAnsi" w:hAnsiTheme="minorHAnsi" w:cstheme="minorHAnsi"/>
                <w:sz w:val="26"/>
                <w:szCs w:val="26"/>
                <w:lang w:val="pt-PT" w:eastAsia="ro-RO"/>
              </w:rPr>
              <w:t>Natura funcţiei</w:t>
            </w:r>
          </w:p>
        </w:tc>
        <w:tc>
          <w:tcPr>
            <w:tcW w:w="2622" w:type="pct"/>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63CD251A" w14:textId="1F66B592" w:rsidR="00836C33" w:rsidRPr="002E39A3" w:rsidRDefault="00836C33" w:rsidP="009E3AD8">
            <w:pPr>
              <w:autoSpaceDE w:val="0"/>
              <w:autoSpaceDN w:val="0"/>
              <w:spacing w:line="276" w:lineRule="auto"/>
              <w:ind w:hanging="2"/>
              <w:jc w:val="center"/>
              <w:rPr>
                <w:rFonts w:asciiTheme="minorHAnsi" w:hAnsiTheme="minorHAnsi" w:cstheme="minorHAnsi"/>
                <w:sz w:val="26"/>
                <w:szCs w:val="26"/>
                <w:lang w:val="pt-PT" w:eastAsia="ro-RO"/>
              </w:rPr>
            </w:pPr>
            <w:r w:rsidRPr="002E39A3">
              <w:rPr>
                <w:rFonts w:asciiTheme="minorHAnsi" w:hAnsiTheme="minorHAnsi" w:cstheme="minorHAnsi"/>
                <w:sz w:val="26"/>
                <w:szCs w:val="26"/>
                <w:lang w:val="pt-PT" w:eastAsia="ro-RO"/>
              </w:rPr>
              <w:t>Situaţia posturilor la data 31.12.202</w:t>
            </w:r>
            <w:r w:rsidR="00AF564A" w:rsidRPr="002E39A3">
              <w:rPr>
                <w:rFonts w:asciiTheme="minorHAnsi" w:hAnsiTheme="minorHAnsi" w:cstheme="minorHAnsi"/>
                <w:sz w:val="26"/>
                <w:szCs w:val="26"/>
                <w:lang w:val="pt-PT" w:eastAsia="ro-RO"/>
              </w:rPr>
              <w:t>5</w:t>
            </w:r>
          </w:p>
        </w:tc>
      </w:tr>
      <w:tr w:rsidR="00836C33" w:rsidRPr="008744B5" w14:paraId="0C7FAC30" w14:textId="77777777" w:rsidTr="00BE6FF5">
        <w:trPr>
          <w:trHeight w:val="387"/>
          <w:tblHead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96E40BB" w14:textId="77777777" w:rsidR="00836C33" w:rsidRPr="008744B5" w:rsidRDefault="00836C33" w:rsidP="009E3AD8">
            <w:pPr>
              <w:autoSpaceDE w:val="0"/>
              <w:autoSpaceDN w:val="0"/>
              <w:spacing w:line="276" w:lineRule="auto"/>
              <w:ind w:firstLine="709"/>
              <w:jc w:val="both"/>
              <w:rPr>
                <w:rFonts w:asciiTheme="minorHAnsi" w:hAnsiTheme="minorHAnsi" w:cstheme="minorHAnsi"/>
                <w:sz w:val="26"/>
                <w:szCs w:val="26"/>
                <w:lang w:val="pt-PT" w:eastAsia="ro-RO"/>
              </w:rPr>
            </w:pPr>
          </w:p>
        </w:tc>
        <w:tc>
          <w:tcPr>
            <w:tcW w:w="1192"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75B6326D" w14:textId="77777777" w:rsidR="00836C33" w:rsidRPr="008744B5" w:rsidRDefault="00836C33" w:rsidP="009E3AD8">
            <w:pPr>
              <w:autoSpaceDE w:val="0"/>
              <w:autoSpaceDN w:val="0"/>
              <w:spacing w:line="276" w:lineRule="auto"/>
              <w:jc w:val="center"/>
              <w:rPr>
                <w:rFonts w:asciiTheme="minorHAnsi" w:hAnsiTheme="minorHAnsi" w:cstheme="minorHAnsi"/>
                <w:sz w:val="26"/>
                <w:szCs w:val="26"/>
                <w:lang w:val="pt-PT" w:eastAsia="ro-RO"/>
              </w:rPr>
            </w:pPr>
            <w:r w:rsidRPr="008744B5">
              <w:rPr>
                <w:rFonts w:asciiTheme="minorHAnsi" w:hAnsiTheme="minorHAnsi" w:cstheme="minorHAnsi"/>
                <w:sz w:val="26"/>
                <w:szCs w:val="26"/>
                <w:lang w:val="pt-PT" w:eastAsia="ro-RO"/>
              </w:rPr>
              <w:t>Posturi prevăzute</w:t>
            </w:r>
          </w:p>
        </w:tc>
        <w:tc>
          <w:tcPr>
            <w:tcW w:w="1430"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69B98066" w14:textId="77777777" w:rsidR="00836C33" w:rsidRPr="002E39A3" w:rsidRDefault="00836C33" w:rsidP="009E3AD8">
            <w:pPr>
              <w:autoSpaceDE w:val="0"/>
              <w:autoSpaceDN w:val="0"/>
              <w:spacing w:line="276" w:lineRule="auto"/>
              <w:jc w:val="center"/>
              <w:rPr>
                <w:rFonts w:asciiTheme="minorHAnsi" w:hAnsiTheme="minorHAnsi" w:cstheme="minorHAnsi"/>
                <w:sz w:val="26"/>
                <w:szCs w:val="26"/>
                <w:lang w:val="pt-PT" w:eastAsia="ro-RO"/>
              </w:rPr>
            </w:pPr>
            <w:r w:rsidRPr="002E39A3">
              <w:rPr>
                <w:rFonts w:asciiTheme="minorHAnsi" w:hAnsiTheme="minorHAnsi" w:cstheme="minorHAnsi"/>
                <w:sz w:val="26"/>
                <w:szCs w:val="26"/>
                <w:lang w:val="pt-PT" w:eastAsia="ro-RO"/>
              </w:rPr>
              <w:t>Posturi ocupate</w:t>
            </w:r>
          </w:p>
        </w:tc>
      </w:tr>
      <w:tr w:rsidR="00836C33" w:rsidRPr="008744B5" w14:paraId="2C1AC069" w14:textId="77777777" w:rsidTr="00BE6FF5">
        <w:trPr>
          <w:trHeight w:val="759"/>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FD6CD4" w14:textId="77777777" w:rsidR="00836C33" w:rsidRPr="008744B5" w:rsidRDefault="00836C33" w:rsidP="009E3AD8">
            <w:pPr>
              <w:autoSpaceDE w:val="0"/>
              <w:autoSpaceDN w:val="0"/>
              <w:spacing w:line="276" w:lineRule="auto"/>
              <w:jc w:val="center"/>
              <w:rPr>
                <w:rFonts w:asciiTheme="minorHAnsi" w:hAnsiTheme="minorHAnsi" w:cstheme="minorHAnsi"/>
                <w:sz w:val="26"/>
                <w:szCs w:val="26"/>
                <w:lang w:val="pt-PT" w:eastAsia="ro-RO"/>
              </w:rPr>
            </w:pPr>
            <w:r w:rsidRPr="008744B5">
              <w:rPr>
                <w:rFonts w:asciiTheme="minorHAnsi" w:hAnsiTheme="minorHAnsi" w:cstheme="minorHAnsi"/>
                <w:sz w:val="26"/>
                <w:szCs w:val="26"/>
                <w:lang w:val="pt-PT" w:eastAsia="ro-RO"/>
              </w:rPr>
              <w:t>Personal de specialitate juridică asimilat judecătorilor şi procurorilor</w:t>
            </w:r>
          </w:p>
        </w:tc>
        <w:tc>
          <w:tcPr>
            <w:tcW w:w="119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44CE1E" w14:textId="77777777" w:rsidR="00836C33" w:rsidRPr="008744B5" w:rsidRDefault="00836C33" w:rsidP="009E3AD8">
            <w:pPr>
              <w:autoSpaceDE w:val="0"/>
              <w:autoSpaceDN w:val="0"/>
              <w:spacing w:line="276" w:lineRule="auto"/>
              <w:ind w:hanging="2"/>
              <w:jc w:val="center"/>
              <w:rPr>
                <w:rFonts w:asciiTheme="minorHAnsi" w:hAnsiTheme="minorHAnsi" w:cstheme="minorHAnsi"/>
                <w:sz w:val="26"/>
                <w:szCs w:val="26"/>
                <w:lang w:val="pt-PT" w:eastAsia="ro-RO"/>
              </w:rPr>
            </w:pPr>
            <w:r w:rsidRPr="008744B5">
              <w:rPr>
                <w:rFonts w:asciiTheme="minorHAnsi" w:hAnsiTheme="minorHAnsi" w:cstheme="minorHAnsi"/>
                <w:sz w:val="26"/>
                <w:szCs w:val="26"/>
                <w:lang w:val="pt-PT" w:eastAsia="ro-RO"/>
              </w:rPr>
              <w:t>93</w:t>
            </w:r>
          </w:p>
        </w:tc>
        <w:tc>
          <w:tcPr>
            <w:tcW w:w="143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A42B37" w14:textId="1F5FEFFC" w:rsidR="00836C33" w:rsidRPr="002E39A3" w:rsidRDefault="00AF564A" w:rsidP="009E3AD8">
            <w:pPr>
              <w:autoSpaceDE w:val="0"/>
              <w:autoSpaceDN w:val="0"/>
              <w:spacing w:line="276" w:lineRule="auto"/>
              <w:jc w:val="center"/>
              <w:rPr>
                <w:rFonts w:asciiTheme="minorHAnsi" w:hAnsiTheme="minorHAnsi" w:cstheme="minorHAnsi"/>
                <w:sz w:val="26"/>
                <w:szCs w:val="26"/>
                <w:lang w:val="pt-PT" w:eastAsia="ro-RO"/>
              </w:rPr>
            </w:pPr>
            <w:r w:rsidRPr="002E39A3">
              <w:rPr>
                <w:rFonts w:asciiTheme="minorHAnsi" w:hAnsiTheme="minorHAnsi" w:cstheme="minorHAnsi"/>
                <w:sz w:val="26"/>
                <w:szCs w:val="26"/>
                <w:lang w:val="pt-PT" w:eastAsia="ro-RO"/>
              </w:rPr>
              <w:t>78</w:t>
            </w:r>
          </w:p>
        </w:tc>
      </w:tr>
      <w:tr w:rsidR="00836C33" w:rsidRPr="008744B5" w14:paraId="255DBD60" w14:textId="77777777" w:rsidTr="00BE6FF5">
        <w:trPr>
          <w:trHeight w:val="387"/>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545769" w14:textId="77777777" w:rsidR="00836C33" w:rsidRPr="008744B5" w:rsidRDefault="00836C33" w:rsidP="009E3AD8">
            <w:pPr>
              <w:autoSpaceDE w:val="0"/>
              <w:autoSpaceDN w:val="0"/>
              <w:spacing w:line="276" w:lineRule="auto"/>
              <w:jc w:val="center"/>
              <w:rPr>
                <w:rFonts w:asciiTheme="minorHAnsi" w:hAnsiTheme="minorHAnsi" w:cstheme="minorHAnsi"/>
                <w:sz w:val="26"/>
                <w:szCs w:val="26"/>
                <w:lang w:val="pt-PT" w:eastAsia="ro-RO"/>
              </w:rPr>
            </w:pPr>
            <w:r w:rsidRPr="008744B5">
              <w:rPr>
                <w:rFonts w:asciiTheme="minorHAnsi" w:hAnsiTheme="minorHAnsi" w:cstheme="minorHAnsi"/>
                <w:sz w:val="26"/>
                <w:szCs w:val="26"/>
                <w:lang w:val="pt-PT" w:eastAsia="ro-RO"/>
              </w:rPr>
              <w:t>Funcţii publice</w:t>
            </w:r>
          </w:p>
        </w:tc>
        <w:tc>
          <w:tcPr>
            <w:tcW w:w="119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AA13C3" w14:textId="77777777" w:rsidR="00836C33" w:rsidRPr="008744B5" w:rsidRDefault="00836C33" w:rsidP="009E3AD8">
            <w:pPr>
              <w:autoSpaceDE w:val="0"/>
              <w:autoSpaceDN w:val="0"/>
              <w:spacing w:line="276" w:lineRule="auto"/>
              <w:jc w:val="center"/>
              <w:rPr>
                <w:rFonts w:asciiTheme="minorHAnsi" w:hAnsiTheme="minorHAnsi" w:cstheme="minorHAnsi"/>
                <w:sz w:val="26"/>
                <w:szCs w:val="26"/>
                <w:lang w:val="pt-PT" w:eastAsia="ro-RO"/>
              </w:rPr>
            </w:pPr>
            <w:r w:rsidRPr="008744B5">
              <w:rPr>
                <w:rFonts w:asciiTheme="minorHAnsi" w:hAnsiTheme="minorHAnsi" w:cstheme="minorHAnsi"/>
                <w:sz w:val="26"/>
                <w:szCs w:val="26"/>
                <w:lang w:val="pt-PT" w:eastAsia="ro-RO"/>
              </w:rPr>
              <w:t>67</w:t>
            </w:r>
          </w:p>
        </w:tc>
        <w:tc>
          <w:tcPr>
            <w:tcW w:w="143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C4F7A8" w14:textId="77777777" w:rsidR="00836C33" w:rsidRPr="002E39A3" w:rsidRDefault="00836C33" w:rsidP="009E3AD8">
            <w:pPr>
              <w:autoSpaceDE w:val="0"/>
              <w:autoSpaceDN w:val="0"/>
              <w:spacing w:line="276" w:lineRule="auto"/>
              <w:jc w:val="center"/>
              <w:rPr>
                <w:rFonts w:asciiTheme="minorHAnsi" w:hAnsiTheme="minorHAnsi" w:cstheme="minorHAnsi"/>
                <w:sz w:val="26"/>
                <w:szCs w:val="26"/>
                <w:lang w:val="pt-PT" w:eastAsia="ro-RO"/>
              </w:rPr>
            </w:pPr>
            <w:r w:rsidRPr="002E39A3">
              <w:rPr>
                <w:rFonts w:asciiTheme="minorHAnsi" w:hAnsiTheme="minorHAnsi" w:cstheme="minorHAnsi"/>
                <w:sz w:val="26"/>
                <w:szCs w:val="26"/>
                <w:lang w:val="pt-PT" w:eastAsia="ro-RO"/>
              </w:rPr>
              <w:t>65</w:t>
            </w:r>
          </w:p>
        </w:tc>
      </w:tr>
      <w:tr w:rsidR="00836C33" w:rsidRPr="008744B5" w14:paraId="608DD49D" w14:textId="77777777" w:rsidTr="00BE6FF5">
        <w:trPr>
          <w:cantSplit/>
          <w:trHeight w:val="387"/>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36E172" w14:textId="77777777" w:rsidR="00836C33" w:rsidRPr="008744B5" w:rsidRDefault="00836C33" w:rsidP="009E3AD8">
            <w:pPr>
              <w:autoSpaceDE w:val="0"/>
              <w:autoSpaceDN w:val="0"/>
              <w:spacing w:line="276" w:lineRule="auto"/>
              <w:ind w:firstLine="22"/>
              <w:jc w:val="center"/>
              <w:rPr>
                <w:rFonts w:asciiTheme="minorHAnsi" w:hAnsiTheme="minorHAnsi" w:cstheme="minorHAnsi"/>
                <w:sz w:val="26"/>
                <w:szCs w:val="26"/>
                <w:lang w:val="pt-PT" w:eastAsia="ro-RO"/>
              </w:rPr>
            </w:pPr>
            <w:r w:rsidRPr="008744B5">
              <w:rPr>
                <w:rFonts w:asciiTheme="minorHAnsi" w:hAnsiTheme="minorHAnsi" w:cstheme="minorHAnsi"/>
                <w:sz w:val="26"/>
                <w:szCs w:val="26"/>
                <w:lang w:val="pt-PT" w:eastAsia="ro-RO"/>
              </w:rPr>
              <w:t>Personal contractual</w:t>
            </w:r>
          </w:p>
        </w:tc>
        <w:tc>
          <w:tcPr>
            <w:tcW w:w="119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739687" w14:textId="77777777" w:rsidR="00836C33" w:rsidRPr="008744B5" w:rsidRDefault="00836C33" w:rsidP="009E3AD8">
            <w:pPr>
              <w:autoSpaceDE w:val="0"/>
              <w:autoSpaceDN w:val="0"/>
              <w:spacing w:line="276" w:lineRule="auto"/>
              <w:ind w:hanging="2"/>
              <w:jc w:val="center"/>
              <w:rPr>
                <w:rFonts w:asciiTheme="minorHAnsi" w:hAnsiTheme="minorHAnsi" w:cstheme="minorHAnsi"/>
                <w:sz w:val="26"/>
                <w:szCs w:val="26"/>
                <w:lang w:val="pt-PT" w:eastAsia="ro-RO"/>
              </w:rPr>
            </w:pPr>
            <w:r w:rsidRPr="008744B5">
              <w:rPr>
                <w:rFonts w:asciiTheme="minorHAnsi" w:hAnsiTheme="minorHAnsi" w:cstheme="minorHAnsi"/>
                <w:sz w:val="26"/>
                <w:szCs w:val="26"/>
                <w:lang w:val="pt-PT" w:eastAsia="ro-RO"/>
              </w:rPr>
              <w:t>82</w:t>
            </w:r>
          </w:p>
        </w:tc>
        <w:tc>
          <w:tcPr>
            <w:tcW w:w="143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6270CA" w14:textId="77777777" w:rsidR="00836C33" w:rsidRPr="002E39A3" w:rsidRDefault="00836C33" w:rsidP="009E3AD8">
            <w:pPr>
              <w:autoSpaceDE w:val="0"/>
              <w:autoSpaceDN w:val="0"/>
              <w:spacing w:line="276" w:lineRule="auto"/>
              <w:jc w:val="center"/>
              <w:rPr>
                <w:rFonts w:asciiTheme="minorHAnsi" w:hAnsiTheme="minorHAnsi" w:cstheme="minorHAnsi"/>
                <w:sz w:val="26"/>
                <w:szCs w:val="26"/>
                <w:lang w:val="pt-PT" w:eastAsia="ro-RO"/>
              </w:rPr>
            </w:pPr>
            <w:r w:rsidRPr="002E39A3">
              <w:rPr>
                <w:rFonts w:asciiTheme="minorHAnsi" w:hAnsiTheme="minorHAnsi" w:cstheme="minorHAnsi"/>
                <w:sz w:val="26"/>
                <w:szCs w:val="26"/>
                <w:lang w:val="pt-PT" w:eastAsia="ro-RO"/>
              </w:rPr>
              <w:t>78</w:t>
            </w:r>
          </w:p>
        </w:tc>
      </w:tr>
      <w:tr w:rsidR="00836C33" w:rsidRPr="008744B5" w14:paraId="3B56FDCD" w14:textId="77777777" w:rsidTr="00BE6FF5">
        <w:trPr>
          <w:trHeight w:val="387"/>
        </w:trPr>
        <w:tc>
          <w:tcPr>
            <w:tcW w:w="2378"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3C228611" w14:textId="77777777" w:rsidR="00836C33" w:rsidRPr="008744B5" w:rsidRDefault="00836C33" w:rsidP="009E3AD8">
            <w:pPr>
              <w:autoSpaceDE w:val="0"/>
              <w:autoSpaceDN w:val="0"/>
              <w:spacing w:line="276" w:lineRule="auto"/>
              <w:ind w:firstLine="22"/>
              <w:jc w:val="center"/>
              <w:rPr>
                <w:rFonts w:asciiTheme="minorHAnsi" w:hAnsiTheme="minorHAnsi" w:cstheme="minorHAnsi"/>
                <w:sz w:val="26"/>
                <w:szCs w:val="26"/>
                <w:lang w:val="pt-PT" w:eastAsia="ro-RO"/>
              </w:rPr>
            </w:pPr>
            <w:r w:rsidRPr="008744B5">
              <w:rPr>
                <w:rFonts w:asciiTheme="minorHAnsi" w:hAnsiTheme="minorHAnsi" w:cstheme="minorHAnsi"/>
                <w:sz w:val="26"/>
                <w:szCs w:val="26"/>
                <w:lang w:val="pt-PT" w:eastAsia="ro-RO"/>
              </w:rPr>
              <w:t>Total</w:t>
            </w:r>
          </w:p>
        </w:tc>
        <w:tc>
          <w:tcPr>
            <w:tcW w:w="1192"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137E1DC2" w14:textId="77777777" w:rsidR="00836C33" w:rsidRPr="008744B5" w:rsidRDefault="00836C33" w:rsidP="009E3AD8">
            <w:pPr>
              <w:autoSpaceDE w:val="0"/>
              <w:autoSpaceDN w:val="0"/>
              <w:spacing w:line="276" w:lineRule="auto"/>
              <w:jc w:val="center"/>
              <w:rPr>
                <w:rFonts w:asciiTheme="minorHAnsi" w:hAnsiTheme="minorHAnsi" w:cstheme="minorHAnsi"/>
                <w:sz w:val="26"/>
                <w:szCs w:val="26"/>
                <w:lang w:val="pt-PT" w:eastAsia="ro-RO"/>
              </w:rPr>
            </w:pPr>
            <w:r w:rsidRPr="008744B5">
              <w:rPr>
                <w:rFonts w:asciiTheme="minorHAnsi" w:hAnsiTheme="minorHAnsi" w:cstheme="minorHAnsi"/>
                <w:sz w:val="26"/>
                <w:szCs w:val="26"/>
                <w:lang w:val="pt-PT" w:eastAsia="ro-RO"/>
              </w:rPr>
              <w:t>242</w:t>
            </w:r>
          </w:p>
        </w:tc>
        <w:tc>
          <w:tcPr>
            <w:tcW w:w="1430"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68485E4F" w14:textId="43DD244C" w:rsidR="00836C33" w:rsidRPr="002E39A3" w:rsidRDefault="00AF564A" w:rsidP="009E3AD8">
            <w:pPr>
              <w:autoSpaceDE w:val="0"/>
              <w:autoSpaceDN w:val="0"/>
              <w:spacing w:line="276" w:lineRule="auto"/>
              <w:jc w:val="center"/>
              <w:rPr>
                <w:rFonts w:asciiTheme="minorHAnsi" w:hAnsiTheme="minorHAnsi" w:cstheme="minorHAnsi"/>
                <w:sz w:val="26"/>
                <w:szCs w:val="26"/>
                <w:lang w:val="pt-PT" w:eastAsia="ro-RO"/>
              </w:rPr>
            </w:pPr>
            <w:r w:rsidRPr="002E39A3">
              <w:rPr>
                <w:rFonts w:asciiTheme="minorHAnsi" w:hAnsiTheme="minorHAnsi" w:cstheme="minorHAnsi"/>
                <w:sz w:val="26"/>
                <w:szCs w:val="26"/>
                <w:lang w:val="pt-PT" w:eastAsia="ro-RO"/>
              </w:rPr>
              <w:t>221</w:t>
            </w:r>
          </w:p>
        </w:tc>
      </w:tr>
    </w:tbl>
    <w:p w14:paraId="13537A0A" w14:textId="77777777" w:rsidR="00836C33" w:rsidRPr="008744B5" w:rsidRDefault="00836C33" w:rsidP="009E3AD8">
      <w:pPr>
        <w:pStyle w:val="Heading3"/>
        <w:rPr>
          <w:color w:val="auto"/>
        </w:rPr>
      </w:pPr>
      <w:bookmarkStart w:id="28" w:name="_Toc187824351"/>
      <w:bookmarkStart w:id="29" w:name="_Toc219287942"/>
      <w:r w:rsidRPr="008744B5">
        <w:rPr>
          <w:color w:val="auto"/>
        </w:rPr>
        <w:t>I.3.2.2. Funcţii de conducere</w:t>
      </w:r>
      <w:bookmarkEnd w:id="24"/>
      <w:bookmarkEnd w:id="25"/>
      <w:bookmarkEnd w:id="26"/>
      <w:bookmarkEnd w:id="27"/>
      <w:bookmarkEnd w:id="28"/>
      <w:bookmarkEnd w:id="29"/>
    </w:p>
    <w:p w14:paraId="047D9FF0" w14:textId="2B892E40" w:rsidR="00836C33" w:rsidRPr="008744B5" w:rsidRDefault="00836C33" w:rsidP="009E3AD8">
      <w:pPr>
        <w:autoSpaceDE w:val="0"/>
        <w:autoSpaceDN w:val="0"/>
        <w:adjustRightInd w:val="0"/>
        <w:spacing w:line="276" w:lineRule="auto"/>
        <w:ind w:firstLine="708"/>
        <w:jc w:val="both"/>
        <w:rPr>
          <w:rFonts w:asciiTheme="minorHAnsi" w:hAnsiTheme="minorHAnsi" w:cstheme="minorHAnsi"/>
          <w:sz w:val="26"/>
          <w:szCs w:val="26"/>
          <w:lang w:eastAsia="ro-RO"/>
        </w:rPr>
      </w:pPr>
      <w:r w:rsidRPr="008744B5">
        <w:rPr>
          <w:rFonts w:asciiTheme="minorHAnsi" w:hAnsiTheme="minorHAnsi" w:cstheme="minorHAnsi"/>
          <w:sz w:val="26"/>
          <w:szCs w:val="26"/>
          <w:lang w:eastAsia="ro-RO"/>
        </w:rPr>
        <w:t>La data de 31 decembrie 202</w:t>
      </w:r>
      <w:r w:rsidR="001265B8">
        <w:rPr>
          <w:rFonts w:asciiTheme="minorHAnsi" w:hAnsiTheme="minorHAnsi" w:cstheme="minorHAnsi"/>
          <w:sz w:val="26"/>
          <w:szCs w:val="26"/>
          <w:lang w:eastAsia="ro-RO"/>
        </w:rPr>
        <w:t>5</w:t>
      </w:r>
      <w:r w:rsidRPr="008744B5">
        <w:rPr>
          <w:rFonts w:asciiTheme="minorHAnsi" w:hAnsiTheme="minorHAnsi" w:cstheme="minorHAnsi"/>
          <w:sz w:val="26"/>
          <w:szCs w:val="26"/>
          <w:lang w:eastAsia="ro-RO"/>
        </w:rPr>
        <w:t xml:space="preserve">, numărul funcţiilor de conducere prevăzute la nivelul aparatului propriu al Consiliului era de 24 de funcţii. Dintre acestea, </w:t>
      </w:r>
      <w:r w:rsidR="006F47CE">
        <w:rPr>
          <w:rFonts w:asciiTheme="minorHAnsi" w:hAnsiTheme="minorHAnsi" w:cstheme="minorHAnsi"/>
          <w:sz w:val="26"/>
          <w:szCs w:val="26"/>
          <w:lang w:eastAsia="ro-RO"/>
        </w:rPr>
        <w:t>două</w:t>
      </w:r>
      <w:r w:rsidRPr="008744B5">
        <w:rPr>
          <w:rFonts w:asciiTheme="minorHAnsi" w:hAnsiTheme="minorHAnsi" w:cstheme="minorHAnsi"/>
          <w:sz w:val="26"/>
          <w:szCs w:val="26"/>
          <w:lang w:eastAsia="ro-RO"/>
        </w:rPr>
        <w:t xml:space="preserve"> funcţii erau ocupate prin numire, 19 funcţii erau exercitate prin delegare, </w:t>
      </w:r>
      <w:r w:rsidRPr="008744B5">
        <w:rPr>
          <w:rFonts w:asciiTheme="minorHAnsi" w:hAnsiTheme="minorHAnsi" w:cstheme="minorHAnsi"/>
          <w:sz w:val="26"/>
          <w:szCs w:val="26"/>
        </w:rPr>
        <w:t>respectiv exercitare</w:t>
      </w:r>
      <w:r w:rsidR="006B7F5F">
        <w:rPr>
          <w:rFonts w:asciiTheme="minorHAnsi" w:hAnsiTheme="minorHAnsi" w:cstheme="minorHAnsi"/>
          <w:sz w:val="26"/>
          <w:szCs w:val="26"/>
        </w:rPr>
        <w:t>a</w:t>
      </w:r>
      <w:r w:rsidRPr="008744B5">
        <w:rPr>
          <w:rFonts w:asciiTheme="minorHAnsi" w:hAnsiTheme="minorHAnsi" w:cstheme="minorHAnsi"/>
          <w:sz w:val="26"/>
          <w:szCs w:val="26"/>
        </w:rPr>
        <w:t xml:space="preserve"> cu caracter temporar a unei funcţii publice de conducere,</w:t>
      </w:r>
      <w:r w:rsidRPr="008744B5">
        <w:rPr>
          <w:rFonts w:asciiTheme="minorHAnsi" w:hAnsiTheme="minorHAnsi" w:cstheme="minorHAnsi"/>
          <w:sz w:val="26"/>
          <w:szCs w:val="26"/>
          <w:lang w:eastAsia="ro-RO"/>
        </w:rPr>
        <w:t xml:space="preserve"> iar </w:t>
      </w:r>
      <w:r w:rsidR="006F47CE">
        <w:rPr>
          <w:rFonts w:asciiTheme="minorHAnsi" w:hAnsiTheme="minorHAnsi" w:cstheme="minorHAnsi"/>
          <w:sz w:val="26"/>
          <w:szCs w:val="26"/>
          <w:lang w:eastAsia="ro-RO"/>
        </w:rPr>
        <w:t>trei</w:t>
      </w:r>
      <w:r w:rsidRPr="008744B5">
        <w:rPr>
          <w:rFonts w:asciiTheme="minorHAnsi" w:hAnsiTheme="minorHAnsi" w:cstheme="minorHAnsi"/>
          <w:sz w:val="26"/>
          <w:szCs w:val="26"/>
          <w:lang w:eastAsia="ro-RO"/>
        </w:rPr>
        <w:t xml:space="preserve"> funcţii erau vacante, după cum urmează:</w:t>
      </w:r>
    </w:p>
    <w:p w14:paraId="626D668B" w14:textId="64B564DF" w:rsidR="00836C33" w:rsidRPr="008744B5" w:rsidRDefault="00836C33" w:rsidP="00281400">
      <w:pPr>
        <w:numPr>
          <w:ilvl w:val="0"/>
          <w:numId w:val="10"/>
        </w:numPr>
        <w:spacing w:line="276" w:lineRule="auto"/>
        <w:ind w:left="810"/>
        <w:rPr>
          <w:rFonts w:asciiTheme="minorHAnsi" w:hAnsiTheme="minorHAnsi" w:cstheme="minorHAnsi"/>
          <w:sz w:val="26"/>
          <w:szCs w:val="26"/>
        </w:rPr>
      </w:pPr>
      <w:r w:rsidRPr="008744B5">
        <w:rPr>
          <w:rFonts w:asciiTheme="minorHAnsi" w:hAnsiTheme="minorHAnsi" w:cstheme="minorHAnsi"/>
          <w:sz w:val="26"/>
          <w:szCs w:val="26"/>
        </w:rPr>
        <w:t>director adjunct – Direcţia resurse umane și organizare</w:t>
      </w:r>
      <w:r w:rsidR="00EA706C">
        <w:rPr>
          <w:rFonts w:asciiTheme="minorHAnsi" w:hAnsiTheme="minorHAnsi" w:cstheme="minorHAnsi"/>
          <w:sz w:val="26"/>
          <w:szCs w:val="26"/>
          <w:lang w:val="en-US"/>
        </w:rPr>
        <w:t>;</w:t>
      </w:r>
    </w:p>
    <w:p w14:paraId="1A03D0B8" w14:textId="1DEBB421" w:rsidR="00836C33" w:rsidRPr="008744B5" w:rsidRDefault="00836C33" w:rsidP="00281400">
      <w:pPr>
        <w:numPr>
          <w:ilvl w:val="0"/>
          <w:numId w:val="10"/>
        </w:numPr>
        <w:spacing w:line="276" w:lineRule="auto"/>
        <w:ind w:left="810"/>
        <w:rPr>
          <w:rFonts w:asciiTheme="minorHAnsi" w:hAnsiTheme="minorHAnsi" w:cstheme="minorHAnsi"/>
          <w:sz w:val="26"/>
          <w:szCs w:val="26"/>
        </w:rPr>
      </w:pPr>
      <w:r w:rsidRPr="008744B5">
        <w:rPr>
          <w:rFonts w:asciiTheme="minorHAnsi" w:hAnsiTheme="minorHAnsi" w:cstheme="minorHAnsi"/>
          <w:sz w:val="26"/>
          <w:szCs w:val="26"/>
        </w:rPr>
        <w:t>director adjunct – Direcţia legislație, documentare și contencios</w:t>
      </w:r>
      <w:r w:rsidR="00EA706C">
        <w:rPr>
          <w:rFonts w:asciiTheme="minorHAnsi" w:hAnsiTheme="minorHAnsi" w:cstheme="minorHAnsi"/>
          <w:sz w:val="26"/>
          <w:szCs w:val="26"/>
        </w:rPr>
        <w:t>;</w:t>
      </w:r>
    </w:p>
    <w:p w14:paraId="1F6ADDBD" w14:textId="77777777" w:rsidR="00836C33" w:rsidRPr="008744B5" w:rsidRDefault="00836C33" w:rsidP="00281400">
      <w:pPr>
        <w:numPr>
          <w:ilvl w:val="0"/>
          <w:numId w:val="10"/>
        </w:numPr>
        <w:spacing w:line="276" w:lineRule="auto"/>
        <w:ind w:left="810"/>
        <w:rPr>
          <w:rFonts w:asciiTheme="minorHAnsi" w:hAnsiTheme="minorHAnsi" w:cstheme="minorHAnsi"/>
          <w:sz w:val="26"/>
          <w:szCs w:val="26"/>
        </w:rPr>
      </w:pPr>
      <w:r w:rsidRPr="008744B5">
        <w:rPr>
          <w:rFonts w:asciiTheme="minorHAnsi" w:hAnsiTheme="minorHAnsi" w:cstheme="minorHAnsi"/>
          <w:sz w:val="26"/>
          <w:szCs w:val="26"/>
        </w:rPr>
        <w:t>şef serviciu – Serviciul afaceri europene şi internaţionale.</w:t>
      </w:r>
    </w:p>
    <w:p w14:paraId="61C96CA8" w14:textId="25FB8703" w:rsidR="00836C33" w:rsidRPr="008744B5" w:rsidRDefault="00836C33" w:rsidP="009E3AD8">
      <w:pPr>
        <w:spacing w:line="276" w:lineRule="auto"/>
        <w:ind w:firstLine="450"/>
        <w:jc w:val="both"/>
        <w:rPr>
          <w:rFonts w:asciiTheme="minorHAnsi" w:hAnsiTheme="minorHAnsi" w:cstheme="minorHAnsi"/>
          <w:sz w:val="26"/>
          <w:szCs w:val="26"/>
        </w:rPr>
      </w:pPr>
      <w:r w:rsidRPr="008744B5">
        <w:rPr>
          <w:rFonts w:asciiTheme="minorHAnsi" w:hAnsiTheme="minorHAnsi" w:cstheme="minorHAnsi"/>
          <w:sz w:val="26"/>
          <w:szCs w:val="26"/>
        </w:rPr>
        <w:t xml:space="preserve">La data de 01 octombrie 2025, numărul funcţiilor de conducere prevăzute la nivelul aparatului propriu al Consiliului este de 24 funcţii, iar dintre acestea două funcţii sunt ocupate prin numire, 20 de funcţii prin delegare, respectiv exercitare cu caracter temporar a unei funcţii publice de conducere, iar </w:t>
      </w:r>
      <w:r w:rsidR="006F47CE">
        <w:rPr>
          <w:rFonts w:asciiTheme="minorHAnsi" w:hAnsiTheme="minorHAnsi" w:cstheme="minorHAnsi"/>
          <w:sz w:val="26"/>
          <w:szCs w:val="26"/>
        </w:rPr>
        <w:t>două</w:t>
      </w:r>
      <w:r w:rsidRPr="008744B5">
        <w:rPr>
          <w:rFonts w:asciiTheme="minorHAnsi" w:hAnsiTheme="minorHAnsi" w:cstheme="minorHAnsi"/>
          <w:sz w:val="26"/>
          <w:szCs w:val="26"/>
        </w:rPr>
        <w:t xml:space="preserve"> funcţii sunt vacante, după cum urmează:</w:t>
      </w:r>
    </w:p>
    <w:p w14:paraId="075A5070" w14:textId="71420ECB" w:rsidR="00836C33" w:rsidRPr="008744B5" w:rsidRDefault="00836C33" w:rsidP="00281400">
      <w:pPr>
        <w:numPr>
          <w:ilvl w:val="0"/>
          <w:numId w:val="10"/>
        </w:numPr>
        <w:spacing w:line="276" w:lineRule="auto"/>
        <w:ind w:left="810"/>
        <w:rPr>
          <w:rFonts w:asciiTheme="minorHAnsi" w:hAnsiTheme="minorHAnsi" w:cstheme="minorHAnsi"/>
          <w:sz w:val="26"/>
          <w:szCs w:val="26"/>
        </w:rPr>
      </w:pPr>
      <w:r w:rsidRPr="008744B5">
        <w:rPr>
          <w:rFonts w:asciiTheme="minorHAnsi" w:hAnsiTheme="minorHAnsi" w:cstheme="minorHAnsi"/>
          <w:sz w:val="26"/>
          <w:szCs w:val="26"/>
        </w:rPr>
        <w:t>director adjunct – Direcţia resurse umane și organizare</w:t>
      </w:r>
      <w:r w:rsidR="00FF70D5">
        <w:rPr>
          <w:rFonts w:asciiTheme="minorHAnsi" w:hAnsiTheme="minorHAnsi" w:cstheme="minorHAnsi"/>
          <w:sz w:val="26"/>
          <w:szCs w:val="26"/>
        </w:rPr>
        <w:t>;</w:t>
      </w:r>
    </w:p>
    <w:p w14:paraId="1C950D1B" w14:textId="750B816E" w:rsidR="00BA4B7D" w:rsidRPr="00D36835" w:rsidRDefault="00836C33" w:rsidP="00281400">
      <w:pPr>
        <w:numPr>
          <w:ilvl w:val="0"/>
          <w:numId w:val="10"/>
        </w:numPr>
        <w:spacing w:line="276" w:lineRule="auto"/>
        <w:ind w:left="810"/>
        <w:rPr>
          <w:rFonts w:asciiTheme="minorHAnsi" w:hAnsiTheme="minorHAnsi" w:cstheme="minorHAnsi"/>
          <w:sz w:val="26"/>
          <w:szCs w:val="26"/>
        </w:rPr>
      </w:pPr>
      <w:r w:rsidRPr="00D36835">
        <w:rPr>
          <w:rFonts w:asciiTheme="minorHAnsi" w:hAnsiTheme="minorHAnsi" w:cstheme="minorHAnsi"/>
          <w:sz w:val="26"/>
          <w:szCs w:val="26"/>
        </w:rPr>
        <w:t>şef serviciu – Serviciul afaceri europene şi internaţionale.</w:t>
      </w:r>
    </w:p>
    <w:p w14:paraId="15140A3D" w14:textId="56F26D25" w:rsidR="00635EFA" w:rsidRPr="00635EFA" w:rsidRDefault="00B1514A" w:rsidP="009E3AD8">
      <w:pPr>
        <w:pStyle w:val="Heading2"/>
        <w:keepLines w:val="0"/>
        <w:jc w:val="both"/>
        <w:rPr>
          <w:rFonts w:cstheme="minorHAnsi"/>
          <w:color w:val="auto"/>
          <w:lang w:val="ro-RO"/>
        </w:rPr>
      </w:pPr>
      <w:bookmarkStart w:id="30" w:name="_Toc430867108"/>
      <w:bookmarkStart w:id="31" w:name="_Toc219287943"/>
      <w:bookmarkEnd w:id="9"/>
      <w:r w:rsidRPr="000F0D8B">
        <w:rPr>
          <w:rFonts w:cstheme="minorHAnsi"/>
          <w:color w:val="auto"/>
          <w:lang w:val="ro-RO"/>
        </w:rPr>
        <w:t>I.4. Demersuri pentru dezvoltarea capacităţii Institutului Naţional al Magistraturii şi a Şcolii Naţionale de Grefieri</w:t>
      </w:r>
      <w:bookmarkEnd w:id="30"/>
      <w:bookmarkEnd w:id="31"/>
    </w:p>
    <w:p w14:paraId="4129D893" w14:textId="55427CC0" w:rsidR="00635EFA" w:rsidRPr="00635EFA" w:rsidRDefault="00635EFA" w:rsidP="009E3AD8">
      <w:pPr>
        <w:numPr>
          <w:ilvl w:val="1"/>
          <w:numId w:val="0"/>
        </w:numPr>
        <w:spacing w:line="276" w:lineRule="auto"/>
        <w:ind w:firstLine="706"/>
        <w:jc w:val="both"/>
        <w:rPr>
          <w:rFonts w:asciiTheme="minorHAnsi" w:hAnsiTheme="minorHAnsi" w:cstheme="minorHAnsi"/>
          <w:b/>
          <w:bCs/>
          <w:color w:val="000000" w:themeColor="text1"/>
          <w:sz w:val="26"/>
          <w:szCs w:val="26"/>
        </w:rPr>
      </w:pPr>
      <w:r w:rsidRPr="00635EFA">
        <w:rPr>
          <w:rFonts w:asciiTheme="minorHAnsi" w:hAnsiTheme="minorHAnsi" w:cstheme="minorHAnsi"/>
          <w:b/>
          <w:bCs/>
          <w:color w:val="000000" w:themeColor="text1"/>
          <w:sz w:val="26"/>
          <w:szCs w:val="26"/>
        </w:rPr>
        <w:t>Institutul Național a</w:t>
      </w:r>
      <w:r w:rsidR="00472A90">
        <w:rPr>
          <w:rFonts w:asciiTheme="minorHAnsi" w:hAnsiTheme="minorHAnsi" w:cstheme="minorHAnsi"/>
          <w:b/>
          <w:bCs/>
          <w:color w:val="000000" w:themeColor="text1"/>
          <w:sz w:val="26"/>
          <w:szCs w:val="26"/>
        </w:rPr>
        <w:t>l</w:t>
      </w:r>
      <w:r w:rsidRPr="00635EFA">
        <w:rPr>
          <w:rFonts w:asciiTheme="minorHAnsi" w:hAnsiTheme="minorHAnsi" w:cstheme="minorHAnsi"/>
          <w:b/>
          <w:bCs/>
          <w:color w:val="000000" w:themeColor="text1"/>
          <w:sz w:val="26"/>
          <w:szCs w:val="26"/>
        </w:rPr>
        <w:t xml:space="preserve"> Magistraturii</w:t>
      </w:r>
    </w:p>
    <w:p w14:paraId="3CD97E82" w14:textId="2D52162F" w:rsidR="00635EFA" w:rsidRPr="008A4793" w:rsidRDefault="00635EFA" w:rsidP="009E3AD8">
      <w:pPr>
        <w:numPr>
          <w:ilvl w:val="1"/>
          <w:numId w:val="0"/>
        </w:numPr>
        <w:spacing w:line="276" w:lineRule="auto"/>
        <w:ind w:firstLine="706"/>
        <w:jc w:val="both"/>
        <w:rPr>
          <w:rFonts w:asciiTheme="minorHAnsi" w:hAnsiTheme="minorHAnsi" w:cstheme="minorHAnsi"/>
          <w:color w:val="000000" w:themeColor="text1"/>
          <w:sz w:val="26"/>
          <w:szCs w:val="26"/>
        </w:rPr>
      </w:pPr>
      <w:r w:rsidRPr="008A4793">
        <w:rPr>
          <w:rFonts w:asciiTheme="minorHAnsi" w:hAnsiTheme="minorHAnsi" w:cstheme="minorHAnsi"/>
          <w:color w:val="000000" w:themeColor="text1"/>
          <w:sz w:val="26"/>
          <w:szCs w:val="26"/>
        </w:rPr>
        <w:lastRenderedPageBreak/>
        <w:t>În cursul anului 2025, demersurile privind dezvoltarea capacității Institutului Național al Magistraturii (I.N.M.) au vizat:</w:t>
      </w:r>
    </w:p>
    <w:p w14:paraId="1AE047C0" w14:textId="77777777" w:rsidR="00635EFA" w:rsidRPr="008A4793" w:rsidRDefault="00635EFA" w:rsidP="009C1A25">
      <w:pPr>
        <w:pStyle w:val="Heading3"/>
        <w:rPr>
          <w:rFonts w:cstheme="minorHAnsi"/>
          <w:szCs w:val="26"/>
        </w:rPr>
      </w:pPr>
      <w:bookmarkStart w:id="32" w:name="_Toc183594098"/>
      <w:bookmarkStart w:id="33" w:name="_Toc219287944"/>
      <w:r w:rsidRPr="008A4793">
        <w:rPr>
          <w:rFonts w:cstheme="minorHAnsi"/>
          <w:szCs w:val="26"/>
        </w:rPr>
        <w:t>I.4.1. Consolidarea capacității instituționale</w:t>
      </w:r>
      <w:bookmarkEnd w:id="32"/>
      <w:bookmarkEnd w:id="33"/>
      <w:r w:rsidRPr="008A4793">
        <w:rPr>
          <w:rFonts w:cstheme="minorHAnsi"/>
          <w:szCs w:val="26"/>
        </w:rPr>
        <w:t xml:space="preserve"> </w:t>
      </w:r>
    </w:p>
    <w:p w14:paraId="4A8DA07F" w14:textId="77777777" w:rsidR="00635EFA" w:rsidRPr="008A4793" w:rsidRDefault="00635EFA" w:rsidP="009E3AD8">
      <w:pPr>
        <w:keepNext/>
        <w:keepLines/>
        <w:spacing w:line="276" w:lineRule="auto"/>
        <w:ind w:right="45" w:firstLine="709"/>
        <w:jc w:val="both"/>
        <w:rPr>
          <w:rFonts w:asciiTheme="minorHAnsi" w:hAnsiTheme="minorHAnsi" w:cstheme="minorHAnsi"/>
          <w:color w:val="000000" w:themeColor="text1"/>
          <w:sz w:val="26"/>
          <w:szCs w:val="26"/>
        </w:rPr>
      </w:pPr>
      <w:r w:rsidRPr="008A4793">
        <w:rPr>
          <w:rFonts w:asciiTheme="minorHAnsi" w:hAnsiTheme="minorHAnsi" w:cstheme="minorHAnsi"/>
          <w:color w:val="000000" w:themeColor="text1"/>
          <w:sz w:val="26"/>
          <w:szCs w:val="26"/>
        </w:rPr>
        <w:t>Asigurarea necesarului de resurse umane pentru buna desfăşurare a activităţii a fost unul dintre principalele obiective ale I.N.M. pentru anul 2025.</w:t>
      </w:r>
    </w:p>
    <w:p w14:paraId="3653159C" w14:textId="77777777" w:rsidR="00635EFA" w:rsidRPr="008A4793" w:rsidRDefault="00635EFA" w:rsidP="009E3AD8">
      <w:pPr>
        <w:spacing w:line="276" w:lineRule="auto"/>
        <w:ind w:right="15" w:firstLine="709"/>
        <w:jc w:val="both"/>
        <w:rPr>
          <w:rFonts w:asciiTheme="minorHAnsi" w:hAnsiTheme="minorHAnsi" w:cstheme="minorHAnsi"/>
          <w:color w:val="000000" w:themeColor="text1"/>
          <w:sz w:val="26"/>
          <w:szCs w:val="26"/>
        </w:rPr>
      </w:pPr>
      <w:r w:rsidRPr="008A4793">
        <w:rPr>
          <w:rFonts w:asciiTheme="minorHAnsi" w:hAnsiTheme="minorHAnsi" w:cstheme="minorHAnsi"/>
          <w:color w:val="000000" w:themeColor="text1"/>
          <w:sz w:val="26"/>
          <w:szCs w:val="26"/>
        </w:rPr>
        <w:t xml:space="preserve">Începând cu data de 01 ianuarie 2025 au fost implementate modificările din Regulamentul Institutului Național al Magistraturii, aprobat prin Hotărârea Plenului Consiliului Superior al Magistraturii nr. 92/2023, cu modificările şi completările aduse prin Hotărârile Plenului Consiliului Superior al Magistraturii nr. 137/2024 şi nr. 58/2025, fiind aprobate statul de funcţii şi statul de personal privind funcţionarea I.N.M. cu 105 posturi conform H.G. nr. 891/2024 în condiţiile asigurării fondurilor bugetare, prin </w:t>
      </w:r>
      <w:bookmarkStart w:id="34" w:name="_Hlk210906906"/>
      <w:r w:rsidRPr="008A4793">
        <w:rPr>
          <w:rFonts w:asciiTheme="minorHAnsi" w:hAnsiTheme="minorHAnsi" w:cstheme="minorHAnsi"/>
          <w:color w:val="000000" w:themeColor="text1"/>
          <w:sz w:val="26"/>
          <w:szCs w:val="26"/>
        </w:rPr>
        <w:t>Hotărârea Plenului Consiliului Superior al Magistraturii nr. 31/2025</w:t>
      </w:r>
      <w:bookmarkEnd w:id="34"/>
      <w:r w:rsidRPr="008A4793">
        <w:rPr>
          <w:rFonts w:asciiTheme="minorHAnsi" w:hAnsiTheme="minorHAnsi" w:cstheme="minorHAnsi"/>
          <w:color w:val="000000" w:themeColor="text1"/>
          <w:sz w:val="26"/>
          <w:szCs w:val="26"/>
        </w:rPr>
        <w:t>. De asemenea,</w:t>
      </w:r>
      <w:r w:rsidRPr="008A4793">
        <w:rPr>
          <w:rFonts w:asciiTheme="minorHAnsi" w:hAnsiTheme="minorHAnsi" w:cstheme="minorHAnsi"/>
          <w:bCs/>
          <w:color w:val="000000" w:themeColor="text1"/>
          <w:sz w:val="26"/>
          <w:szCs w:val="26"/>
        </w:rPr>
        <w:t xml:space="preserve"> având în vedere </w:t>
      </w:r>
      <w:r w:rsidRPr="008A4793">
        <w:rPr>
          <w:rFonts w:asciiTheme="minorHAnsi" w:hAnsiTheme="minorHAnsi" w:cstheme="minorHAnsi"/>
          <w:color w:val="000000" w:themeColor="text1"/>
          <w:sz w:val="26"/>
          <w:szCs w:val="26"/>
        </w:rPr>
        <w:t xml:space="preserve">asigurarea bunei desfășurări a diverselor activități care vor necesita dezvoltarea în domeniul digitalizării, </w:t>
      </w:r>
      <w:r w:rsidRPr="008A4793">
        <w:rPr>
          <w:rFonts w:asciiTheme="minorHAnsi" w:hAnsiTheme="minorHAnsi" w:cstheme="minorHAnsi"/>
          <w:bCs/>
          <w:color w:val="000000" w:themeColor="text1"/>
          <w:sz w:val="26"/>
          <w:szCs w:val="26"/>
        </w:rPr>
        <w:t xml:space="preserve">s-a aprobat transformarea unui post vacant aparţinând categoriei personalului contractual de execuţie de </w:t>
      </w:r>
      <w:bookmarkStart w:id="35" w:name="_Hlk185427074"/>
      <w:r w:rsidRPr="008A4793">
        <w:rPr>
          <w:rFonts w:asciiTheme="minorHAnsi" w:hAnsiTheme="minorHAnsi" w:cstheme="minorHAnsi"/>
          <w:bCs/>
          <w:color w:val="000000" w:themeColor="text1"/>
          <w:sz w:val="26"/>
          <w:szCs w:val="26"/>
        </w:rPr>
        <w:t>muncitor calificat, treapta I</w:t>
      </w:r>
      <w:bookmarkEnd w:id="35"/>
      <w:r w:rsidRPr="008A4793">
        <w:rPr>
          <w:rFonts w:asciiTheme="minorHAnsi" w:hAnsiTheme="minorHAnsi" w:cstheme="minorHAnsi"/>
          <w:bCs/>
          <w:color w:val="000000" w:themeColor="text1"/>
          <w:sz w:val="26"/>
          <w:szCs w:val="26"/>
        </w:rPr>
        <w:t xml:space="preserve">, în postul aparţinând categoriei personalului contractual de execuţie de </w:t>
      </w:r>
      <w:bookmarkStart w:id="36" w:name="_Hlk185426814"/>
      <w:r w:rsidRPr="008A4793">
        <w:rPr>
          <w:rFonts w:asciiTheme="minorHAnsi" w:hAnsiTheme="minorHAnsi" w:cstheme="minorHAnsi"/>
          <w:bCs/>
          <w:color w:val="000000" w:themeColor="text1"/>
          <w:sz w:val="26"/>
          <w:szCs w:val="26"/>
        </w:rPr>
        <w:t>consilier – specialist IT</w:t>
      </w:r>
      <w:bookmarkEnd w:id="36"/>
      <w:r w:rsidRPr="008A4793">
        <w:rPr>
          <w:rFonts w:asciiTheme="minorHAnsi" w:hAnsiTheme="minorHAnsi" w:cstheme="minorHAnsi"/>
          <w:bCs/>
          <w:color w:val="000000" w:themeColor="text1"/>
          <w:sz w:val="26"/>
          <w:szCs w:val="26"/>
        </w:rPr>
        <w:t>, gradul II.</w:t>
      </w:r>
    </w:p>
    <w:p w14:paraId="2C70C39C" w14:textId="450FEE73" w:rsidR="00635EFA" w:rsidRPr="008A4793" w:rsidRDefault="00635EFA" w:rsidP="009E3AD8">
      <w:pPr>
        <w:spacing w:line="276" w:lineRule="auto"/>
        <w:ind w:firstLine="709"/>
        <w:jc w:val="both"/>
        <w:rPr>
          <w:rFonts w:asciiTheme="minorHAnsi" w:eastAsia="Aptos" w:hAnsiTheme="minorHAnsi" w:cstheme="minorHAnsi"/>
          <w:color w:val="000000" w:themeColor="text1"/>
          <w:kern w:val="2"/>
          <w:sz w:val="26"/>
          <w:szCs w:val="26"/>
        </w:rPr>
      </w:pPr>
      <w:r w:rsidRPr="008A4793">
        <w:rPr>
          <w:rFonts w:asciiTheme="minorHAnsi" w:hAnsiTheme="minorHAnsi" w:cstheme="minorHAnsi"/>
          <w:color w:val="000000" w:themeColor="text1"/>
          <w:sz w:val="26"/>
          <w:szCs w:val="26"/>
        </w:rPr>
        <w:t xml:space="preserve">Prin Hotărârea Plenului Consiliului Superior al Magistraturii nr. 86/2025 au fost aprobate statele de funcţii şi de personal valabile începând cu data de 17 iunie 2025, care au cuprins </w:t>
      </w:r>
      <w:r w:rsidRPr="008A4793">
        <w:rPr>
          <w:rFonts w:asciiTheme="minorHAnsi" w:hAnsiTheme="minorHAnsi" w:cstheme="minorHAnsi"/>
          <w:bCs/>
          <w:color w:val="000000" w:themeColor="text1"/>
          <w:sz w:val="26"/>
          <w:szCs w:val="26"/>
        </w:rPr>
        <w:t xml:space="preserve">transformarea postului vacant aparţinând categoriei personalului contractual de execuţie de secretar, </w:t>
      </w:r>
      <w:bookmarkStart w:id="37" w:name="_Hlk199156560"/>
      <w:r w:rsidRPr="008A4793">
        <w:rPr>
          <w:rFonts w:asciiTheme="minorHAnsi" w:hAnsiTheme="minorHAnsi" w:cstheme="minorHAnsi"/>
          <w:bCs/>
          <w:color w:val="000000" w:themeColor="text1"/>
          <w:sz w:val="26"/>
          <w:szCs w:val="26"/>
        </w:rPr>
        <w:t>gradul I</w:t>
      </w:r>
      <w:bookmarkEnd w:id="37"/>
      <w:r w:rsidRPr="008A4793">
        <w:rPr>
          <w:rFonts w:asciiTheme="minorHAnsi" w:hAnsiTheme="minorHAnsi" w:cstheme="minorHAnsi"/>
          <w:bCs/>
          <w:color w:val="000000" w:themeColor="text1"/>
          <w:sz w:val="26"/>
          <w:szCs w:val="26"/>
        </w:rPr>
        <w:t xml:space="preserve">, în postul de personal de instruire - magistrat, </w:t>
      </w:r>
      <w:r w:rsidRPr="008A4793">
        <w:rPr>
          <w:rFonts w:asciiTheme="minorHAnsi" w:eastAsia="Aptos" w:hAnsiTheme="minorHAnsi" w:cstheme="minorHAnsi"/>
          <w:color w:val="000000" w:themeColor="text1"/>
          <w:kern w:val="2"/>
          <w:sz w:val="26"/>
          <w:szCs w:val="26"/>
        </w:rPr>
        <w:t>motivat de împrejurarea că, pe parcursul ultimilor ani, numărul, tipurile, domeniile și complexitatea activităților prevăzute în programele de formare inițială au înregistrat o creștere constantă, corelată cu creșterea progresivă a numărului auditorilor de justiție pe care Institutul Național al Magistraturii are responsabilitatea de a-i forma anual. Totodată, cooptarea unui număr cât mai mare de formatori cu normă întreagă ar contribui la consolidarea caracterului unitar al formării inițiale și evaluării auditorilor de justiție, ca piloni esențiali în asigurarea unui nivel de pregătire consistent și eficace.</w:t>
      </w:r>
    </w:p>
    <w:p w14:paraId="7D0D0B83" w14:textId="42E0D158" w:rsidR="00635EFA" w:rsidRPr="008A4793" w:rsidRDefault="00635EFA" w:rsidP="009E3AD8">
      <w:pPr>
        <w:spacing w:line="276" w:lineRule="auto"/>
        <w:ind w:right="15"/>
        <w:jc w:val="both"/>
        <w:rPr>
          <w:rFonts w:asciiTheme="minorHAnsi" w:hAnsiTheme="minorHAnsi" w:cstheme="minorHAnsi"/>
          <w:color w:val="000000" w:themeColor="text1"/>
          <w:sz w:val="26"/>
          <w:szCs w:val="26"/>
          <w:lang w:val="pt-PT"/>
        </w:rPr>
      </w:pPr>
      <w:r w:rsidRPr="008A4793">
        <w:rPr>
          <w:rFonts w:asciiTheme="minorHAnsi" w:hAnsiTheme="minorHAnsi" w:cstheme="minorHAnsi"/>
          <w:color w:val="000000" w:themeColor="text1"/>
          <w:sz w:val="26"/>
          <w:szCs w:val="26"/>
        </w:rPr>
        <w:t xml:space="preserve"> </w:t>
      </w:r>
      <w:r w:rsidRPr="008A4793">
        <w:rPr>
          <w:rFonts w:asciiTheme="minorHAnsi" w:hAnsiTheme="minorHAnsi" w:cstheme="minorHAnsi"/>
          <w:color w:val="000000" w:themeColor="text1"/>
          <w:sz w:val="26"/>
          <w:szCs w:val="26"/>
        </w:rPr>
        <w:tab/>
      </w:r>
      <w:r w:rsidRPr="008A4793">
        <w:rPr>
          <w:rFonts w:asciiTheme="minorHAnsi" w:hAnsiTheme="minorHAnsi" w:cstheme="minorHAnsi"/>
          <w:color w:val="000000" w:themeColor="text1"/>
          <w:sz w:val="26"/>
          <w:szCs w:val="26"/>
          <w:lang w:val="pt-PT"/>
        </w:rPr>
        <w:t xml:space="preserve">În cursul anului 2025, </w:t>
      </w:r>
      <w:r w:rsidRPr="008A4793">
        <w:rPr>
          <w:rFonts w:asciiTheme="minorHAnsi" w:hAnsiTheme="minorHAnsi" w:cstheme="minorHAnsi"/>
          <w:color w:val="000000" w:themeColor="text1"/>
          <w:sz w:val="26"/>
          <w:szCs w:val="26"/>
        </w:rPr>
        <w:t>ocuparea unor posturi vacante s-a realizat conform prevederilor legale,</w:t>
      </w:r>
      <w:r w:rsidRPr="008A4793">
        <w:rPr>
          <w:rFonts w:asciiTheme="minorHAnsi" w:hAnsiTheme="minorHAnsi" w:cstheme="minorHAnsi"/>
          <w:color w:val="000000" w:themeColor="text1"/>
          <w:sz w:val="26"/>
          <w:szCs w:val="26"/>
          <w:lang w:val="pt-PT"/>
        </w:rPr>
        <w:t xml:space="preserve"> fluctuația personalului pe funcțiile de execuție aparţinând categoriei funcţionarilor publici şi categoriei personalului contractual fiind acoperită prin proceduri de transfer la cere</w:t>
      </w:r>
      <w:r w:rsidR="006B7F5F">
        <w:rPr>
          <w:rFonts w:asciiTheme="minorHAnsi" w:hAnsiTheme="minorHAnsi" w:cstheme="minorHAnsi"/>
          <w:color w:val="000000" w:themeColor="text1"/>
          <w:sz w:val="26"/>
          <w:szCs w:val="26"/>
          <w:lang w:val="pt-PT"/>
        </w:rPr>
        <w:t>re</w:t>
      </w:r>
      <w:r w:rsidRPr="008A4793">
        <w:rPr>
          <w:rFonts w:asciiTheme="minorHAnsi" w:hAnsiTheme="minorHAnsi" w:cstheme="minorHAnsi"/>
          <w:color w:val="000000" w:themeColor="text1"/>
          <w:sz w:val="26"/>
          <w:szCs w:val="26"/>
          <w:lang w:val="pt-PT"/>
        </w:rPr>
        <w:t xml:space="preserve"> (4 posturi) şi prin </w:t>
      </w:r>
      <w:r w:rsidRPr="002E39A3">
        <w:rPr>
          <w:rFonts w:asciiTheme="minorHAnsi" w:hAnsiTheme="minorHAnsi" w:cstheme="minorHAnsi"/>
          <w:sz w:val="26"/>
          <w:szCs w:val="26"/>
          <w:lang w:val="pt-PT"/>
        </w:rPr>
        <w:t>recrutare (</w:t>
      </w:r>
      <w:r w:rsidR="004317EF" w:rsidRPr="002E39A3">
        <w:rPr>
          <w:rFonts w:asciiTheme="minorHAnsi" w:hAnsiTheme="minorHAnsi" w:cstheme="minorHAnsi"/>
          <w:sz w:val="26"/>
          <w:szCs w:val="26"/>
          <w:lang w:val="pt-PT"/>
        </w:rPr>
        <w:t>4</w:t>
      </w:r>
      <w:r w:rsidRPr="002E39A3">
        <w:rPr>
          <w:rFonts w:asciiTheme="minorHAnsi" w:hAnsiTheme="minorHAnsi" w:cstheme="minorHAnsi"/>
          <w:sz w:val="26"/>
          <w:szCs w:val="26"/>
          <w:lang w:val="pt-PT"/>
        </w:rPr>
        <w:t xml:space="preserve"> posturi).</w:t>
      </w:r>
    </w:p>
    <w:p w14:paraId="787FAA9B" w14:textId="36997FA4" w:rsidR="00635EFA" w:rsidRPr="008A4793" w:rsidRDefault="00635EFA" w:rsidP="009E3AD8">
      <w:pPr>
        <w:spacing w:line="276" w:lineRule="auto"/>
        <w:ind w:right="15"/>
        <w:jc w:val="both"/>
        <w:rPr>
          <w:rFonts w:asciiTheme="minorHAnsi" w:hAnsiTheme="minorHAnsi" w:cstheme="minorHAnsi"/>
          <w:color w:val="000000" w:themeColor="text1"/>
          <w:sz w:val="26"/>
          <w:szCs w:val="26"/>
          <w:lang w:val="pt-PT"/>
        </w:rPr>
      </w:pPr>
      <w:r w:rsidRPr="008A4793">
        <w:rPr>
          <w:rFonts w:asciiTheme="minorHAnsi" w:hAnsiTheme="minorHAnsi" w:cstheme="minorHAnsi"/>
          <w:color w:val="000000" w:themeColor="text1"/>
          <w:sz w:val="26"/>
          <w:szCs w:val="26"/>
          <w:lang w:val="pt-PT"/>
        </w:rPr>
        <w:t xml:space="preserve">      </w:t>
      </w:r>
      <w:r w:rsidRPr="008A4793">
        <w:rPr>
          <w:rFonts w:asciiTheme="minorHAnsi" w:hAnsiTheme="minorHAnsi" w:cstheme="minorHAnsi"/>
          <w:color w:val="000000" w:themeColor="text1"/>
          <w:sz w:val="26"/>
          <w:szCs w:val="26"/>
          <w:lang w:val="pt-PT"/>
        </w:rPr>
        <w:tab/>
        <w:t>De asemenea, din punct de vedere al dotărilor materiale, în cadrul programului de cooperare  Elve</w:t>
      </w:r>
      <w:r w:rsidR="008915B3">
        <w:rPr>
          <w:rFonts w:asciiTheme="minorHAnsi" w:hAnsiTheme="minorHAnsi" w:cstheme="minorHAnsi"/>
          <w:color w:val="000000" w:themeColor="text1"/>
          <w:sz w:val="26"/>
          <w:szCs w:val="26"/>
          <w:lang w:val="pt-PT"/>
        </w:rPr>
        <w:t>ț</w:t>
      </w:r>
      <w:r w:rsidRPr="008A4793">
        <w:rPr>
          <w:rFonts w:asciiTheme="minorHAnsi" w:hAnsiTheme="minorHAnsi" w:cstheme="minorHAnsi"/>
          <w:color w:val="000000" w:themeColor="text1"/>
          <w:sz w:val="26"/>
          <w:szCs w:val="26"/>
          <w:lang w:val="pt-PT"/>
        </w:rPr>
        <w:t>ia</w:t>
      </w:r>
      <w:r w:rsidR="002E4F85">
        <w:rPr>
          <w:rFonts w:asciiTheme="minorHAnsi" w:hAnsiTheme="minorHAnsi" w:cstheme="minorHAnsi"/>
          <w:color w:val="000000" w:themeColor="text1"/>
          <w:sz w:val="26"/>
          <w:szCs w:val="26"/>
          <w:lang w:val="pt-PT"/>
        </w:rPr>
        <w:t xml:space="preserve"> </w:t>
      </w:r>
      <w:r w:rsidR="008915B3">
        <w:rPr>
          <w:rFonts w:asciiTheme="minorHAnsi" w:hAnsiTheme="minorHAnsi" w:cstheme="minorHAnsi"/>
          <w:color w:val="000000" w:themeColor="text1"/>
          <w:sz w:val="26"/>
          <w:szCs w:val="26"/>
          <w:lang w:val="pt-PT"/>
        </w:rPr>
        <w:t>–</w:t>
      </w:r>
      <w:r w:rsidR="002E4F85">
        <w:rPr>
          <w:rFonts w:asciiTheme="minorHAnsi" w:hAnsiTheme="minorHAnsi" w:cstheme="minorHAnsi"/>
          <w:color w:val="000000" w:themeColor="text1"/>
          <w:sz w:val="26"/>
          <w:szCs w:val="26"/>
          <w:lang w:val="pt-PT"/>
        </w:rPr>
        <w:t xml:space="preserve"> </w:t>
      </w:r>
      <w:r w:rsidRPr="008A4793">
        <w:rPr>
          <w:rFonts w:asciiTheme="minorHAnsi" w:hAnsiTheme="minorHAnsi" w:cstheme="minorHAnsi"/>
          <w:color w:val="000000" w:themeColor="text1"/>
          <w:sz w:val="26"/>
          <w:szCs w:val="26"/>
          <w:lang w:val="pt-PT"/>
        </w:rPr>
        <w:t>Rom</w:t>
      </w:r>
      <w:r w:rsidR="008915B3">
        <w:rPr>
          <w:rFonts w:asciiTheme="minorHAnsi" w:hAnsiTheme="minorHAnsi" w:cstheme="minorHAnsi"/>
          <w:color w:val="000000" w:themeColor="text1"/>
          <w:sz w:val="26"/>
          <w:szCs w:val="26"/>
        </w:rPr>
        <w:t>â</w:t>
      </w:r>
      <w:r w:rsidRPr="008A4793">
        <w:rPr>
          <w:rFonts w:asciiTheme="minorHAnsi" w:hAnsiTheme="minorHAnsi" w:cstheme="minorHAnsi"/>
          <w:color w:val="000000" w:themeColor="text1"/>
          <w:sz w:val="26"/>
          <w:szCs w:val="26"/>
          <w:lang w:val="pt-PT"/>
        </w:rPr>
        <w:t>nia  Programul Securitate și Siguranță Publică (Justiție),  Componenta 1 a Programului - Consolidarea capacității instituționale în domeniul combaterii crimei organizate, în special a infracțiunilor facilitate de internet și a infracțiunilor de mediu (F</w:t>
      </w:r>
      <w:r w:rsidR="00C5527F">
        <w:rPr>
          <w:rFonts w:asciiTheme="minorHAnsi" w:hAnsiTheme="minorHAnsi" w:cstheme="minorHAnsi"/>
          <w:color w:val="000000" w:themeColor="text1"/>
          <w:sz w:val="26"/>
          <w:szCs w:val="26"/>
          <w:lang w:val="pt-PT"/>
        </w:rPr>
        <w:t>.</w:t>
      </w:r>
      <w:r w:rsidRPr="008A4793">
        <w:rPr>
          <w:rFonts w:asciiTheme="minorHAnsi" w:hAnsiTheme="minorHAnsi" w:cstheme="minorHAnsi"/>
          <w:color w:val="000000" w:themeColor="text1"/>
          <w:sz w:val="26"/>
          <w:szCs w:val="26"/>
          <w:lang w:val="pt-PT"/>
        </w:rPr>
        <w:t>O</w:t>
      </w:r>
      <w:r w:rsidR="00C5527F">
        <w:rPr>
          <w:rFonts w:asciiTheme="minorHAnsi" w:hAnsiTheme="minorHAnsi" w:cstheme="minorHAnsi"/>
          <w:color w:val="000000" w:themeColor="text1"/>
          <w:sz w:val="26"/>
          <w:szCs w:val="26"/>
          <w:lang w:val="pt-PT"/>
        </w:rPr>
        <w:t>.</w:t>
      </w:r>
      <w:r w:rsidRPr="008A4793">
        <w:rPr>
          <w:rFonts w:asciiTheme="minorHAnsi" w:hAnsiTheme="minorHAnsi" w:cstheme="minorHAnsi"/>
          <w:color w:val="000000" w:themeColor="text1"/>
          <w:sz w:val="26"/>
          <w:szCs w:val="26"/>
          <w:lang w:val="pt-PT"/>
        </w:rPr>
        <w:t>E</w:t>
      </w:r>
      <w:r w:rsidR="00C5527F">
        <w:rPr>
          <w:rFonts w:asciiTheme="minorHAnsi" w:hAnsiTheme="minorHAnsi" w:cstheme="minorHAnsi"/>
          <w:color w:val="000000" w:themeColor="text1"/>
          <w:sz w:val="26"/>
          <w:szCs w:val="26"/>
          <w:lang w:val="pt-PT"/>
        </w:rPr>
        <w:t>.</w:t>
      </w:r>
      <w:r w:rsidRPr="008A4793">
        <w:rPr>
          <w:rFonts w:asciiTheme="minorHAnsi" w:hAnsiTheme="minorHAnsi" w:cstheme="minorHAnsi"/>
          <w:color w:val="000000" w:themeColor="text1"/>
          <w:sz w:val="26"/>
          <w:szCs w:val="26"/>
          <w:lang w:val="pt-PT"/>
        </w:rPr>
        <w:t>C</w:t>
      </w:r>
      <w:r w:rsidR="00C5527F">
        <w:rPr>
          <w:rFonts w:asciiTheme="minorHAnsi" w:hAnsiTheme="minorHAnsi" w:cstheme="minorHAnsi"/>
          <w:color w:val="000000" w:themeColor="text1"/>
          <w:sz w:val="26"/>
          <w:szCs w:val="26"/>
          <w:lang w:val="pt-PT"/>
        </w:rPr>
        <w:t>.</w:t>
      </w:r>
      <w:r w:rsidRPr="008A4793">
        <w:rPr>
          <w:rFonts w:asciiTheme="minorHAnsi" w:hAnsiTheme="minorHAnsi" w:cstheme="minorHAnsi"/>
          <w:color w:val="000000" w:themeColor="text1"/>
          <w:sz w:val="26"/>
          <w:szCs w:val="26"/>
          <w:lang w:val="pt-PT"/>
        </w:rPr>
        <w:t>) au fost  achiziționate  echipament</w:t>
      </w:r>
      <w:r w:rsidR="00A41195">
        <w:rPr>
          <w:rFonts w:asciiTheme="minorHAnsi" w:hAnsiTheme="minorHAnsi" w:cstheme="minorHAnsi"/>
          <w:color w:val="000000" w:themeColor="text1"/>
          <w:sz w:val="26"/>
          <w:szCs w:val="26"/>
          <w:lang w:val="pt-PT"/>
        </w:rPr>
        <w:t>e</w:t>
      </w:r>
      <w:r w:rsidRPr="008A4793">
        <w:rPr>
          <w:rFonts w:asciiTheme="minorHAnsi" w:hAnsiTheme="minorHAnsi" w:cstheme="minorHAnsi"/>
          <w:color w:val="000000" w:themeColor="text1"/>
          <w:sz w:val="26"/>
          <w:szCs w:val="26"/>
          <w:lang w:val="pt-PT"/>
        </w:rPr>
        <w:t xml:space="preserve"> IT,  reprezent</w:t>
      </w:r>
      <w:r w:rsidR="006B7F5F">
        <w:rPr>
          <w:rFonts w:asciiTheme="minorHAnsi" w:hAnsiTheme="minorHAnsi" w:cstheme="minorHAnsi"/>
          <w:color w:val="000000" w:themeColor="text1"/>
          <w:sz w:val="26"/>
          <w:szCs w:val="26"/>
          <w:lang w:val="pt-PT"/>
        </w:rPr>
        <w:t>â</w:t>
      </w:r>
      <w:r w:rsidRPr="008A4793">
        <w:rPr>
          <w:rFonts w:asciiTheme="minorHAnsi" w:hAnsiTheme="minorHAnsi" w:cstheme="minorHAnsi"/>
          <w:color w:val="000000" w:themeColor="text1"/>
          <w:sz w:val="26"/>
          <w:szCs w:val="26"/>
          <w:lang w:val="pt-PT"/>
        </w:rPr>
        <w:t xml:space="preserve">nd 1 server, 10 laptopuri, 10 monitoare, 10 docking stations, urmând </w:t>
      </w:r>
      <w:r w:rsidRPr="008A4793">
        <w:rPr>
          <w:rFonts w:asciiTheme="minorHAnsi" w:hAnsiTheme="minorHAnsi" w:cstheme="minorHAnsi"/>
          <w:color w:val="000000" w:themeColor="text1"/>
          <w:sz w:val="26"/>
          <w:szCs w:val="26"/>
        </w:rPr>
        <w:t>ca în perioada următoare să fie achiziționate și licen</w:t>
      </w:r>
      <w:r w:rsidR="00EA3836">
        <w:rPr>
          <w:rFonts w:asciiTheme="minorHAnsi" w:hAnsiTheme="minorHAnsi" w:cstheme="minorHAnsi"/>
          <w:color w:val="000000" w:themeColor="text1"/>
          <w:sz w:val="26"/>
          <w:szCs w:val="26"/>
        </w:rPr>
        <w:t>ț</w:t>
      </w:r>
      <w:r w:rsidRPr="008A4793">
        <w:rPr>
          <w:rFonts w:asciiTheme="minorHAnsi" w:hAnsiTheme="minorHAnsi" w:cstheme="minorHAnsi"/>
          <w:color w:val="000000" w:themeColor="text1"/>
          <w:sz w:val="26"/>
          <w:szCs w:val="26"/>
        </w:rPr>
        <w:t>ele necesare implementării unei platforme de eLearning (învățare la distanță) în cadrul Institutului</w:t>
      </w:r>
      <w:r w:rsidRPr="008A4793">
        <w:rPr>
          <w:rFonts w:asciiTheme="minorHAnsi" w:hAnsiTheme="minorHAnsi" w:cstheme="minorHAnsi"/>
          <w:color w:val="000000" w:themeColor="text1"/>
          <w:sz w:val="26"/>
          <w:szCs w:val="26"/>
          <w:lang w:val="pt-PT"/>
        </w:rPr>
        <w:t>.</w:t>
      </w:r>
    </w:p>
    <w:p w14:paraId="08429AC2" w14:textId="77777777" w:rsidR="00635EFA" w:rsidRPr="008A4793" w:rsidRDefault="00635EFA" w:rsidP="009C1A25">
      <w:pPr>
        <w:pStyle w:val="Heading3"/>
        <w:keepLines w:val="0"/>
        <w:rPr>
          <w:rFonts w:cstheme="minorHAnsi"/>
          <w:szCs w:val="26"/>
        </w:rPr>
      </w:pPr>
      <w:bookmarkStart w:id="38" w:name="_Toc183594099"/>
      <w:bookmarkStart w:id="39" w:name="_Toc219287945"/>
      <w:r w:rsidRPr="008A4793">
        <w:rPr>
          <w:rFonts w:cstheme="minorHAnsi"/>
          <w:szCs w:val="26"/>
        </w:rPr>
        <w:t>I.4.2. Consolidarea corpului personalului de instruire</w:t>
      </w:r>
      <w:bookmarkEnd w:id="38"/>
      <w:bookmarkEnd w:id="39"/>
    </w:p>
    <w:p w14:paraId="3A458110" w14:textId="77777777" w:rsidR="00635EFA" w:rsidRPr="008A4793" w:rsidRDefault="00635EFA" w:rsidP="009C1A25">
      <w:pPr>
        <w:keepNext/>
        <w:numPr>
          <w:ilvl w:val="0"/>
          <w:numId w:val="1"/>
        </w:numPr>
        <w:tabs>
          <w:tab w:val="left" w:pos="1197"/>
        </w:tabs>
        <w:spacing w:line="276" w:lineRule="auto"/>
        <w:ind w:right="43"/>
        <w:contextualSpacing/>
        <w:jc w:val="both"/>
        <w:rPr>
          <w:rFonts w:asciiTheme="minorHAnsi" w:eastAsia="Calibri" w:hAnsiTheme="minorHAnsi" w:cstheme="minorHAnsi"/>
          <w:b/>
          <w:color w:val="000000" w:themeColor="text1"/>
          <w:sz w:val="26"/>
          <w:szCs w:val="26"/>
        </w:rPr>
      </w:pPr>
      <w:r w:rsidRPr="008A4793">
        <w:rPr>
          <w:rFonts w:asciiTheme="minorHAnsi" w:eastAsia="Calibri" w:hAnsiTheme="minorHAnsi" w:cstheme="minorHAnsi"/>
          <w:b/>
          <w:color w:val="000000" w:themeColor="text1"/>
          <w:sz w:val="26"/>
          <w:szCs w:val="26"/>
        </w:rPr>
        <w:t>Formatori cu normă întreagă</w:t>
      </w:r>
    </w:p>
    <w:p w14:paraId="177520B3" w14:textId="34245B08" w:rsidR="00635EFA" w:rsidRPr="008A4793" w:rsidRDefault="00635EFA" w:rsidP="009C1A25">
      <w:pPr>
        <w:spacing w:line="276" w:lineRule="auto"/>
        <w:ind w:right="43" w:firstLine="706"/>
        <w:jc w:val="both"/>
        <w:rPr>
          <w:rFonts w:asciiTheme="minorHAnsi" w:hAnsiTheme="minorHAnsi" w:cstheme="minorHAnsi"/>
          <w:color w:val="000000" w:themeColor="text1"/>
          <w:sz w:val="26"/>
          <w:szCs w:val="26"/>
        </w:rPr>
      </w:pPr>
      <w:r w:rsidRPr="008A4793">
        <w:rPr>
          <w:rFonts w:asciiTheme="minorHAnsi" w:hAnsiTheme="minorHAnsi" w:cstheme="minorHAnsi"/>
          <w:color w:val="000000" w:themeColor="text1"/>
          <w:sz w:val="26"/>
          <w:szCs w:val="26"/>
        </w:rPr>
        <w:t xml:space="preserve">În 2025 a fost completată echipa de formatori cu normă întreagă, prin ocuparea a 5 posturi vacante de formator aflate în structura organizațională a I.N.M., la disciplinele Standarde de </w:t>
      </w:r>
      <w:r w:rsidRPr="008A4793">
        <w:rPr>
          <w:rFonts w:asciiTheme="minorHAnsi" w:hAnsiTheme="minorHAnsi" w:cstheme="minorHAnsi"/>
          <w:color w:val="000000" w:themeColor="text1"/>
          <w:sz w:val="26"/>
          <w:szCs w:val="26"/>
        </w:rPr>
        <w:lastRenderedPageBreak/>
        <w:t>protecție a drepturilor fundamentale în jurisprudența C</w:t>
      </w:r>
      <w:r w:rsidR="00C57479">
        <w:rPr>
          <w:rFonts w:asciiTheme="minorHAnsi" w:hAnsiTheme="minorHAnsi" w:cstheme="minorHAnsi"/>
          <w:color w:val="000000" w:themeColor="text1"/>
          <w:sz w:val="26"/>
          <w:szCs w:val="26"/>
        </w:rPr>
        <w:t>.</w:t>
      </w:r>
      <w:r w:rsidRPr="008A4793">
        <w:rPr>
          <w:rFonts w:asciiTheme="minorHAnsi" w:hAnsiTheme="minorHAnsi" w:cstheme="minorHAnsi"/>
          <w:color w:val="000000" w:themeColor="text1"/>
          <w:sz w:val="26"/>
          <w:szCs w:val="26"/>
        </w:rPr>
        <w:t>J</w:t>
      </w:r>
      <w:r w:rsidR="00C57479">
        <w:rPr>
          <w:rFonts w:asciiTheme="minorHAnsi" w:hAnsiTheme="minorHAnsi" w:cstheme="minorHAnsi"/>
          <w:color w:val="000000" w:themeColor="text1"/>
          <w:sz w:val="26"/>
          <w:szCs w:val="26"/>
        </w:rPr>
        <w:t>.</w:t>
      </w:r>
      <w:r w:rsidRPr="008A4793">
        <w:rPr>
          <w:rFonts w:asciiTheme="minorHAnsi" w:hAnsiTheme="minorHAnsi" w:cstheme="minorHAnsi"/>
          <w:color w:val="000000" w:themeColor="text1"/>
          <w:sz w:val="26"/>
          <w:szCs w:val="26"/>
        </w:rPr>
        <w:t>U</w:t>
      </w:r>
      <w:r w:rsidR="00C57479">
        <w:rPr>
          <w:rFonts w:asciiTheme="minorHAnsi" w:hAnsiTheme="minorHAnsi" w:cstheme="minorHAnsi"/>
          <w:color w:val="000000" w:themeColor="text1"/>
          <w:sz w:val="26"/>
          <w:szCs w:val="26"/>
        </w:rPr>
        <w:t>.</w:t>
      </w:r>
      <w:r w:rsidRPr="008A4793">
        <w:rPr>
          <w:rFonts w:asciiTheme="minorHAnsi" w:hAnsiTheme="minorHAnsi" w:cstheme="minorHAnsi"/>
          <w:color w:val="000000" w:themeColor="text1"/>
          <w:sz w:val="26"/>
          <w:szCs w:val="26"/>
        </w:rPr>
        <w:t>E</w:t>
      </w:r>
      <w:r w:rsidR="00C57479">
        <w:rPr>
          <w:rFonts w:asciiTheme="minorHAnsi" w:hAnsiTheme="minorHAnsi" w:cstheme="minorHAnsi"/>
          <w:color w:val="000000" w:themeColor="text1"/>
          <w:sz w:val="26"/>
          <w:szCs w:val="26"/>
        </w:rPr>
        <w:t>.</w:t>
      </w:r>
      <w:r w:rsidRPr="008A4793">
        <w:rPr>
          <w:rFonts w:asciiTheme="minorHAnsi" w:hAnsiTheme="minorHAnsi" w:cstheme="minorHAnsi"/>
          <w:color w:val="000000" w:themeColor="text1"/>
          <w:sz w:val="26"/>
          <w:szCs w:val="26"/>
        </w:rPr>
        <w:t xml:space="preserve"> și C</w:t>
      </w:r>
      <w:r w:rsidR="00C57479">
        <w:rPr>
          <w:rFonts w:asciiTheme="minorHAnsi" w:hAnsiTheme="minorHAnsi" w:cstheme="minorHAnsi"/>
          <w:color w:val="000000" w:themeColor="text1"/>
          <w:sz w:val="26"/>
          <w:szCs w:val="26"/>
        </w:rPr>
        <w:t>.</w:t>
      </w:r>
      <w:r w:rsidRPr="008A4793">
        <w:rPr>
          <w:rFonts w:asciiTheme="minorHAnsi" w:hAnsiTheme="minorHAnsi" w:cstheme="minorHAnsi"/>
          <w:color w:val="000000" w:themeColor="text1"/>
          <w:sz w:val="26"/>
          <w:szCs w:val="26"/>
        </w:rPr>
        <w:t>E</w:t>
      </w:r>
      <w:r w:rsidR="00C57479">
        <w:rPr>
          <w:rFonts w:asciiTheme="minorHAnsi" w:hAnsiTheme="minorHAnsi" w:cstheme="minorHAnsi"/>
          <w:color w:val="000000" w:themeColor="text1"/>
          <w:sz w:val="26"/>
          <w:szCs w:val="26"/>
        </w:rPr>
        <w:t>.</w:t>
      </w:r>
      <w:r w:rsidRPr="008A4793">
        <w:rPr>
          <w:rFonts w:asciiTheme="minorHAnsi" w:hAnsiTheme="minorHAnsi" w:cstheme="minorHAnsi"/>
          <w:color w:val="000000" w:themeColor="text1"/>
          <w:sz w:val="26"/>
          <w:szCs w:val="26"/>
        </w:rPr>
        <w:t>D</w:t>
      </w:r>
      <w:r w:rsidR="00C57479">
        <w:rPr>
          <w:rFonts w:asciiTheme="minorHAnsi" w:hAnsiTheme="minorHAnsi" w:cstheme="minorHAnsi"/>
          <w:color w:val="000000" w:themeColor="text1"/>
          <w:sz w:val="26"/>
          <w:szCs w:val="26"/>
        </w:rPr>
        <w:t>.</w:t>
      </w:r>
      <w:r w:rsidRPr="008A4793">
        <w:rPr>
          <w:rFonts w:asciiTheme="minorHAnsi" w:hAnsiTheme="minorHAnsi" w:cstheme="minorHAnsi"/>
          <w:color w:val="000000" w:themeColor="text1"/>
          <w:sz w:val="26"/>
          <w:szCs w:val="26"/>
        </w:rPr>
        <w:t>O</w:t>
      </w:r>
      <w:r w:rsidR="00C57479">
        <w:rPr>
          <w:rFonts w:asciiTheme="minorHAnsi" w:hAnsiTheme="minorHAnsi" w:cstheme="minorHAnsi"/>
          <w:color w:val="000000" w:themeColor="text1"/>
          <w:sz w:val="26"/>
          <w:szCs w:val="26"/>
        </w:rPr>
        <w:t>.</w:t>
      </w:r>
      <w:r w:rsidRPr="008A4793">
        <w:rPr>
          <w:rFonts w:asciiTheme="minorHAnsi" w:hAnsiTheme="minorHAnsi" w:cstheme="minorHAnsi"/>
          <w:color w:val="000000" w:themeColor="text1"/>
          <w:sz w:val="26"/>
          <w:szCs w:val="26"/>
        </w:rPr>
        <w:t xml:space="preserve">, Drept administrativ, Drept civil și procesual civil, Drept penal și procesual penal și Comunicare și dezvoltare abilități non-juridice. De asemenea, se află în curs de desfășurare 3 proceduri de recrutare a unor formatori cu normă întreagă la disciplinele Deontologie (1 formator cu normă întreagă), Protecția drepturilor victimelor vulnerabile (1 formator cu normă întreagă) și Drept penal și procesual penal (1 formator cu normă întreagă). </w:t>
      </w:r>
    </w:p>
    <w:p w14:paraId="1D62AD18" w14:textId="77777777" w:rsidR="00635EFA" w:rsidRPr="008A4793" w:rsidRDefault="00635EFA" w:rsidP="009C1A25">
      <w:pPr>
        <w:keepNext/>
        <w:numPr>
          <w:ilvl w:val="0"/>
          <w:numId w:val="1"/>
        </w:numPr>
        <w:spacing w:line="276" w:lineRule="auto"/>
        <w:ind w:right="43"/>
        <w:contextualSpacing/>
        <w:jc w:val="both"/>
        <w:rPr>
          <w:rFonts w:asciiTheme="minorHAnsi" w:eastAsia="Calibri" w:hAnsiTheme="minorHAnsi" w:cstheme="minorHAnsi"/>
          <w:b/>
          <w:color w:val="000000" w:themeColor="text1"/>
          <w:sz w:val="26"/>
          <w:szCs w:val="26"/>
        </w:rPr>
      </w:pPr>
      <w:r w:rsidRPr="008A4793">
        <w:rPr>
          <w:rFonts w:asciiTheme="minorHAnsi" w:eastAsia="Calibri" w:hAnsiTheme="minorHAnsi" w:cstheme="minorHAnsi"/>
          <w:b/>
          <w:color w:val="000000" w:themeColor="text1"/>
          <w:sz w:val="26"/>
          <w:szCs w:val="26"/>
        </w:rPr>
        <w:t>Formatori colaboratori</w:t>
      </w:r>
    </w:p>
    <w:p w14:paraId="6D972DCF" w14:textId="77777777" w:rsidR="00635EFA" w:rsidRPr="008A4793" w:rsidRDefault="00635EFA" w:rsidP="009C1A25">
      <w:pPr>
        <w:keepNext/>
        <w:spacing w:line="276" w:lineRule="auto"/>
        <w:ind w:right="43" w:firstLine="706"/>
        <w:jc w:val="both"/>
        <w:rPr>
          <w:rFonts w:asciiTheme="minorHAnsi" w:hAnsiTheme="minorHAnsi" w:cstheme="minorHAnsi"/>
          <w:color w:val="000000" w:themeColor="text1"/>
          <w:sz w:val="26"/>
          <w:szCs w:val="26"/>
        </w:rPr>
      </w:pPr>
      <w:r w:rsidRPr="008A4793">
        <w:rPr>
          <w:rFonts w:asciiTheme="minorHAnsi" w:hAnsiTheme="minorHAnsi" w:cstheme="minorHAnsi"/>
          <w:color w:val="000000" w:themeColor="text1"/>
          <w:sz w:val="26"/>
          <w:szCs w:val="26"/>
        </w:rPr>
        <w:t>În perioada de referință, I.N.M. a derulat 6 proceduri de selecție pentru recrutarea de formatori colaboratori în cadrul formării inițiale și continue (din care unele inițiate în a doua parte a anului 2024 și finalizate în 2025), în cadrul următoarelor discipline:</w:t>
      </w:r>
    </w:p>
    <w:p w14:paraId="5BC551F6" w14:textId="77777777" w:rsidR="00635EFA" w:rsidRPr="008A4793" w:rsidRDefault="00635EFA" w:rsidP="009E3AD8">
      <w:pPr>
        <w:numPr>
          <w:ilvl w:val="0"/>
          <w:numId w:val="2"/>
        </w:numPr>
        <w:spacing w:line="276" w:lineRule="auto"/>
        <w:ind w:right="43"/>
        <w:contextualSpacing/>
        <w:jc w:val="both"/>
        <w:rPr>
          <w:rFonts w:asciiTheme="minorHAnsi" w:eastAsia="Calibri" w:hAnsiTheme="minorHAnsi" w:cstheme="minorHAnsi"/>
          <w:color w:val="000000" w:themeColor="text1"/>
          <w:sz w:val="26"/>
          <w:szCs w:val="26"/>
        </w:rPr>
      </w:pPr>
      <w:r w:rsidRPr="008A4793">
        <w:rPr>
          <w:rFonts w:asciiTheme="minorHAnsi" w:eastAsia="Calibri" w:hAnsiTheme="minorHAnsi" w:cstheme="minorHAnsi"/>
          <w:color w:val="000000" w:themeColor="text1"/>
          <w:sz w:val="26"/>
          <w:szCs w:val="26"/>
        </w:rPr>
        <w:t xml:space="preserve">Comunicare (2 proceduri) </w:t>
      </w:r>
    </w:p>
    <w:p w14:paraId="3BE63CA2" w14:textId="77777777" w:rsidR="00635EFA" w:rsidRPr="008A4793" w:rsidRDefault="00635EFA" w:rsidP="009E3AD8">
      <w:pPr>
        <w:numPr>
          <w:ilvl w:val="0"/>
          <w:numId w:val="2"/>
        </w:numPr>
        <w:spacing w:line="276" w:lineRule="auto"/>
        <w:ind w:right="43"/>
        <w:contextualSpacing/>
        <w:jc w:val="both"/>
        <w:rPr>
          <w:rFonts w:asciiTheme="minorHAnsi" w:eastAsia="Calibri" w:hAnsiTheme="minorHAnsi" w:cstheme="minorHAnsi"/>
          <w:color w:val="000000" w:themeColor="text1"/>
          <w:sz w:val="26"/>
          <w:szCs w:val="26"/>
        </w:rPr>
      </w:pPr>
      <w:r w:rsidRPr="008A4793">
        <w:rPr>
          <w:rFonts w:asciiTheme="minorHAnsi" w:eastAsia="Calibri" w:hAnsiTheme="minorHAnsi" w:cstheme="minorHAnsi"/>
          <w:color w:val="000000" w:themeColor="text1"/>
          <w:sz w:val="26"/>
          <w:szCs w:val="26"/>
        </w:rPr>
        <w:t xml:space="preserve">Cooperare judiciară în materie penală </w:t>
      </w:r>
    </w:p>
    <w:p w14:paraId="0AB0ECC5" w14:textId="77777777" w:rsidR="00635EFA" w:rsidRPr="008A4793" w:rsidRDefault="00635EFA" w:rsidP="009E3AD8">
      <w:pPr>
        <w:numPr>
          <w:ilvl w:val="0"/>
          <w:numId w:val="2"/>
        </w:numPr>
        <w:spacing w:line="276" w:lineRule="auto"/>
        <w:ind w:right="43"/>
        <w:contextualSpacing/>
        <w:jc w:val="both"/>
        <w:rPr>
          <w:rFonts w:asciiTheme="minorHAnsi" w:eastAsia="Calibri" w:hAnsiTheme="minorHAnsi" w:cstheme="minorHAnsi"/>
          <w:color w:val="000000" w:themeColor="text1"/>
          <w:sz w:val="26"/>
          <w:szCs w:val="26"/>
        </w:rPr>
      </w:pPr>
      <w:r w:rsidRPr="008A4793">
        <w:rPr>
          <w:rFonts w:asciiTheme="minorHAnsi" w:eastAsia="Calibri" w:hAnsiTheme="minorHAnsi" w:cstheme="minorHAnsi"/>
          <w:color w:val="000000" w:themeColor="text1"/>
          <w:sz w:val="26"/>
          <w:szCs w:val="26"/>
        </w:rPr>
        <w:t xml:space="preserve">Cooperare judiciară în materie civilă </w:t>
      </w:r>
    </w:p>
    <w:p w14:paraId="4077F3D8" w14:textId="77777777" w:rsidR="00635EFA" w:rsidRPr="008A4793" w:rsidRDefault="00635EFA" w:rsidP="009E3AD8">
      <w:pPr>
        <w:numPr>
          <w:ilvl w:val="0"/>
          <w:numId w:val="2"/>
        </w:numPr>
        <w:spacing w:line="276" w:lineRule="auto"/>
        <w:ind w:right="43"/>
        <w:contextualSpacing/>
        <w:jc w:val="both"/>
        <w:rPr>
          <w:rFonts w:asciiTheme="minorHAnsi" w:eastAsia="Calibri" w:hAnsiTheme="minorHAnsi" w:cstheme="minorHAnsi"/>
          <w:color w:val="000000" w:themeColor="text1"/>
          <w:sz w:val="26"/>
          <w:szCs w:val="26"/>
        </w:rPr>
      </w:pPr>
      <w:r w:rsidRPr="008A4793">
        <w:rPr>
          <w:rFonts w:asciiTheme="minorHAnsi" w:eastAsia="Calibri" w:hAnsiTheme="minorHAnsi" w:cstheme="minorHAnsi"/>
          <w:color w:val="000000" w:themeColor="text1"/>
          <w:sz w:val="26"/>
          <w:szCs w:val="26"/>
        </w:rPr>
        <w:t xml:space="preserve">Dreptul insolvenței </w:t>
      </w:r>
    </w:p>
    <w:p w14:paraId="54D27ABC" w14:textId="71427CCA" w:rsidR="00635EFA" w:rsidRDefault="00635EFA" w:rsidP="009E3AD8">
      <w:pPr>
        <w:numPr>
          <w:ilvl w:val="0"/>
          <w:numId w:val="2"/>
        </w:numPr>
        <w:spacing w:line="276" w:lineRule="auto"/>
        <w:ind w:right="43"/>
        <w:contextualSpacing/>
        <w:jc w:val="both"/>
        <w:rPr>
          <w:rFonts w:asciiTheme="minorHAnsi" w:eastAsia="Calibri" w:hAnsiTheme="minorHAnsi" w:cstheme="minorHAnsi"/>
          <w:color w:val="000000" w:themeColor="text1"/>
          <w:sz w:val="26"/>
          <w:szCs w:val="26"/>
        </w:rPr>
      </w:pPr>
      <w:r w:rsidRPr="008A4793">
        <w:rPr>
          <w:rFonts w:asciiTheme="minorHAnsi" w:eastAsia="Calibri" w:hAnsiTheme="minorHAnsi" w:cstheme="minorHAnsi"/>
          <w:color w:val="000000" w:themeColor="text1"/>
          <w:sz w:val="26"/>
          <w:szCs w:val="26"/>
        </w:rPr>
        <w:t xml:space="preserve">Dreptul Uniunii Europene </w:t>
      </w:r>
    </w:p>
    <w:p w14:paraId="1EBA35DD" w14:textId="48C6FC18" w:rsidR="002237F5" w:rsidRPr="002E39A3" w:rsidRDefault="002237F5" w:rsidP="002237F5">
      <w:pPr>
        <w:pStyle w:val="ListParagraph"/>
        <w:numPr>
          <w:ilvl w:val="0"/>
          <w:numId w:val="2"/>
        </w:numPr>
        <w:rPr>
          <w:rFonts w:asciiTheme="minorHAnsi" w:eastAsia="Calibri" w:hAnsiTheme="minorHAnsi" w:cstheme="minorHAnsi"/>
          <w:sz w:val="26"/>
          <w:szCs w:val="26"/>
        </w:rPr>
      </w:pPr>
      <w:r w:rsidRPr="002E39A3">
        <w:rPr>
          <w:rFonts w:asciiTheme="minorHAnsi" w:eastAsia="Calibri" w:hAnsiTheme="minorHAnsi" w:cstheme="minorHAnsi"/>
          <w:sz w:val="26"/>
          <w:szCs w:val="26"/>
        </w:rPr>
        <w:t>Executarea hotărârilor penale (procedură aflată în desfășurare)</w:t>
      </w:r>
    </w:p>
    <w:p w14:paraId="17419993" w14:textId="2328318A" w:rsidR="00635EFA" w:rsidRPr="008A4793" w:rsidRDefault="00635EFA" w:rsidP="009E3AD8">
      <w:pPr>
        <w:spacing w:line="276" w:lineRule="auto"/>
        <w:ind w:right="43" w:firstLine="708"/>
        <w:jc w:val="both"/>
        <w:rPr>
          <w:rFonts w:asciiTheme="minorHAnsi" w:hAnsiTheme="minorHAnsi" w:cstheme="minorHAnsi"/>
          <w:color w:val="000000" w:themeColor="text1"/>
          <w:sz w:val="26"/>
          <w:szCs w:val="26"/>
          <w:lang w:eastAsia="ro-RO"/>
        </w:rPr>
      </w:pPr>
      <w:r w:rsidRPr="008A4793">
        <w:rPr>
          <w:rFonts w:asciiTheme="minorHAnsi" w:hAnsiTheme="minorHAnsi" w:cstheme="minorHAnsi"/>
          <w:color w:val="000000" w:themeColor="text1"/>
          <w:sz w:val="26"/>
          <w:szCs w:val="26"/>
          <w:lang w:eastAsia="ro-RO"/>
        </w:rPr>
        <w:t>În urma derulării procedurilor de selecție amintite, au fost propuși spre numire de către Consiliul Superior al Magistraturii 3 formatori colaboratori în cadrul Departamentului de formare inițială, după cum urmează: 2 formatori colaboratori la disciplina Comunicare (din care 1 din lista de rezervă) și un formator colaborator la disciplina Dreptul U</w:t>
      </w:r>
      <w:r w:rsidR="00D76993">
        <w:rPr>
          <w:rFonts w:asciiTheme="minorHAnsi" w:hAnsiTheme="minorHAnsi" w:cstheme="minorHAnsi"/>
          <w:color w:val="000000" w:themeColor="text1"/>
          <w:sz w:val="26"/>
          <w:szCs w:val="26"/>
          <w:lang w:eastAsia="ro-RO"/>
        </w:rPr>
        <w:t>.</w:t>
      </w:r>
      <w:r w:rsidRPr="008A4793">
        <w:rPr>
          <w:rFonts w:asciiTheme="minorHAnsi" w:hAnsiTheme="minorHAnsi" w:cstheme="minorHAnsi"/>
          <w:color w:val="000000" w:themeColor="text1"/>
          <w:sz w:val="26"/>
          <w:szCs w:val="26"/>
          <w:lang w:eastAsia="ro-RO"/>
        </w:rPr>
        <w:t>E</w:t>
      </w:r>
      <w:r w:rsidR="00D76993">
        <w:rPr>
          <w:rFonts w:asciiTheme="minorHAnsi" w:hAnsiTheme="minorHAnsi" w:cstheme="minorHAnsi"/>
          <w:color w:val="000000" w:themeColor="text1"/>
          <w:sz w:val="26"/>
          <w:szCs w:val="26"/>
          <w:lang w:eastAsia="ro-RO"/>
        </w:rPr>
        <w:t>.</w:t>
      </w:r>
      <w:r w:rsidRPr="008A4793">
        <w:rPr>
          <w:rFonts w:asciiTheme="minorHAnsi" w:hAnsiTheme="minorHAnsi" w:cstheme="minorHAnsi"/>
          <w:color w:val="000000" w:themeColor="text1"/>
          <w:sz w:val="26"/>
          <w:szCs w:val="26"/>
          <w:lang w:eastAsia="ro-RO"/>
        </w:rPr>
        <w:t xml:space="preserve">. De asemenea, au fost propuși spre numire 7 formatori colaboratori în cadrul Departamentului de formare continuă, la disciplina Dreptul Insolvenței (din care 1 din lista de rezervă), Comunicare și la disciplina </w:t>
      </w:r>
      <w:r w:rsidRPr="008A4793">
        <w:rPr>
          <w:rFonts w:asciiTheme="minorHAnsi" w:eastAsia="Calibri" w:hAnsiTheme="minorHAnsi" w:cstheme="minorHAnsi"/>
          <w:color w:val="000000" w:themeColor="text1"/>
          <w:sz w:val="26"/>
          <w:szCs w:val="26"/>
        </w:rPr>
        <w:t xml:space="preserve">Cooperare judiciară în materie penală </w:t>
      </w:r>
      <w:r w:rsidRPr="008A4793">
        <w:rPr>
          <w:rFonts w:asciiTheme="minorHAnsi" w:hAnsiTheme="minorHAnsi" w:cstheme="minorHAnsi"/>
          <w:color w:val="000000" w:themeColor="text1"/>
          <w:sz w:val="26"/>
          <w:szCs w:val="26"/>
          <w:lang w:eastAsia="ro-RO"/>
        </w:rPr>
        <w:t xml:space="preserve">(din care 2 din lista de rezervă). </w:t>
      </w:r>
    </w:p>
    <w:p w14:paraId="7673B5AF" w14:textId="77777777" w:rsidR="00635EFA" w:rsidRPr="008A4793" w:rsidRDefault="00635EFA" w:rsidP="009E3AD8">
      <w:pPr>
        <w:numPr>
          <w:ilvl w:val="0"/>
          <w:numId w:val="1"/>
        </w:numPr>
        <w:autoSpaceDE w:val="0"/>
        <w:autoSpaceDN w:val="0"/>
        <w:adjustRightInd w:val="0"/>
        <w:spacing w:line="276" w:lineRule="auto"/>
        <w:ind w:right="43"/>
        <w:jc w:val="both"/>
        <w:rPr>
          <w:rFonts w:asciiTheme="minorHAnsi" w:hAnsiTheme="minorHAnsi" w:cstheme="minorHAnsi"/>
          <w:b/>
          <w:color w:val="000000" w:themeColor="text1"/>
          <w:sz w:val="26"/>
          <w:szCs w:val="26"/>
        </w:rPr>
      </w:pPr>
      <w:r w:rsidRPr="008A4793">
        <w:rPr>
          <w:rFonts w:asciiTheme="minorHAnsi" w:hAnsiTheme="minorHAnsi" w:cstheme="minorHAnsi"/>
          <w:b/>
          <w:color w:val="000000" w:themeColor="text1"/>
          <w:sz w:val="26"/>
          <w:szCs w:val="26"/>
        </w:rPr>
        <w:t>Coordonatori de practică</w:t>
      </w:r>
    </w:p>
    <w:p w14:paraId="35A95EB6" w14:textId="3DA3425C" w:rsidR="00A11DB4" w:rsidRPr="002E39A3" w:rsidRDefault="00635EFA" w:rsidP="009E3AD8">
      <w:pPr>
        <w:autoSpaceDE w:val="0"/>
        <w:autoSpaceDN w:val="0"/>
        <w:adjustRightInd w:val="0"/>
        <w:spacing w:line="276" w:lineRule="auto"/>
        <w:ind w:right="43" w:firstLine="706"/>
        <w:jc w:val="both"/>
        <w:rPr>
          <w:rFonts w:asciiTheme="minorHAnsi" w:hAnsiTheme="minorHAnsi" w:cstheme="minorHAnsi"/>
          <w:sz w:val="26"/>
          <w:szCs w:val="26"/>
        </w:rPr>
      </w:pPr>
      <w:r w:rsidRPr="002E39A3">
        <w:rPr>
          <w:rFonts w:asciiTheme="minorHAnsi" w:hAnsiTheme="minorHAnsi" w:cstheme="minorHAnsi"/>
          <w:sz w:val="26"/>
          <w:szCs w:val="26"/>
          <w:lang w:eastAsia="ro-RO"/>
        </w:rPr>
        <w:t xml:space="preserve">În luna septembrie a anului 2025, </w:t>
      </w:r>
      <w:r w:rsidRPr="002E39A3">
        <w:rPr>
          <w:rFonts w:asciiTheme="minorHAnsi" w:hAnsiTheme="minorHAnsi" w:cstheme="minorHAnsi"/>
          <w:sz w:val="26"/>
          <w:szCs w:val="26"/>
        </w:rPr>
        <w:t>I.N.M. a declanșat 2 proceduri de selecție pentru recrutarea a 11 judecători și 11 procurori, coordonatori de practică</w:t>
      </w:r>
      <w:r w:rsidR="00A11DB4" w:rsidRPr="002E39A3">
        <w:rPr>
          <w:rFonts w:asciiTheme="minorHAnsi" w:hAnsiTheme="minorHAnsi" w:cstheme="minorHAnsi"/>
          <w:sz w:val="26"/>
          <w:szCs w:val="26"/>
        </w:rPr>
        <w:t>.</w:t>
      </w:r>
    </w:p>
    <w:p w14:paraId="1343807D" w14:textId="77777777" w:rsidR="00A11DB4" w:rsidRPr="002E39A3" w:rsidRDefault="00A11DB4" w:rsidP="00A11DB4">
      <w:pPr>
        <w:autoSpaceDE w:val="0"/>
        <w:autoSpaceDN w:val="0"/>
        <w:adjustRightInd w:val="0"/>
        <w:spacing w:line="276" w:lineRule="auto"/>
        <w:ind w:right="43" w:firstLine="706"/>
        <w:jc w:val="both"/>
        <w:rPr>
          <w:rFonts w:asciiTheme="minorHAnsi" w:hAnsiTheme="minorHAnsi" w:cstheme="minorHAnsi"/>
          <w:sz w:val="26"/>
          <w:szCs w:val="26"/>
        </w:rPr>
      </w:pPr>
      <w:r w:rsidRPr="002E39A3">
        <w:rPr>
          <w:rFonts w:asciiTheme="minorHAnsi" w:hAnsiTheme="minorHAnsi" w:cstheme="minorHAnsi"/>
          <w:sz w:val="26"/>
          <w:szCs w:val="26"/>
        </w:rPr>
        <w:t xml:space="preserve">În urma derulării acestor proceduri au fost recrutați 7 judecători și 6 procurori, coordonatori de practică. </w:t>
      </w:r>
    </w:p>
    <w:p w14:paraId="3044AB73" w14:textId="77777777" w:rsidR="00635EFA" w:rsidRPr="002E39A3" w:rsidRDefault="00635EFA" w:rsidP="009E3AD8">
      <w:pPr>
        <w:keepNext/>
        <w:keepLines/>
        <w:numPr>
          <w:ilvl w:val="0"/>
          <w:numId w:val="1"/>
        </w:numPr>
        <w:autoSpaceDE w:val="0"/>
        <w:autoSpaceDN w:val="0"/>
        <w:adjustRightInd w:val="0"/>
        <w:spacing w:line="276" w:lineRule="auto"/>
        <w:ind w:right="43"/>
        <w:jc w:val="both"/>
        <w:rPr>
          <w:rFonts w:asciiTheme="minorHAnsi" w:hAnsiTheme="minorHAnsi" w:cstheme="minorHAnsi"/>
          <w:b/>
          <w:sz w:val="26"/>
          <w:szCs w:val="26"/>
        </w:rPr>
      </w:pPr>
      <w:r w:rsidRPr="002E39A3">
        <w:rPr>
          <w:rFonts w:asciiTheme="minorHAnsi" w:hAnsiTheme="minorHAnsi" w:cstheme="minorHAnsi"/>
          <w:b/>
          <w:sz w:val="26"/>
          <w:szCs w:val="26"/>
        </w:rPr>
        <w:t>Formarea personalului de instruire al I.N.M.</w:t>
      </w:r>
    </w:p>
    <w:p w14:paraId="55722554" w14:textId="77777777" w:rsidR="00635EFA" w:rsidRPr="008A4793" w:rsidRDefault="00635EFA" w:rsidP="009E3AD8">
      <w:pPr>
        <w:spacing w:line="276" w:lineRule="auto"/>
        <w:ind w:firstLine="709"/>
        <w:jc w:val="both"/>
        <w:rPr>
          <w:rFonts w:asciiTheme="minorHAnsi" w:hAnsiTheme="minorHAnsi" w:cstheme="minorHAnsi"/>
          <w:color w:val="000000" w:themeColor="text1"/>
          <w:sz w:val="26"/>
          <w:szCs w:val="26"/>
        </w:rPr>
      </w:pPr>
      <w:r w:rsidRPr="008A4793">
        <w:rPr>
          <w:rFonts w:asciiTheme="minorHAnsi" w:hAnsiTheme="minorHAnsi" w:cstheme="minorHAnsi"/>
          <w:color w:val="000000" w:themeColor="text1"/>
          <w:sz w:val="26"/>
          <w:szCs w:val="26"/>
          <w:lang w:eastAsia="ro-RO"/>
        </w:rPr>
        <w:t>Până la acest moment a fost organizat un webinar de formare a formatorilor</w:t>
      </w:r>
      <w:r w:rsidRPr="008A4793">
        <w:rPr>
          <w:rFonts w:asciiTheme="minorHAnsi" w:hAnsiTheme="minorHAnsi" w:cstheme="minorHAnsi"/>
          <w:color w:val="000000" w:themeColor="text1"/>
          <w:sz w:val="26"/>
          <w:szCs w:val="26"/>
        </w:rPr>
        <w:t>, la care au  participat 25  formatori colaboratori și cu normă întreagă ai I.N.M.</w:t>
      </w:r>
    </w:p>
    <w:p w14:paraId="351E213C" w14:textId="77777777" w:rsidR="00635EFA" w:rsidRPr="008A4793" w:rsidRDefault="00635EFA" w:rsidP="009E3AD8">
      <w:pPr>
        <w:pStyle w:val="Heading3"/>
        <w:rPr>
          <w:rFonts w:cstheme="minorHAnsi"/>
          <w:szCs w:val="26"/>
        </w:rPr>
      </w:pPr>
      <w:bookmarkStart w:id="40" w:name="_Toc183594101"/>
      <w:bookmarkStart w:id="41" w:name="_Toc219287946"/>
      <w:r w:rsidRPr="008A4793">
        <w:rPr>
          <w:rFonts w:cstheme="minorHAnsi"/>
          <w:szCs w:val="26"/>
        </w:rPr>
        <w:t>I.4.3. Protocoale de colaborare încheiate de I.N.M. cu diverse instituții</w:t>
      </w:r>
      <w:bookmarkEnd w:id="40"/>
      <w:bookmarkEnd w:id="41"/>
    </w:p>
    <w:p w14:paraId="11E4D59F" w14:textId="70ECB1E3" w:rsidR="009E3AD8" w:rsidRPr="002E39A3" w:rsidRDefault="00635EFA" w:rsidP="00D36835">
      <w:pPr>
        <w:spacing w:line="276" w:lineRule="auto"/>
        <w:ind w:firstLine="708"/>
        <w:jc w:val="both"/>
        <w:rPr>
          <w:rFonts w:asciiTheme="minorHAnsi" w:hAnsiTheme="minorHAnsi" w:cstheme="minorHAnsi"/>
          <w:b/>
          <w:sz w:val="26"/>
          <w:szCs w:val="26"/>
        </w:rPr>
      </w:pPr>
      <w:r w:rsidRPr="008A4793">
        <w:rPr>
          <w:rFonts w:asciiTheme="minorHAnsi" w:hAnsiTheme="minorHAnsi" w:cstheme="minorHAnsi"/>
          <w:color w:val="000000" w:themeColor="text1"/>
          <w:sz w:val="26"/>
          <w:szCs w:val="26"/>
        </w:rPr>
        <w:t>În cursul anului 2025 au fost încheiate protocoale de colaborare cu Parchetul de pe lângă Înalta Curte de Casație și Justiție și Școala Națională de Grefieri, cu Facultatea de Drept a Universității Titu Maiorescu, cu Centrul de Studii Judiciare al Republicii Portugheze, cu Arhivele Naționale ale României, cu Universul Juridic</w:t>
      </w:r>
      <w:r w:rsidR="00662405">
        <w:rPr>
          <w:rFonts w:asciiTheme="minorHAnsi" w:hAnsiTheme="minorHAnsi" w:cstheme="minorHAnsi"/>
          <w:color w:val="000000" w:themeColor="text1"/>
          <w:sz w:val="26"/>
          <w:szCs w:val="26"/>
        </w:rPr>
        <w:t xml:space="preserve">, </w:t>
      </w:r>
      <w:r w:rsidRPr="008A4793">
        <w:rPr>
          <w:rFonts w:asciiTheme="minorHAnsi" w:hAnsiTheme="minorHAnsi" w:cstheme="minorHAnsi"/>
          <w:color w:val="000000" w:themeColor="text1"/>
          <w:sz w:val="26"/>
          <w:szCs w:val="26"/>
        </w:rPr>
        <w:t xml:space="preserve">cu Centrul de Soluționare Alternativă a Litigiilor în </w:t>
      </w:r>
      <w:r w:rsidRPr="002E39A3">
        <w:rPr>
          <w:rFonts w:asciiTheme="minorHAnsi" w:hAnsiTheme="minorHAnsi" w:cstheme="minorHAnsi"/>
          <w:sz w:val="26"/>
          <w:szCs w:val="26"/>
        </w:rPr>
        <w:t>Domeniul Bancar</w:t>
      </w:r>
      <w:r w:rsidR="00662405" w:rsidRPr="002E39A3">
        <w:rPr>
          <w:rFonts w:asciiTheme="minorHAnsi" w:hAnsiTheme="minorHAnsi" w:cstheme="minorHAnsi"/>
          <w:sz w:val="26"/>
          <w:szCs w:val="26"/>
        </w:rPr>
        <w:t>, cu Wolters Kluwer Romania</w:t>
      </w:r>
      <w:r w:rsidR="00336F45" w:rsidRPr="002E39A3">
        <w:rPr>
          <w:rFonts w:asciiTheme="minorHAnsi" w:hAnsiTheme="minorHAnsi" w:cstheme="minorHAnsi"/>
          <w:sz w:val="26"/>
          <w:szCs w:val="26"/>
        </w:rPr>
        <w:t>,</w:t>
      </w:r>
      <w:r w:rsidR="00662405" w:rsidRPr="002E39A3">
        <w:rPr>
          <w:rFonts w:asciiTheme="minorHAnsi" w:hAnsiTheme="minorHAnsi" w:cstheme="minorHAnsi"/>
          <w:sz w:val="26"/>
          <w:szCs w:val="26"/>
        </w:rPr>
        <w:t xml:space="preserve"> cu Universitatea București și cu Consiliul Naţional pentru Studierea Arhivelor Securităţii.</w:t>
      </w:r>
    </w:p>
    <w:p w14:paraId="31D8BDDC" w14:textId="71ACEBF4" w:rsidR="0091321F" w:rsidRPr="000F0D8B" w:rsidRDefault="0091321F" w:rsidP="009E3AD8">
      <w:pPr>
        <w:spacing w:line="276" w:lineRule="auto"/>
        <w:ind w:firstLine="720"/>
        <w:jc w:val="both"/>
        <w:rPr>
          <w:rFonts w:asciiTheme="minorHAnsi" w:hAnsiTheme="minorHAnsi" w:cstheme="minorHAnsi"/>
          <w:sz w:val="26"/>
          <w:szCs w:val="26"/>
        </w:rPr>
      </w:pPr>
      <w:r w:rsidRPr="000F0D8B">
        <w:rPr>
          <w:rFonts w:asciiTheme="minorHAnsi" w:hAnsiTheme="minorHAnsi" w:cstheme="minorHAnsi"/>
          <w:b/>
          <w:sz w:val="26"/>
          <w:szCs w:val="26"/>
        </w:rPr>
        <w:t>Școala Națională de Grefieri</w:t>
      </w:r>
    </w:p>
    <w:p w14:paraId="62F87451" w14:textId="189CC3E0" w:rsidR="0091321F" w:rsidRPr="000F0D8B" w:rsidRDefault="0091321F" w:rsidP="009E3AD8">
      <w:pPr>
        <w:spacing w:line="276" w:lineRule="auto"/>
        <w:ind w:firstLine="708"/>
        <w:jc w:val="both"/>
        <w:rPr>
          <w:rFonts w:asciiTheme="minorHAnsi" w:hAnsiTheme="minorHAnsi" w:cstheme="minorHAnsi"/>
          <w:sz w:val="26"/>
          <w:szCs w:val="26"/>
        </w:rPr>
      </w:pPr>
      <w:r w:rsidRPr="000F0D8B">
        <w:rPr>
          <w:rFonts w:asciiTheme="minorHAnsi" w:hAnsiTheme="minorHAnsi" w:cstheme="minorHAnsi"/>
          <w:sz w:val="26"/>
          <w:szCs w:val="26"/>
        </w:rPr>
        <w:t xml:space="preserve">Consolidarea și dezvoltarea capacității organizatorice și instituționale a </w:t>
      </w:r>
      <w:r w:rsidR="00A7403B">
        <w:rPr>
          <w:rFonts w:asciiTheme="minorHAnsi" w:hAnsiTheme="minorHAnsi" w:cstheme="minorHAnsi"/>
          <w:sz w:val="26"/>
          <w:szCs w:val="26"/>
        </w:rPr>
        <w:t xml:space="preserve">Școlii </w:t>
      </w:r>
      <w:r w:rsidRPr="000F0D8B">
        <w:rPr>
          <w:rFonts w:asciiTheme="minorHAnsi" w:hAnsiTheme="minorHAnsi" w:cstheme="minorHAnsi"/>
          <w:sz w:val="26"/>
          <w:szCs w:val="26"/>
        </w:rPr>
        <w:t>N</w:t>
      </w:r>
      <w:r w:rsidR="00A7403B">
        <w:rPr>
          <w:rFonts w:asciiTheme="minorHAnsi" w:hAnsiTheme="minorHAnsi" w:cstheme="minorHAnsi"/>
          <w:sz w:val="26"/>
          <w:szCs w:val="26"/>
        </w:rPr>
        <w:t xml:space="preserve">aționale de </w:t>
      </w:r>
      <w:r w:rsidRPr="000F0D8B">
        <w:rPr>
          <w:rFonts w:asciiTheme="minorHAnsi" w:hAnsiTheme="minorHAnsi" w:cstheme="minorHAnsi"/>
          <w:sz w:val="26"/>
          <w:szCs w:val="26"/>
        </w:rPr>
        <w:t>G</w:t>
      </w:r>
      <w:r w:rsidR="00A7403B">
        <w:rPr>
          <w:rFonts w:asciiTheme="minorHAnsi" w:hAnsiTheme="minorHAnsi" w:cstheme="minorHAnsi"/>
          <w:sz w:val="26"/>
          <w:szCs w:val="26"/>
        </w:rPr>
        <w:t>refieri</w:t>
      </w:r>
      <w:r w:rsidRPr="000F0D8B">
        <w:rPr>
          <w:rFonts w:asciiTheme="minorHAnsi" w:hAnsiTheme="minorHAnsi" w:cstheme="minorHAnsi"/>
          <w:sz w:val="26"/>
          <w:szCs w:val="26"/>
        </w:rPr>
        <w:t xml:space="preserve"> a reprezentat</w:t>
      </w:r>
      <w:r w:rsidR="006E4F68">
        <w:rPr>
          <w:rFonts w:asciiTheme="minorHAnsi" w:hAnsiTheme="minorHAnsi" w:cstheme="minorHAnsi"/>
          <w:sz w:val="26"/>
          <w:szCs w:val="26"/>
        </w:rPr>
        <w:t>,</w:t>
      </w:r>
      <w:r w:rsidRPr="000F0D8B">
        <w:rPr>
          <w:rFonts w:asciiTheme="minorHAnsi" w:hAnsiTheme="minorHAnsi" w:cstheme="minorHAnsi"/>
          <w:sz w:val="26"/>
          <w:szCs w:val="26"/>
        </w:rPr>
        <w:t xml:space="preserve"> și în anul 2025</w:t>
      </w:r>
      <w:r w:rsidR="006E4F68">
        <w:rPr>
          <w:rFonts w:asciiTheme="minorHAnsi" w:hAnsiTheme="minorHAnsi" w:cstheme="minorHAnsi"/>
          <w:sz w:val="26"/>
          <w:szCs w:val="26"/>
        </w:rPr>
        <w:t>,</w:t>
      </w:r>
      <w:r w:rsidRPr="000F0D8B">
        <w:rPr>
          <w:rFonts w:asciiTheme="minorHAnsi" w:hAnsiTheme="minorHAnsi" w:cstheme="minorHAnsi"/>
          <w:sz w:val="26"/>
          <w:szCs w:val="26"/>
        </w:rPr>
        <w:t xml:space="preserve"> unul dintre obiectivele generale ale activității instituției.</w:t>
      </w:r>
    </w:p>
    <w:p w14:paraId="709327A2" w14:textId="4E7EEF8A" w:rsidR="0091321F" w:rsidRPr="000F0D8B" w:rsidRDefault="0091321F" w:rsidP="009E3AD8">
      <w:pPr>
        <w:spacing w:line="276" w:lineRule="auto"/>
        <w:ind w:firstLine="708"/>
        <w:jc w:val="both"/>
        <w:rPr>
          <w:rFonts w:asciiTheme="minorHAnsi" w:hAnsiTheme="minorHAnsi" w:cstheme="minorHAnsi"/>
          <w:sz w:val="26"/>
          <w:szCs w:val="26"/>
        </w:rPr>
      </w:pPr>
      <w:r w:rsidRPr="000F0D8B">
        <w:rPr>
          <w:rFonts w:asciiTheme="minorHAnsi" w:hAnsiTheme="minorHAnsi" w:cstheme="minorHAnsi"/>
          <w:sz w:val="26"/>
          <w:szCs w:val="26"/>
        </w:rPr>
        <w:lastRenderedPageBreak/>
        <w:t>În ceea ce privește resursa umană, și în anul 2025</w:t>
      </w:r>
      <w:r w:rsidR="00B773B3" w:rsidRPr="000F0D8B">
        <w:rPr>
          <w:rFonts w:asciiTheme="minorHAnsi" w:hAnsiTheme="minorHAnsi" w:cstheme="minorHAnsi"/>
          <w:sz w:val="26"/>
          <w:szCs w:val="26"/>
        </w:rPr>
        <w:t>,</w:t>
      </w:r>
      <w:r w:rsidRPr="000F0D8B">
        <w:rPr>
          <w:rFonts w:asciiTheme="minorHAnsi" w:hAnsiTheme="minorHAnsi" w:cstheme="minorHAnsi"/>
          <w:sz w:val="26"/>
          <w:szCs w:val="26"/>
        </w:rPr>
        <w:t xml:space="preserve"> dezvoltarea capacității instituționale a urmărit, cu prioritate, consolidarea rețelei de formatori a Școlii, prin recrutarea de noi formatori în domenii actuale de interes pentru formarea personalului auxiliar din cadrul instanțelor și parchetelor sau pentru disciplinele cu deficit de personal de instruire. În același timp, s-a urmărit consolidarea și perfecționarea corpului personalului propriu.</w:t>
      </w:r>
    </w:p>
    <w:p w14:paraId="58645462" w14:textId="200A9003" w:rsidR="0091321F" w:rsidRPr="000F0D8B" w:rsidRDefault="0091321F" w:rsidP="009E3AD8">
      <w:pPr>
        <w:spacing w:line="276" w:lineRule="auto"/>
        <w:ind w:firstLine="708"/>
        <w:jc w:val="both"/>
        <w:rPr>
          <w:rFonts w:asciiTheme="minorHAnsi" w:hAnsiTheme="minorHAnsi" w:cstheme="minorHAnsi"/>
          <w:sz w:val="26"/>
          <w:szCs w:val="26"/>
        </w:rPr>
      </w:pPr>
      <w:r w:rsidRPr="000F0D8B">
        <w:rPr>
          <w:rFonts w:asciiTheme="minorHAnsi" w:hAnsiTheme="minorHAnsi" w:cstheme="minorHAnsi"/>
          <w:sz w:val="26"/>
          <w:szCs w:val="26"/>
        </w:rPr>
        <w:t>Astfel, ca urmare a procedurilor derulate, în baza dispozițiilor referitoare la recrutarea personalului de instruire al Școlii Naționale de Grefieri prevăzute în Statutul aprobat prin Hotărârea Plenului Consiliului Superior al Magistraturii nr. 1388/2016, modificate și completate prin Hotărârile Plenului Consiliului Superior al Magistraturii nr. 97/2019 și</w:t>
      </w:r>
      <w:r w:rsidR="00EC5F86">
        <w:rPr>
          <w:rFonts w:asciiTheme="minorHAnsi" w:hAnsiTheme="minorHAnsi" w:cstheme="minorHAnsi"/>
          <w:sz w:val="26"/>
          <w:szCs w:val="26"/>
        </w:rPr>
        <w:t xml:space="preserve"> nr.</w:t>
      </w:r>
      <w:r w:rsidRPr="000F0D8B">
        <w:rPr>
          <w:rFonts w:asciiTheme="minorHAnsi" w:hAnsiTheme="minorHAnsi" w:cstheme="minorHAnsi"/>
          <w:sz w:val="26"/>
          <w:szCs w:val="26"/>
        </w:rPr>
        <w:t xml:space="preserve"> 120/2025, au fost numiți 8 noi formatori colaboratori pentru formarea continuă, prin Hotărârea Plenului Consiliului Superior al Magistraturii nr. 46/2025, respectiv 2 judecători la disciplina Procedura insolvenței, 2 judecători și 1 grefier la disciplina Cooperare judiciară internațională în materie civilă, 1 judecător și 1 grefier la disciplina Asociații și fundații și 1 grefier la disciplina Executări civile.</w:t>
      </w:r>
    </w:p>
    <w:p w14:paraId="1C06080C" w14:textId="6DDC4437" w:rsidR="0091321F" w:rsidRPr="000F0D8B" w:rsidRDefault="0091321F" w:rsidP="009E3AD8">
      <w:pPr>
        <w:spacing w:line="276" w:lineRule="auto"/>
        <w:ind w:firstLine="708"/>
        <w:jc w:val="both"/>
        <w:rPr>
          <w:rFonts w:asciiTheme="minorHAnsi" w:hAnsiTheme="minorHAnsi" w:cstheme="minorHAnsi"/>
          <w:sz w:val="26"/>
          <w:szCs w:val="26"/>
        </w:rPr>
      </w:pPr>
      <w:r w:rsidRPr="000F0D8B">
        <w:rPr>
          <w:rFonts w:asciiTheme="minorHAnsi" w:hAnsiTheme="minorHAnsi" w:cstheme="minorHAnsi"/>
          <w:sz w:val="26"/>
          <w:szCs w:val="26"/>
        </w:rPr>
        <w:t>De asemenea, având în vedere disciplinele din planul de învățământ propus pentru anul școlar 2025</w:t>
      </w:r>
      <w:r w:rsidR="003105E4" w:rsidRPr="000F0D8B">
        <w:rPr>
          <w:rFonts w:asciiTheme="minorHAnsi" w:hAnsiTheme="minorHAnsi" w:cstheme="minorHAnsi"/>
          <w:sz w:val="26"/>
          <w:szCs w:val="26"/>
        </w:rPr>
        <w:t xml:space="preserve"> </w:t>
      </w:r>
      <w:r w:rsidRPr="000F0D8B">
        <w:rPr>
          <w:rFonts w:asciiTheme="minorHAnsi" w:hAnsiTheme="minorHAnsi" w:cstheme="minorHAnsi"/>
          <w:sz w:val="26"/>
          <w:szCs w:val="26"/>
        </w:rPr>
        <w:t>-</w:t>
      </w:r>
      <w:r w:rsidR="003105E4" w:rsidRPr="000F0D8B">
        <w:rPr>
          <w:rFonts w:asciiTheme="minorHAnsi" w:hAnsiTheme="minorHAnsi" w:cstheme="minorHAnsi"/>
          <w:sz w:val="26"/>
          <w:szCs w:val="26"/>
        </w:rPr>
        <w:t xml:space="preserve"> </w:t>
      </w:r>
      <w:r w:rsidRPr="000F0D8B">
        <w:rPr>
          <w:rFonts w:asciiTheme="minorHAnsi" w:hAnsiTheme="minorHAnsi" w:cstheme="minorHAnsi"/>
          <w:sz w:val="26"/>
          <w:szCs w:val="26"/>
        </w:rPr>
        <w:t>2026, numărul total de ore alocat fiecăreia, forma de desfășurare și modalitatea de evaluare a acestora, ținând seama inclusiv de numărul posturilor aprobate pentru acest an școlar, superior celui din anul anterior, ca urmare a analizei necesarului de formatori pentru desfășurarea adecvată a acțiunilor de formare și evaluare, realizată în cadrul Departamentului de formare profesională inițială, s-a conturat necesitatea recrutării unor colaboratori externi pentru anumite discipline. Ca urmare a procedurilor derulate în acest sens, în baza dispozițiilor referitoare la recrutarea personalului de instruire al Școlii, au fost numiți 7 noi formatori colaboratori pentru formarea inițială, respectiv 1 judecător la disciplina Procedură penală, 2 procurori</w:t>
      </w:r>
      <w:r w:rsidR="002A13CD">
        <w:rPr>
          <w:rFonts w:asciiTheme="minorHAnsi" w:hAnsiTheme="minorHAnsi" w:cstheme="minorHAnsi"/>
          <w:sz w:val="26"/>
          <w:szCs w:val="26"/>
        </w:rPr>
        <w:t xml:space="preserve"> </w:t>
      </w:r>
      <w:r w:rsidRPr="000F0D8B">
        <w:rPr>
          <w:rFonts w:asciiTheme="minorHAnsi" w:hAnsiTheme="minorHAnsi" w:cstheme="minorHAnsi"/>
          <w:sz w:val="26"/>
          <w:szCs w:val="26"/>
        </w:rPr>
        <w:t>îndrumători pentru Stagiu practic parchete, 3 grefieri îndrumători pentru Stagiu practic instanțe și 1 grefier la disciplina Informatică aplicată (parchete), prin Hotărârile Plenului Consiliului Superior al Magistraturii nr. 82/17</w:t>
      </w:r>
      <w:r w:rsidR="006A70C3">
        <w:rPr>
          <w:rFonts w:asciiTheme="minorHAnsi" w:hAnsiTheme="minorHAnsi" w:cstheme="minorHAnsi"/>
          <w:sz w:val="26"/>
          <w:szCs w:val="26"/>
        </w:rPr>
        <w:t>.06.</w:t>
      </w:r>
      <w:r w:rsidRPr="000F0D8B">
        <w:rPr>
          <w:rFonts w:asciiTheme="minorHAnsi" w:hAnsiTheme="minorHAnsi" w:cstheme="minorHAnsi"/>
          <w:sz w:val="26"/>
          <w:szCs w:val="26"/>
        </w:rPr>
        <w:t>2025, nr. 98/09</w:t>
      </w:r>
      <w:r w:rsidR="006A70C3">
        <w:rPr>
          <w:rFonts w:asciiTheme="minorHAnsi" w:hAnsiTheme="minorHAnsi" w:cstheme="minorHAnsi"/>
          <w:sz w:val="26"/>
          <w:szCs w:val="26"/>
        </w:rPr>
        <w:t>.07.</w:t>
      </w:r>
      <w:r w:rsidRPr="000F0D8B">
        <w:rPr>
          <w:rFonts w:asciiTheme="minorHAnsi" w:hAnsiTheme="minorHAnsi" w:cstheme="minorHAnsi"/>
          <w:sz w:val="26"/>
          <w:szCs w:val="26"/>
        </w:rPr>
        <w:t>2025 și nr. 118/18</w:t>
      </w:r>
      <w:r w:rsidR="006A70C3">
        <w:rPr>
          <w:rFonts w:asciiTheme="minorHAnsi" w:hAnsiTheme="minorHAnsi" w:cstheme="minorHAnsi"/>
          <w:sz w:val="26"/>
          <w:szCs w:val="26"/>
        </w:rPr>
        <w:t>.09.</w:t>
      </w:r>
      <w:r w:rsidRPr="000F0D8B">
        <w:rPr>
          <w:rFonts w:asciiTheme="minorHAnsi" w:hAnsiTheme="minorHAnsi" w:cstheme="minorHAnsi"/>
          <w:sz w:val="26"/>
          <w:szCs w:val="26"/>
        </w:rPr>
        <w:t>2025.</w:t>
      </w:r>
    </w:p>
    <w:p w14:paraId="2E6F8309" w14:textId="65A3E8D5" w:rsidR="0091321F" w:rsidRPr="000F0D8B" w:rsidRDefault="0091321F" w:rsidP="009E3AD8">
      <w:pPr>
        <w:spacing w:line="276" w:lineRule="auto"/>
        <w:ind w:firstLine="708"/>
        <w:jc w:val="both"/>
        <w:rPr>
          <w:rFonts w:asciiTheme="minorHAnsi" w:hAnsiTheme="minorHAnsi" w:cstheme="minorHAnsi"/>
          <w:sz w:val="26"/>
          <w:szCs w:val="26"/>
        </w:rPr>
      </w:pPr>
      <w:r w:rsidRPr="000F0D8B">
        <w:rPr>
          <w:rFonts w:asciiTheme="minorHAnsi" w:hAnsiTheme="minorHAnsi" w:cstheme="minorHAnsi"/>
          <w:sz w:val="26"/>
          <w:szCs w:val="26"/>
        </w:rPr>
        <w:t xml:space="preserve">Pentru ocuparea unor posturi de personal de instruire propriu, respectiv formatori cu normă întreagă, în cadrul departamentelor </w:t>
      </w:r>
      <w:r w:rsidR="00F21479" w:rsidRPr="000F0D8B">
        <w:rPr>
          <w:rFonts w:asciiTheme="minorHAnsi" w:hAnsiTheme="minorHAnsi" w:cstheme="minorHAnsi"/>
          <w:sz w:val="26"/>
          <w:szCs w:val="26"/>
        </w:rPr>
        <w:t xml:space="preserve">cu deficit de personal </w:t>
      </w:r>
      <w:r w:rsidR="00F21479">
        <w:rPr>
          <w:rFonts w:asciiTheme="minorHAnsi" w:hAnsiTheme="minorHAnsi" w:cstheme="minorHAnsi"/>
          <w:sz w:val="26"/>
          <w:szCs w:val="26"/>
        </w:rPr>
        <w:t xml:space="preserve">din cadrul </w:t>
      </w:r>
      <w:r w:rsidRPr="000F0D8B">
        <w:rPr>
          <w:rFonts w:asciiTheme="minorHAnsi" w:hAnsiTheme="minorHAnsi" w:cstheme="minorHAnsi"/>
          <w:sz w:val="26"/>
          <w:szCs w:val="26"/>
        </w:rPr>
        <w:t xml:space="preserve">Școlii, ca urmare a procedurilor de selecție finalizate în anul 2025 au fost numiți în această calitate 3 noi formatori, </w:t>
      </w:r>
      <w:r w:rsidRPr="000F0D8B">
        <w:rPr>
          <w:rFonts w:asciiTheme="minorHAnsi" w:hAnsiTheme="minorHAnsi" w:cstheme="minorHAnsi"/>
          <w:iCs/>
          <w:sz w:val="26"/>
          <w:szCs w:val="26"/>
        </w:rPr>
        <w:t xml:space="preserve">prin Hotărârile </w:t>
      </w:r>
      <w:r w:rsidRPr="000F0D8B">
        <w:rPr>
          <w:rFonts w:asciiTheme="minorHAnsi" w:hAnsiTheme="minorHAnsi" w:cstheme="minorHAnsi"/>
          <w:sz w:val="26"/>
          <w:szCs w:val="26"/>
        </w:rPr>
        <w:t>Plenului Consiliului Superior al Magistraturii nr. 26/12</w:t>
      </w:r>
      <w:r w:rsidR="00F3144C">
        <w:rPr>
          <w:rFonts w:asciiTheme="minorHAnsi" w:hAnsiTheme="minorHAnsi" w:cstheme="minorHAnsi"/>
          <w:sz w:val="26"/>
          <w:szCs w:val="26"/>
        </w:rPr>
        <w:t>.03.</w:t>
      </w:r>
      <w:r w:rsidRPr="000F0D8B">
        <w:rPr>
          <w:rFonts w:asciiTheme="minorHAnsi" w:hAnsiTheme="minorHAnsi" w:cstheme="minorHAnsi"/>
          <w:sz w:val="26"/>
          <w:szCs w:val="26"/>
        </w:rPr>
        <w:t>2025, nr. 83/17</w:t>
      </w:r>
      <w:r w:rsidR="00F3144C">
        <w:rPr>
          <w:rFonts w:asciiTheme="minorHAnsi" w:hAnsiTheme="minorHAnsi" w:cstheme="minorHAnsi"/>
          <w:sz w:val="26"/>
          <w:szCs w:val="26"/>
        </w:rPr>
        <w:t>.06.</w:t>
      </w:r>
      <w:r w:rsidRPr="000F0D8B">
        <w:rPr>
          <w:rFonts w:asciiTheme="minorHAnsi" w:hAnsiTheme="minorHAnsi" w:cstheme="minorHAnsi"/>
          <w:sz w:val="26"/>
          <w:szCs w:val="26"/>
        </w:rPr>
        <w:t>2025 și, respectiv, nr. 99/09</w:t>
      </w:r>
      <w:r w:rsidR="00F3144C">
        <w:rPr>
          <w:rFonts w:asciiTheme="minorHAnsi" w:hAnsiTheme="minorHAnsi" w:cstheme="minorHAnsi"/>
          <w:sz w:val="26"/>
          <w:szCs w:val="26"/>
        </w:rPr>
        <w:t>.07.</w:t>
      </w:r>
      <w:r w:rsidRPr="000F0D8B">
        <w:rPr>
          <w:rFonts w:asciiTheme="minorHAnsi" w:hAnsiTheme="minorHAnsi" w:cstheme="minorHAnsi"/>
          <w:sz w:val="26"/>
          <w:szCs w:val="26"/>
        </w:rPr>
        <w:t>2025, după cum urmează:</w:t>
      </w:r>
    </w:p>
    <w:p w14:paraId="0702BF79" w14:textId="77777777" w:rsidR="0091321F" w:rsidRPr="000F0D8B" w:rsidRDefault="0091321F" w:rsidP="00281400">
      <w:pPr>
        <w:pStyle w:val="ListParagraph"/>
        <w:numPr>
          <w:ilvl w:val="0"/>
          <w:numId w:val="16"/>
        </w:numPr>
        <w:tabs>
          <w:tab w:val="left" w:pos="709"/>
        </w:tabs>
        <w:spacing w:line="276" w:lineRule="auto"/>
        <w:ind w:left="0" w:right="15" w:firstLine="426"/>
        <w:jc w:val="both"/>
        <w:rPr>
          <w:rFonts w:asciiTheme="minorHAnsi" w:hAnsiTheme="minorHAnsi" w:cstheme="minorHAnsi"/>
          <w:sz w:val="26"/>
          <w:szCs w:val="26"/>
        </w:rPr>
      </w:pPr>
      <w:r w:rsidRPr="000F0D8B">
        <w:rPr>
          <w:rFonts w:asciiTheme="minorHAnsi" w:hAnsiTheme="minorHAnsi" w:cstheme="minorHAnsi"/>
          <w:iCs/>
          <w:sz w:val="26"/>
          <w:szCs w:val="26"/>
        </w:rPr>
        <w:t>în cadrul Departamentului de formare profesională inițială – 2 formatori judecători</w:t>
      </w:r>
      <w:r w:rsidRPr="000F0D8B">
        <w:rPr>
          <w:rFonts w:asciiTheme="minorHAnsi" w:hAnsiTheme="minorHAnsi" w:cstheme="minorHAnsi"/>
          <w:sz w:val="26"/>
          <w:szCs w:val="26"/>
        </w:rPr>
        <w:t xml:space="preserve">, la disciplinele Procedură penală și, respectiv, Procedură civilă, avându-se în vedere </w:t>
      </w:r>
      <w:r w:rsidRPr="000F0D8B">
        <w:rPr>
          <w:rFonts w:asciiTheme="minorHAnsi" w:hAnsiTheme="minorHAnsi" w:cstheme="minorHAnsi"/>
          <w:iCs/>
          <w:sz w:val="26"/>
          <w:szCs w:val="26"/>
        </w:rPr>
        <w:t xml:space="preserve">necesitatea </w:t>
      </w:r>
      <w:r w:rsidRPr="000F0D8B">
        <w:rPr>
          <w:rFonts w:asciiTheme="minorHAnsi" w:hAnsiTheme="minorHAnsi" w:cstheme="minorHAnsi"/>
          <w:sz w:val="26"/>
          <w:szCs w:val="26"/>
        </w:rPr>
        <w:t>asigurării în structura acestui departament a cel puțin unui formator cu normă întreagă - judecător la aceste discipline fundamentale pentru formarea inițială a grefierilor, cărora le este alocat în planul de învățământ numărul maxim de ore posibil;</w:t>
      </w:r>
    </w:p>
    <w:p w14:paraId="0F783836" w14:textId="77777777" w:rsidR="0091321F" w:rsidRPr="000F0D8B" w:rsidRDefault="0091321F" w:rsidP="00281400">
      <w:pPr>
        <w:pStyle w:val="ListParagraph"/>
        <w:numPr>
          <w:ilvl w:val="0"/>
          <w:numId w:val="16"/>
        </w:numPr>
        <w:tabs>
          <w:tab w:val="left" w:pos="709"/>
        </w:tabs>
        <w:spacing w:line="276" w:lineRule="auto"/>
        <w:ind w:left="0" w:right="15" w:firstLine="426"/>
        <w:jc w:val="both"/>
        <w:rPr>
          <w:rFonts w:asciiTheme="minorHAnsi" w:hAnsiTheme="minorHAnsi" w:cstheme="minorHAnsi"/>
          <w:iCs/>
          <w:sz w:val="26"/>
          <w:szCs w:val="26"/>
        </w:rPr>
      </w:pPr>
      <w:r w:rsidRPr="000F0D8B">
        <w:rPr>
          <w:rFonts w:asciiTheme="minorHAnsi" w:hAnsiTheme="minorHAnsi" w:cstheme="minorHAnsi"/>
          <w:iCs/>
          <w:sz w:val="26"/>
          <w:szCs w:val="26"/>
        </w:rPr>
        <w:t xml:space="preserve">în cadrul Departamentului de formare profesională continuă – 1 formator grefier, la disciplina Drept procesual civil, în vederea asigurării în structura acestui departament a cel puțin unui formator cu normă întreagă – grefier cu studii superioare juridice la disciplina Drept procesual civil, una dintre disciplinele fundamentale pentru formarea profesională a grefierilor, precum și a formării unei echipe mixte de formatori, judecător </w:t>
      </w:r>
      <w:r w:rsidRPr="000F0D8B">
        <w:rPr>
          <w:rFonts w:asciiTheme="minorHAnsi" w:hAnsiTheme="minorHAnsi" w:cstheme="minorHAnsi"/>
          <w:iCs/>
          <w:sz w:val="26"/>
          <w:szCs w:val="26"/>
        </w:rPr>
        <w:noBreakHyphen/>
        <w:t xml:space="preserve"> grefier, în susținerea seminarelor de formare continuă, o mare parte dintre acestea vizând domeniul procesual civil.</w:t>
      </w:r>
    </w:p>
    <w:p w14:paraId="12112C63" w14:textId="6AACD92C" w:rsidR="0091321F" w:rsidRPr="000F0D8B" w:rsidRDefault="0091321F" w:rsidP="009E3AD8">
      <w:pPr>
        <w:spacing w:line="276" w:lineRule="auto"/>
        <w:ind w:firstLine="709"/>
        <w:jc w:val="both"/>
        <w:rPr>
          <w:rFonts w:asciiTheme="minorHAnsi" w:hAnsiTheme="minorHAnsi" w:cstheme="minorHAnsi"/>
          <w:sz w:val="26"/>
          <w:szCs w:val="26"/>
        </w:rPr>
      </w:pPr>
      <w:r w:rsidRPr="000F0D8B">
        <w:rPr>
          <w:rFonts w:asciiTheme="minorHAnsi" w:hAnsiTheme="minorHAnsi" w:cstheme="minorHAnsi"/>
          <w:sz w:val="26"/>
          <w:szCs w:val="26"/>
        </w:rPr>
        <w:t xml:space="preserve">Ca și în anii precedenți, s-a urmărit asigurarea unei dezvoltări a pregătirii profesionale permanente a personalului propriu, prin facilitarea participării la programe de formare </w:t>
      </w:r>
      <w:r w:rsidRPr="000F0D8B">
        <w:rPr>
          <w:rFonts w:asciiTheme="minorHAnsi" w:hAnsiTheme="minorHAnsi" w:cstheme="minorHAnsi"/>
          <w:sz w:val="26"/>
          <w:szCs w:val="26"/>
        </w:rPr>
        <w:lastRenderedPageBreak/>
        <w:t>profesională adaptate specificului activității desfășurate, organizate de Școala Națională de Grefieri, cât și de instituții de profil, cu precădere acțiuni de formare desfășurate în cadrul unor proiecte internaționale, cum sunt proiectele implementate alături de Academia de Drept European (E</w:t>
      </w:r>
      <w:r w:rsidR="00572706" w:rsidRPr="000F0D8B">
        <w:rPr>
          <w:rFonts w:asciiTheme="minorHAnsi" w:hAnsiTheme="minorHAnsi" w:cstheme="minorHAnsi"/>
          <w:sz w:val="26"/>
          <w:szCs w:val="26"/>
        </w:rPr>
        <w:t>.</w:t>
      </w:r>
      <w:r w:rsidRPr="000F0D8B">
        <w:rPr>
          <w:rFonts w:asciiTheme="minorHAnsi" w:hAnsiTheme="minorHAnsi" w:cstheme="minorHAnsi"/>
          <w:sz w:val="26"/>
          <w:szCs w:val="26"/>
        </w:rPr>
        <w:t>R</w:t>
      </w:r>
      <w:r w:rsidR="00572706" w:rsidRPr="000F0D8B">
        <w:rPr>
          <w:rFonts w:asciiTheme="minorHAnsi" w:hAnsiTheme="minorHAnsi" w:cstheme="minorHAnsi"/>
          <w:sz w:val="26"/>
          <w:szCs w:val="26"/>
        </w:rPr>
        <w:t>.</w:t>
      </w:r>
      <w:r w:rsidRPr="000F0D8B">
        <w:rPr>
          <w:rFonts w:asciiTheme="minorHAnsi" w:hAnsiTheme="minorHAnsi" w:cstheme="minorHAnsi"/>
          <w:sz w:val="26"/>
          <w:szCs w:val="26"/>
        </w:rPr>
        <w:t>A</w:t>
      </w:r>
      <w:r w:rsidR="00572706" w:rsidRPr="000F0D8B">
        <w:rPr>
          <w:rFonts w:asciiTheme="minorHAnsi" w:hAnsiTheme="minorHAnsi" w:cstheme="minorHAnsi"/>
          <w:sz w:val="26"/>
          <w:szCs w:val="26"/>
        </w:rPr>
        <w:t>.</w:t>
      </w:r>
      <w:r w:rsidRPr="000F0D8B">
        <w:rPr>
          <w:rFonts w:asciiTheme="minorHAnsi" w:hAnsiTheme="minorHAnsi" w:cstheme="minorHAnsi"/>
          <w:sz w:val="26"/>
          <w:szCs w:val="26"/>
        </w:rPr>
        <w:t>) și de Rețeaua Europeană de Formare Judiciară (E</w:t>
      </w:r>
      <w:r w:rsidR="005E4A43" w:rsidRPr="000F0D8B">
        <w:rPr>
          <w:rFonts w:asciiTheme="minorHAnsi" w:hAnsiTheme="minorHAnsi" w:cstheme="minorHAnsi"/>
          <w:sz w:val="26"/>
          <w:szCs w:val="26"/>
        </w:rPr>
        <w:t>.</w:t>
      </w:r>
      <w:r w:rsidRPr="000F0D8B">
        <w:rPr>
          <w:rFonts w:asciiTheme="minorHAnsi" w:hAnsiTheme="minorHAnsi" w:cstheme="minorHAnsi"/>
          <w:sz w:val="26"/>
          <w:szCs w:val="26"/>
        </w:rPr>
        <w:t>J</w:t>
      </w:r>
      <w:r w:rsidR="005E4A43" w:rsidRPr="000F0D8B">
        <w:rPr>
          <w:rFonts w:asciiTheme="minorHAnsi" w:hAnsiTheme="minorHAnsi" w:cstheme="minorHAnsi"/>
          <w:sz w:val="26"/>
          <w:szCs w:val="26"/>
        </w:rPr>
        <w:t>.</w:t>
      </w:r>
      <w:r w:rsidRPr="000F0D8B">
        <w:rPr>
          <w:rFonts w:asciiTheme="minorHAnsi" w:hAnsiTheme="minorHAnsi" w:cstheme="minorHAnsi"/>
          <w:sz w:val="26"/>
          <w:szCs w:val="26"/>
        </w:rPr>
        <w:t>T</w:t>
      </w:r>
      <w:r w:rsidR="005E4A43" w:rsidRPr="000F0D8B">
        <w:rPr>
          <w:rFonts w:asciiTheme="minorHAnsi" w:hAnsiTheme="minorHAnsi" w:cstheme="minorHAnsi"/>
          <w:sz w:val="26"/>
          <w:szCs w:val="26"/>
        </w:rPr>
        <w:t>.</w:t>
      </w:r>
      <w:r w:rsidRPr="000F0D8B">
        <w:rPr>
          <w:rFonts w:asciiTheme="minorHAnsi" w:hAnsiTheme="minorHAnsi" w:cstheme="minorHAnsi"/>
          <w:sz w:val="26"/>
          <w:szCs w:val="26"/>
        </w:rPr>
        <w:t>N</w:t>
      </w:r>
      <w:r w:rsidR="005E4A43" w:rsidRPr="000F0D8B">
        <w:rPr>
          <w:rFonts w:asciiTheme="minorHAnsi" w:hAnsiTheme="minorHAnsi" w:cstheme="minorHAnsi"/>
          <w:sz w:val="26"/>
          <w:szCs w:val="26"/>
        </w:rPr>
        <w:t>.</w:t>
      </w:r>
      <w:r w:rsidRPr="000F0D8B">
        <w:rPr>
          <w:rFonts w:asciiTheme="minorHAnsi" w:hAnsiTheme="minorHAnsi" w:cstheme="minorHAnsi"/>
          <w:sz w:val="26"/>
          <w:szCs w:val="26"/>
        </w:rPr>
        <w:t>), precum și de alte instituții de formare judiciară din cadrul Uniunii Europene. Trebuie precizat în acest context că, urmare a dobândirii de către Școala Națională de Grefieri a statutului de membru asociat al Rețelei Europene de Formare Judiciară, cu ocazia Adunării Generale a E</w:t>
      </w:r>
      <w:r w:rsidR="005E4A43" w:rsidRPr="000F0D8B">
        <w:rPr>
          <w:rFonts w:asciiTheme="minorHAnsi" w:hAnsiTheme="minorHAnsi" w:cstheme="minorHAnsi"/>
          <w:sz w:val="26"/>
          <w:szCs w:val="26"/>
        </w:rPr>
        <w:t>.</w:t>
      </w:r>
      <w:r w:rsidRPr="000F0D8B">
        <w:rPr>
          <w:rFonts w:asciiTheme="minorHAnsi" w:hAnsiTheme="minorHAnsi" w:cstheme="minorHAnsi"/>
          <w:sz w:val="26"/>
          <w:szCs w:val="26"/>
        </w:rPr>
        <w:t>J</w:t>
      </w:r>
      <w:r w:rsidR="005E4A43" w:rsidRPr="000F0D8B">
        <w:rPr>
          <w:rFonts w:asciiTheme="minorHAnsi" w:hAnsiTheme="minorHAnsi" w:cstheme="minorHAnsi"/>
          <w:sz w:val="26"/>
          <w:szCs w:val="26"/>
        </w:rPr>
        <w:t>.</w:t>
      </w:r>
      <w:r w:rsidRPr="000F0D8B">
        <w:rPr>
          <w:rFonts w:asciiTheme="minorHAnsi" w:hAnsiTheme="minorHAnsi" w:cstheme="minorHAnsi"/>
          <w:sz w:val="26"/>
          <w:szCs w:val="26"/>
        </w:rPr>
        <w:t>T</w:t>
      </w:r>
      <w:r w:rsidR="005E4A43" w:rsidRPr="000F0D8B">
        <w:rPr>
          <w:rFonts w:asciiTheme="minorHAnsi" w:hAnsiTheme="minorHAnsi" w:cstheme="minorHAnsi"/>
          <w:sz w:val="26"/>
          <w:szCs w:val="26"/>
        </w:rPr>
        <w:t>.</w:t>
      </w:r>
      <w:r w:rsidRPr="000F0D8B">
        <w:rPr>
          <w:rFonts w:asciiTheme="minorHAnsi" w:hAnsiTheme="minorHAnsi" w:cstheme="minorHAnsi"/>
          <w:sz w:val="26"/>
          <w:szCs w:val="26"/>
        </w:rPr>
        <w:t>N</w:t>
      </w:r>
      <w:r w:rsidR="005E4A43" w:rsidRPr="000F0D8B">
        <w:rPr>
          <w:rFonts w:asciiTheme="minorHAnsi" w:hAnsiTheme="minorHAnsi" w:cstheme="minorHAnsi"/>
          <w:sz w:val="26"/>
          <w:szCs w:val="26"/>
        </w:rPr>
        <w:t>.</w:t>
      </w:r>
      <w:r w:rsidRPr="000F0D8B">
        <w:rPr>
          <w:rFonts w:asciiTheme="minorHAnsi" w:hAnsiTheme="minorHAnsi" w:cstheme="minorHAnsi"/>
          <w:sz w:val="26"/>
          <w:szCs w:val="26"/>
        </w:rPr>
        <w:t xml:space="preserve"> din 17 </w:t>
      </w:r>
      <w:r w:rsidR="000800F5">
        <w:rPr>
          <w:rFonts w:asciiTheme="minorHAnsi" w:hAnsiTheme="minorHAnsi" w:cstheme="minorHAnsi"/>
          <w:sz w:val="26"/>
          <w:szCs w:val="26"/>
        </w:rPr>
        <w:t>–</w:t>
      </w:r>
      <w:r w:rsidRPr="000F0D8B">
        <w:rPr>
          <w:rFonts w:asciiTheme="minorHAnsi" w:hAnsiTheme="minorHAnsi" w:cstheme="minorHAnsi"/>
          <w:sz w:val="26"/>
          <w:szCs w:val="26"/>
        </w:rPr>
        <w:t xml:space="preserve"> 18</w:t>
      </w:r>
      <w:r w:rsidR="008E4FDE">
        <w:rPr>
          <w:rFonts w:asciiTheme="minorHAnsi" w:hAnsiTheme="minorHAnsi" w:cstheme="minorHAnsi"/>
          <w:sz w:val="26"/>
          <w:szCs w:val="26"/>
        </w:rPr>
        <w:t xml:space="preserve"> iunie </w:t>
      </w:r>
      <w:r w:rsidRPr="000F0D8B">
        <w:rPr>
          <w:rFonts w:asciiTheme="minorHAnsi" w:hAnsiTheme="minorHAnsi" w:cstheme="minorHAnsi"/>
          <w:sz w:val="26"/>
          <w:szCs w:val="26"/>
        </w:rPr>
        <w:t>2021, acest statut a permis accesarea programelor internaționale de formare ale rețelei, inclusiv schimbul de bune practici în domeniul formării grefierilor.</w:t>
      </w:r>
    </w:p>
    <w:p w14:paraId="37E0915B" w14:textId="26BAE05E" w:rsidR="0091321F" w:rsidRPr="000F0D8B" w:rsidRDefault="0091321F" w:rsidP="002F0321">
      <w:pPr>
        <w:shd w:val="clear" w:color="auto" w:fill="FFFFFF"/>
        <w:spacing w:line="276" w:lineRule="auto"/>
        <w:ind w:firstLine="567"/>
        <w:jc w:val="both"/>
        <w:rPr>
          <w:rFonts w:asciiTheme="minorHAnsi" w:hAnsiTheme="minorHAnsi" w:cstheme="minorHAnsi"/>
          <w:sz w:val="26"/>
          <w:szCs w:val="26"/>
        </w:rPr>
      </w:pPr>
      <w:r w:rsidRPr="000F0D8B">
        <w:rPr>
          <w:rFonts w:asciiTheme="minorHAnsi" w:hAnsiTheme="minorHAnsi" w:cstheme="minorHAnsi"/>
          <w:iCs/>
          <w:sz w:val="26"/>
          <w:szCs w:val="26"/>
        </w:rPr>
        <w:t>Cu privire la cadrul normativ care reglementează activitatea Școlii, în cursul anului 2025 s</w:t>
      </w:r>
      <w:r w:rsidR="00A41195">
        <w:rPr>
          <w:rFonts w:asciiTheme="minorHAnsi" w:hAnsiTheme="minorHAnsi" w:cstheme="minorHAnsi"/>
          <w:iCs/>
          <w:sz w:val="26"/>
          <w:szCs w:val="26"/>
        </w:rPr>
        <w:t>-</w:t>
      </w:r>
      <w:r w:rsidRPr="000F0D8B">
        <w:rPr>
          <w:rFonts w:asciiTheme="minorHAnsi" w:hAnsiTheme="minorHAnsi" w:cstheme="minorHAnsi"/>
          <w:iCs/>
          <w:sz w:val="26"/>
          <w:szCs w:val="26"/>
        </w:rPr>
        <w:t xml:space="preserve">a formulat o propunere de modificare a Regulamentului </w:t>
      </w:r>
      <w:r w:rsidRPr="000F0D8B">
        <w:rPr>
          <w:rFonts w:asciiTheme="minorHAnsi" w:hAnsiTheme="minorHAnsi" w:cstheme="minorHAnsi"/>
          <w:sz w:val="26"/>
          <w:szCs w:val="26"/>
        </w:rPr>
        <w:t>de organizare și funcționare al Școlii Naționale de Grefieri, aprobat prin Hotărârea Plenului Consiliului Superior al Magistraturii nr. 183/2007, cu modificările și completările ulterioare,</w:t>
      </w:r>
      <w:r w:rsidRPr="000F0D8B">
        <w:rPr>
          <w:rFonts w:asciiTheme="minorHAnsi" w:hAnsiTheme="minorHAnsi" w:cstheme="minorHAnsi"/>
          <w:iCs/>
          <w:sz w:val="26"/>
          <w:szCs w:val="26"/>
        </w:rPr>
        <w:t xml:space="preserve"> într-un demers mai amplu de îmbunătățire a actelor normative secundare care reglementează organizarea și funcționarea Școlii. Prin </w:t>
      </w:r>
      <w:r w:rsidRPr="000F0D8B">
        <w:rPr>
          <w:rFonts w:asciiTheme="minorHAnsi" w:hAnsiTheme="minorHAnsi" w:cstheme="minorHAnsi"/>
          <w:sz w:val="26"/>
          <w:szCs w:val="26"/>
        </w:rPr>
        <w:t>Hotărârea Plenului Consiliului Superior al Magistraturii nr. 119/18</w:t>
      </w:r>
      <w:r w:rsidR="000800F5">
        <w:rPr>
          <w:rFonts w:asciiTheme="minorHAnsi" w:hAnsiTheme="minorHAnsi" w:cstheme="minorHAnsi"/>
          <w:sz w:val="26"/>
          <w:szCs w:val="26"/>
        </w:rPr>
        <w:t>.09.</w:t>
      </w:r>
      <w:r w:rsidRPr="000F0D8B">
        <w:rPr>
          <w:rFonts w:asciiTheme="minorHAnsi" w:hAnsiTheme="minorHAnsi" w:cstheme="minorHAnsi"/>
          <w:sz w:val="26"/>
          <w:szCs w:val="26"/>
        </w:rPr>
        <w:t xml:space="preserve">2025, publicată în </w:t>
      </w:r>
      <w:r w:rsidRPr="000F0D8B">
        <w:rPr>
          <w:rFonts w:asciiTheme="minorHAnsi" w:hAnsiTheme="minorHAnsi" w:cstheme="minorHAnsi"/>
          <w:bCs/>
          <w:sz w:val="26"/>
          <w:szCs w:val="26"/>
          <w:shd w:val="clear" w:color="auto" w:fill="FFFFFF"/>
        </w:rPr>
        <w:t xml:space="preserve">Monitorul Oficial al </w:t>
      </w:r>
      <w:r w:rsidRPr="000F0D8B">
        <w:rPr>
          <w:rFonts w:asciiTheme="minorHAnsi" w:hAnsiTheme="minorHAnsi" w:cstheme="minorHAnsi"/>
          <w:sz w:val="26"/>
          <w:szCs w:val="26"/>
        </w:rPr>
        <w:t>României Partea I, nr. 883/26</w:t>
      </w:r>
      <w:r w:rsidR="000800F5">
        <w:rPr>
          <w:rFonts w:asciiTheme="minorHAnsi" w:hAnsiTheme="minorHAnsi" w:cstheme="minorHAnsi"/>
          <w:sz w:val="26"/>
          <w:szCs w:val="26"/>
        </w:rPr>
        <w:t>.09.</w:t>
      </w:r>
      <w:r w:rsidRPr="000F0D8B">
        <w:rPr>
          <w:rFonts w:asciiTheme="minorHAnsi" w:hAnsiTheme="minorHAnsi" w:cstheme="minorHAnsi"/>
          <w:sz w:val="26"/>
          <w:szCs w:val="26"/>
        </w:rPr>
        <w:t>2025, a fost aprobată modificarea și completarea Regulamentului de organizare și funcționare a Școlii Naționale de Grefieri.</w:t>
      </w:r>
    </w:p>
    <w:p w14:paraId="3D351D29" w14:textId="1CFA9C2E" w:rsidR="0091321F" w:rsidRPr="000F0D8B" w:rsidRDefault="0091321F" w:rsidP="009E3AD8">
      <w:pPr>
        <w:shd w:val="clear" w:color="auto" w:fill="FFFFFF"/>
        <w:spacing w:line="276" w:lineRule="auto"/>
        <w:ind w:firstLine="709"/>
        <w:jc w:val="both"/>
        <w:rPr>
          <w:rFonts w:asciiTheme="minorHAnsi" w:hAnsiTheme="minorHAnsi" w:cstheme="minorHAnsi"/>
          <w:sz w:val="26"/>
          <w:szCs w:val="26"/>
        </w:rPr>
      </w:pPr>
      <w:r w:rsidRPr="000F0D8B">
        <w:rPr>
          <w:rFonts w:asciiTheme="minorHAnsi" w:hAnsiTheme="minorHAnsi" w:cstheme="minorHAnsi"/>
          <w:sz w:val="26"/>
          <w:szCs w:val="26"/>
        </w:rPr>
        <w:t>De asemenea, prin Hotărârea Plenului Consiliului Superior al Magistraturii nr. 120/18</w:t>
      </w:r>
      <w:r w:rsidR="000800F5">
        <w:rPr>
          <w:rFonts w:asciiTheme="minorHAnsi" w:hAnsiTheme="minorHAnsi" w:cstheme="minorHAnsi"/>
          <w:sz w:val="26"/>
          <w:szCs w:val="26"/>
        </w:rPr>
        <w:t>.09.</w:t>
      </w:r>
      <w:r w:rsidRPr="000F0D8B">
        <w:rPr>
          <w:rFonts w:asciiTheme="minorHAnsi" w:hAnsiTheme="minorHAnsi" w:cstheme="minorHAnsi"/>
          <w:sz w:val="26"/>
          <w:szCs w:val="26"/>
        </w:rPr>
        <w:t>2025, publicată pe paginile de internet ale Consiliului Superior al Magistraturii și Școlii Naționale de Grefieri, a fost modificat și completat Statutul personalului de instruire al Școlii Naționale de Grefieri.</w:t>
      </w:r>
    </w:p>
    <w:p w14:paraId="39AC8436" w14:textId="3E66F2DC" w:rsidR="0091321F" w:rsidRDefault="0091321F" w:rsidP="009E3AD8">
      <w:pPr>
        <w:shd w:val="clear" w:color="auto" w:fill="FFFFFF"/>
        <w:spacing w:line="276" w:lineRule="auto"/>
        <w:ind w:firstLine="709"/>
        <w:jc w:val="both"/>
        <w:rPr>
          <w:rFonts w:asciiTheme="minorHAnsi" w:hAnsiTheme="minorHAnsi" w:cstheme="minorHAnsi"/>
          <w:sz w:val="26"/>
          <w:szCs w:val="26"/>
        </w:rPr>
      </w:pPr>
      <w:r w:rsidRPr="000F0D8B">
        <w:rPr>
          <w:rFonts w:asciiTheme="minorHAnsi" w:hAnsiTheme="minorHAnsi" w:cstheme="minorHAnsi"/>
          <w:sz w:val="26"/>
          <w:szCs w:val="26"/>
        </w:rPr>
        <w:t xml:space="preserve">Ca urmare a publicării Hotărârii Plenului Consiliului Superior al Magistraturii nr. 119/2025 prin care au fost aduse modificări și completări Regulamentului de organizare și funcționare al Școlii Naționale de Grefieri, în aplicarea și a dispozițiilor </w:t>
      </w:r>
      <w:r w:rsidR="006544A7">
        <w:rPr>
          <w:rFonts w:asciiTheme="minorHAnsi" w:hAnsiTheme="minorHAnsi" w:cstheme="minorHAnsi"/>
          <w:sz w:val="26"/>
          <w:szCs w:val="26"/>
        </w:rPr>
        <w:t>H.G.</w:t>
      </w:r>
      <w:r w:rsidRPr="000F0D8B">
        <w:rPr>
          <w:rFonts w:asciiTheme="minorHAnsi" w:hAnsiTheme="minorHAnsi" w:cstheme="minorHAnsi"/>
          <w:sz w:val="26"/>
          <w:szCs w:val="26"/>
        </w:rPr>
        <w:t xml:space="preserve"> nr. 892/2024, a fost demarată procedura de obținere a avizului prealabil și obligatoriu al Agenției Naționale a Funcționarilor Publici pentru structurile din cadrul Școlii în care figurează funcții publice, având în vedere că suplimentarea cu 25 posturi a numărului total al posturilor pentru Școala Națională de Grefieri presupune și un număr suplimentar de 8 funcții publice. La data de 15 octombrie 2025 a fost comunicat avizul privind funcțiile publice din cadrul Școlii Naționale de Grefieri, fiind demarată procedura de prezentare către Consiliul de conducere al Școlii, spre avizare, a Statului de funcții și a Statului de personal, valabile pentru data de 15</w:t>
      </w:r>
      <w:r w:rsidR="00C3163F" w:rsidRPr="000F0D8B">
        <w:rPr>
          <w:rFonts w:asciiTheme="minorHAnsi" w:hAnsiTheme="minorHAnsi" w:cstheme="minorHAnsi"/>
          <w:sz w:val="26"/>
          <w:szCs w:val="26"/>
        </w:rPr>
        <w:t xml:space="preserve"> octombrie </w:t>
      </w:r>
      <w:r w:rsidRPr="000F0D8B">
        <w:rPr>
          <w:rFonts w:asciiTheme="minorHAnsi" w:hAnsiTheme="minorHAnsi" w:cstheme="minorHAnsi"/>
          <w:sz w:val="26"/>
          <w:szCs w:val="26"/>
        </w:rPr>
        <w:t>2025, iar ulterior de comunicare a acestor documente în vederea aprobării de către Consiliul Superior al Magistraturii.</w:t>
      </w:r>
    </w:p>
    <w:p w14:paraId="69A2F8B1" w14:textId="64847E58" w:rsidR="005A38AC" w:rsidRPr="002E39A3" w:rsidRDefault="005A38AC" w:rsidP="005A38AC">
      <w:pPr>
        <w:shd w:val="clear" w:color="auto" w:fill="FFFFFF"/>
        <w:spacing w:line="276" w:lineRule="auto"/>
        <w:ind w:firstLine="709"/>
        <w:jc w:val="both"/>
        <w:rPr>
          <w:rFonts w:ascii="Calibri" w:hAnsi="Calibri" w:cs="Calibri"/>
          <w:sz w:val="26"/>
          <w:szCs w:val="26"/>
        </w:rPr>
      </w:pPr>
      <w:r w:rsidRPr="002E39A3">
        <w:rPr>
          <w:rFonts w:ascii="Calibri" w:hAnsi="Calibri" w:cs="Calibri"/>
          <w:sz w:val="26"/>
          <w:szCs w:val="26"/>
        </w:rPr>
        <w:t>Astfel, prin Hotărârea Plenului C</w:t>
      </w:r>
      <w:r w:rsidR="002E39A3" w:rsidRPr="002E39A3">
        <w:rPr>
          <w:rFonts w:ascii="Calibri" w:hAnsi="Calibri" w:cs="Calibri"/>
          <w:sz w:val="26"/>
          <w:szCs w:val="26"/>
        </w:rPr>
        <w:t xml:space="preserve">.S.M. </w:t>
      </w:r>
      <w:r w:rsidRPr="002E39A3">
        <w:rPr>
          <w:rFonts w:ascii="Calibri" w:hAnsi="Calibri" w:cs="Calibri"/>
          <w:sz w:val="26"/>
          <w:szCs w:val="26"/>
        </w:rPr>
        <w:t xml:space="preserve">nr. 143/06.11.2025 au fost aprobate statele de funcții și de personal ale Școlii Naționale de Grefieri, valabile la data de 15 octombrie 2025, care reflectă numărul maxim de posturi </w:t>
      </w:r>
      <w:r w:rsidR="002E39A3" w:rsidRPr="002E39A3">
        <w:rPr>
          <w:rFonts w:ascii="Calibri" w:hAnsi="Calibri" w:cs="Calibri"/>
          <w:sz w:val="26"/>
          <w:szCs w:val="26"/>
        </w:rPr>
        <w:t>(</w:t>
      </w:r>
      <w:r w:rsidRPr="002E39A3">
        <w:rPr>
          <w:rFonts w:ascii="Calibri" w:hAnsi="Calibri" w:cs="Calibri"/>
          <w:sz w:val="26"/>
          <w:szCs w:val="26"/>
        </w:rPr>
        <w:t xml:space="preserve">75 </w:t>
      </w:r>
      <w:r w:rsidR="002E39A3" w:rsidRPr="002E39A3">
        <w:rPr>
          <w:rFonts w:ascii="Calibri" w:hAnsi="Calibri" w:cs="Calibri"/>
          <w:sz w:val="26"/>
          <w:szCs w:val="26"/>
        </w:rPr>
        <w:t xml:space="preserve">de posturi) </w:t>
      </w:r>
      <w:r w:rsidRPr="002E39A3">
        <w:rPr>
          <w:rFonts w:ascii="Calibri" w:hAnsi="Calibri" w:cs="Calibri"/>
          <w:sz w:val="26"/>
          <w:szCs w:val="26"/>
        </w:rPr>
        <w:t>și repartizarea acestora pe structura actualizată a Școlii.</w:t>
      </w:r>
    </w:p>
    <w:p w14:paraId="2A58EF0C" w14:textId="77777777" w:rsidR="0091321F" w:rsidRPr="000F0D8B" w:rsidRDefault="0091321F" w:rsidP="009E3AD8">
      <w:pPr>
        <w:shd w:val="clear" w:color="auto" w:fill="FFFFFF"/>
        <w:spacing w:line="276" w:lineRule="auto"/>
        <w:ind w:firstLine="709"/>
        <w:jc w:val="both"/>
        <w:rPr>
          <w:rFonts w:asciiTheme="minorHAnsi" w:hAnsiTheme="minorHAnsi" w:cstheme="minorHAnsi"/>
          <w:sz w:val="26"/>
          <w:szCs w:val="26"/>
        </w:rPr>
      </w:pPr>
      <w:r w:rsidRPr="000F0D8B">
        <w:rPr>
          <w:rFonts w:asciiTheme="minorHAnsi" w:hAnsiTheme="minorHAnsi" w:cstheme="minorHAnsi"/>
          <w:sz w:val="26"/>
          <w:szCs w:val="26"/>
        </w:rPr>
        <w:t>În cursul anului 2025, fluctuația personalului pe funcțiile publice de execuție a fost acoperită prin proceduri de transfer, potrivit dispozițiilor legale.</w:t>
      </w:r>
    </w:p>
    <w:p w14:paraId="6B5141F8" w14:textId="6692AE83" w:rsidR="00B1514A" w:rsidRPr="000F0D8B" w:rsidRDefault="00B1514A" w:rsidP="009E3AD8">
      <w:pPr>
        <w:pStyle w:val="Heading2"/>
        <w:keepLines w:val="0"/>
        <w:rPr>
          <w:rFonts w:cstheme="minorHAnsi"/>
          <w:color w:val="auto"/>
          <w:lang w:val="ro-RO"/>
        </w:rPr>
      </w:pPr>
      <w:bookmarkStart w:id="42" w:name="_Toc430867109"/>
      <w:bookmarkStart w:id="43" w:name="_Toc381021523"/>
      <w:bookmarkStart w:id="44" w:name="_Toc219287947"/>
      <w:r w:rsidRPr="000F0D8B">
        <w:rPr>
          <w:rFonts w:cstheme="minorHAnsi"/>
          <w:color w:val="auto"/>
          <w:lang w:val="ro-RO"/>
        </w:rPr>
        <w:t>I.5. Contribuţia la dezvoltarea spaţiului judiciar comun european</w:t>
      </w:r>
      <w:bookmarkEnd w:id="42"/>
      <w:bookmarkEnd w:id="43"/>
      <w:bookmarkEnd w:id="44"/>
      <w:r w:rsidRPr="000F0D8B">
        <w:rPr>
          <w:rFonts w:cstheme="minorHAnsi"/>
          <w:color w:val="auto"/>
          <w:lang w:val="ro-RO"/>
        </w:rPr>
        <w:t xml:space="preserve"> </w:t>
      </w:r>
    </w:p>
    <w:bookmarkEnd w:id="2"/>
    <w:p w14:paraId="3B33F75E" w14:textId="77777777" w:rsidR="00926D77" w:rsidRPr="000F0D8B" w:rsidRDefault="00926D77" w:rsidP="009E3AD8">
      <w:pPr>
        <w:spacing w:line="276" w:lineRule="auto"/>
        <w:ind w:right="26" w:firstLine="720"/>
        <w:jc w:val="both"/>
        <w:rPr>
          <w:rFonts w:asciiTheme="minorHAnsi" w:hAnsiTheme="minorHAnsi" w:cstheme="minorHAnsi"/>
          <w:b/>
          <w:bCs/>
          <w:sz w:val="26"/>
          <w:szCs w:val="26"/>
        </w:rPr>
      </w:pPr>
      <w:r w:rsidRPr="000F0D8B">
        <w:rPr>
          <w:rFonts w:asciiTheme="minorHAnsi" w:hAnsiTheme="minorHAnsi" w:cstheme="minorHAnsi"/>
          <w:b/>
          <w:bCs/>
          <w:sz w:val="26"/>
          <w:szCs w:val="26"/>
        </w:rPr>
        <w:t>Consiliul Superior al Magistraturii</w:t>
      </w:r>
    </w:p>
    <w:p w14:paraId="53A59D93" w14:textId="64A637DD" w:rsidR="00926D77" w:rsidRPr="000F0D8B" w:rsidRDefault="00926D77" w:rsidP="009E3AD8">
      <w:pPr>
        <w:spacing w:line="276" w:lineRule="auto"/>
        <w:ind w:right="26" w:firstLine="720"/>
        <w:jc w:val="both"/>
        <w:rPr>
          <w:rFonts w:asciiTheme="minorHAnsi" w:hAnsiTheme="minorHAnsi" w:cstheme="minorHAnsi"/>
          <w:sz w:val="26"/>
          <w:szCs w:val="26"/>
        </w:rPr>
      </w:pPr>
      <w:r w:rsidRPr="000F0D8B">
        <w:rPr>
          <w:rFonts w:asciiTheme="minorHAnsi" w:hAnsiTheme="minorHAnsi" w:cstheme="minorHAnsi"/>
          <w:sz w:val="26"/>
          <w:szCs w:val="26"/>
        </w:rPr>
        <w:t>Consiliul Superior al Magistraturii acordă o importanță majoră consolidării relațiilor interne și internaționale, în conformitate cu obiectivele stabilite pentru perioada 2023</w:t>
      </w:r>
      <w:r w:rsidR="00E94BA3" w:rsidRPr="000F0D8B">
        <w:rPr>
          <w:rFonts w:asciiTheme="minorHAnsi" w:hAnsiTheme="minorHAnsi" w:cstheme="minorHAnsi"/>
          <w:sz w:val="26"/>
          <w:szCs w:val="26"/>
        </w:rPr>
        <w:t xml:space="preserve"> </w:t>
      </w:r>
      <w:r w:rsidRPr="000F0D8B">
        <w:rPr>
          <w:rFonts w:asciiTheme="minorHAnsi" w:hAnsiTheme="minorHAnsi" w:cstheme="minorHAnsi"/>
          <w:sz w:val="26"/>
          <w:szCs w:val="26"/>
        </w:rPr>
        <w:t>-</w:t>
      </w:r>
      <w:r w:rsidR="00E94BA3" w:rsidRPr="000F0D8B">
        <w:rPr>
          <w:rFonts w:asciiTheme="minorHAnsi" w:hAnsiTheme="minorHAnsi" w:cstheme="minorHAnsi"/>
          <w:sz w:val="26"/>
          <w:szCs w:val="26"/>
        </w:rPr>
        <w:t xml:space="preserve"> </w:t>
      </w:r>
      <w:r w:rsidRPr="000F0D8B">
        <w:rPr>
          <w:rFonts w:asciiTheme="minorHAnsi" w:hAnsiTheme="minorHAnsi" w:cstheme="minorHAnsi"/>
          <w:sz w:val="26"/>
          <w:szCs w:val="26"/>
        </w:rPr>
        <w:t xml:space="preserve">2029, prin Hotărârea Plenului nr. 55/30.03.2023. Activitatea internațională reprezintă un pilon al </w:t>
      </w:r>
      <w:r w:rsidRPr="000F0D8B">
        <w:rPr>
          <w:rFonts w:asciiTheme="minorHAnsi" w:hAnsiTheme="minorHAnsi" w:cstheme="minorHAnsi"/>
          <w:sz w:val="26"/>
          <w:szCs w:val="26"/>
        </w:rPr>
        <w:lastRenderedPageBreak/>
        <w:t xml:space="preserve">misiunii Consiliului, vizând întărirea cooperării cu instituții europene și internaționale, precum și implicarea activă în proiecte și evaluări privind eficiența și independența sistemului judiciar, consolidând rolul României ca partener de încredere în cadrul acestor instituții. </w:t>
      </w:r>
    </w:p>
    <w:p w14:paraId="139AF4BC" w14:textId="77777777" w:rsidR="00926D77" w:rsidRPr="000F0D8B" w:rsidRDefault="00926D77" w:rsidP="009E3AD8">
      <w:pPr>
        <w:spacing w:line="276" w:lineRule="auto"/>
        <w:ind w:right="26" w:firstLine="720"/>
        <w:jc w:val="both"/>
        <w:rPr>
          <w:rFonts w:asciiTheme="minorHAnsi" w:hAnsiTheme="minorHAnsi" w:cstheme="minorHAnsi"/>
          <w:sz w:val="26"/>
          <w:szCs w:val="26"/>
        </w:rPr>
      </w:pPr>
      <w:r w:rsidRPr="000F0D8B">
        <w:rPr>
          <w:rFonts w:asciiTheme="minorHAnsi" w:hAnsiTheme="minorHAnsi" w:cstheme="minorHAnsi"/>
          <w:sz w:val="26"/>
          <w:szCs w:val="26"/>
        </w:rPr>
        <w:t xml:space="preserve">În acest context, Consiliul a continuat colaborarea cu diverse organisme europene, participarea sa la aceste structuri vizând integrarea sistemului judiciar românesc în spațiul juridic european, precum și alinierea la standardele comune privind independența, eficiența și transparența  justiției. Activitatea instituției în domeniul relațiilor europene și internaționale s-a desfășurat constant și dinamic, prin cooperarea cu instituții și organisme europene și internaționale, participarea la proiecte și studii comparative, precum și implicarea în analize referitoare la eficiența sistemului judiciar și buna administrare a justiției. Aceste demersuri au urmărit nu doar schimbul de bune practici, ci și îmbunătățirea calității actului de justiție, evaluarea performanței sistemului judiciar și sprijinirea formării profesionale continue a magistraților.  </w:t>
      </w:r>
    </w:p>
    <w:p w14:paraId="3AAB8C17" w14:textId="0C7256C3" w:rsidR="00926D77" w:rsidRPr="000F0D8B" w:rsidRDefault="00926D77" w:rsidP="009E3AD8">
      <w:pPr>
        <w:spacing w:line="276" w:lineRule="auto"/>
        <w:ind w:right="26" w:firstLine="720"/>
        <w:jc w:val="both"/>
        <w:rPr>
          <w:rFonts w:asciiTheme="minorHAnsi" w:hAnsiTheme="minorHAnsi" w:cstheme="minorHAnsi"/>
          <w:sz w:val="26"/>
          <w:szCs w:val="26"/>
        </w:rPr>
      </w:pPr>
      <w:r w:rsidRPr="000F0D8B">
        <w:rPr>
          <w:rFonts w:asciiTheme="minorHAnsi" w:hAnsiTheme="minorHAnsi" w:cstheme="minorHAnsi"/>
          <w:sz w:val="26"/>
          <w:szCs w:val="26"/>
        </w:rPr>
        <w:t xml:space="preserve">Implicarea activă a instituției în mecanismele de evaluare ale Uniunii Europene (precum Mecanismul Statului de Drept, Tabloul de bord privind justiția </w:t>
      </w:r>
      <w:r w:rsidR="00F21479">
        <w:rPr>
          <w:rFonts w:asciiTheme="minorHAnsi" w:hAnsiTheme="minorHAnsi" w:cstheme="minorHAnsi"/>
          <w:sz w:val="26"/>
          <w:szCs w:val="26"/>
        </w:rPr>
        <w:t>î</w:t>
      </w:r>
      <w:r w:rsidRPr="000F0D8B">
        <w:rPr>
          <w:rFonts w:asciiTheme="minorHAnsi" w:hAnsiTheme="minorHAnsi" w:cstheme="minorHAnsi"/>
          <w:sz w:val="26"/>
          <w:szCs w:val="26"/>
        </w:rPr>
        <w:t>n U</w:t>
      </w:r>
      <w:r w:rsidR="006B7311" w:rsidRPr="000F0D8B">
        <w:rPr>
          <w:rFonts w:asciiTheme="minorHAnsi" w:hAnsiTheme="minorHAnsi" w:cstheme="minorHAnsi"/>
          <w:sz w:val="26"/>
          <w:szCs w:val="26"/>
        </w:rPr>
        <w:t>.</w:t>
      </w:r>
      <w:r w:rsidRPr="000F0D8B">
        <w:rPr>
          <w:rFonts w:asciiTheme="minorHAnsi" w:hAnsiTheme="minorHAnsi" w:cstheme="minorHAnsi"/>
          <w:sz w:val="26"/>
          <w:szCs w:val="26"/>
        </w:rPr>
        <w:t>E</w:t>
      </w:r>
      <w:r w:rsidR="006B7311" w:rsidRPr="000F0D8B">
        <w:rPr>
          <w:rFonts w:asciiTheme="minorHAnsi" w:hAnsiTheme="minorHAnsi" w:cstheme="minorHAnsi"/>
          <w:sz w:val="26"/>
          <w:szCs w:val="26"/>
        </w:rPr>
        <w:t>.</w:t>
      </w:r>
      <w:r w:rsidRPr="000F0D8B">
        <w:rPr>
          <w:rFonts w:asciiTheme="minorHAnsi" w:hAnsiTheme="minorHAnsi" w:cstheme="minorHAnsi"/>
          <w:sz w:val="26"/>
          <w:szCs w:val="26"/>
        </w:rPr>
        <w:t xml:space="preserve"> – E</w:t>
      </w:r>
      <w:r w:rsidR="006B7311" w:rsidRPr="000F0D8B">
        <w:rPr>
          <w:rFonts w:asciiTheme="minorHAnsi" w:hAnsiTheme="minorHAnsi" w:cstheme="minorHAnsi"/>
          <w:sz w:val="26"/>
          <w:szCs w:val="26"/>
        </w:rPr>
        <w:t>.</w:t>
      </w:r>
      <w:r w:rsidRPr="000F0D8B">
        <w:rPr>
          <w:rFonts w:asciiTheme="minorHAnsi" w:hAnsiTheme="minorHAnsi" w:cstheme="minorHAnsi"/>
          <w:sz w:val="26"/>
          <w:szCs w:val="26"/>
        </w:rPr>
        <w:t>U</w:t>
      </w:r>
      <w:r w:rsidR="006B7311" w:rsidRPr="000F0D8B">
        <w:rPr>
          <w:rFonts w:asciiTheme="minorHAnsi" w:hAnsiTheme="minorHAnsi" w:cstheme="minorHAnsi"/>
          <w:sz w:val="26"/>
          <w:szCs w:val="26"/>
        </w:rPr>
        <w:t>.</w:t>
      </w:r>
      <w:r w:rsidRPr="000F0D8B">
        <w:rPr>
          <w:rFonts w:asciiTheme="minorHAnsi" w:hAnsiTheme="minorHAnsi" w:cstheme="minorHAnsi"/>
          <w:sz w:val="26"/>
          <w:szCs w:val="26"/>
        </w:rPr>
        <w:t xml:space="preserve"> Justice Scoreboard sau rapoartele Comisiei Europene pentru Eficiența Justiției) contribuie la o imagine obiectivă a progreselor sistemului judiciar românesc și la consolidarea încrederii partenerilor europeni în reformele derulate în acest cadru. Participarea constantă la activitățile de acest fel reflectă inclusiv angajamentul instituției față de valorile fundamentale ale statului de drept. </w:t>
      </w:r>
    </w:p>
    <w:p w14:paraId="622A263F" w14:textId="77777777" w:rsidR="00926D77" w:rsidRPr="000F0D8B" w:rsidRDefault="00926D77" w:rsidP="009E3AD8">
      <w:pPr>
        <w:spacing w:line="276" w:lineRule="auto"/>
        <w:ind w:right="26" w:firstLine="720"/>
        <w:jc w:val="both"/>
        <w:rPr>
          <w:rFonts w:asciiTheme="minorHAnsi" w:hAnsiTheme="minorHAnsi" w:cstheme="minorHAnsi"/>
          <w:sz w:val="26"/>
          <w:szCs w:val="26"/>
        </w:rPr>
      </w:pPr>
      <w:r w:rsidRPr="000F0D8B">
        <w:rPr>
          <w:rFonts w:asciiTheme="minorHAnsi" w:hAnsiTheme="minorHAnsi" w:cstheme="minorHAnsi"/>
          <w:sz w:val="26"/>
          <w:szCs w:val="26"/>
        </w:rPr>
        <w:t xml:space="preserve">Totodată, Consiliul Superior al Magistraturii menține o colaborare activă în cadrul Rețelei Europene a Consiliilor Judiciare, contribuind la schimburile de bune practici între statele membre și la consolidarea independenței sistemelor judiciare, precum și la sprijinirea implementării unor standarde comune de funcționare a justiției. </w:t>
      </w:r>
    </w:p>
    <w:p w14:paraId="7F859C25" w14:textId="060A1B34" w:rsidR="00B1514A" w:rsidRPr="000F0D8B" w:rsidRDefault="00926D77" w:rsidP="009E3AD8">
      <w:pPr>
        <w:spacing w:line="276" w:lineRule="auto"/>
        <w:ind w:right="26" w:firstLine="720"/>
        <w:jc w:val="both"/>
        <w:rPr>
          <w:rFonts w:asciiTheme="minorHAnsi" w:hAnsiTheme="minorHAnsi" w:cstheme="minorHAnsi"/>
          <w:sz w:val="26"/>
          <w:szCs w:val="26"/>
        </w:rPr>
      </w:pPr>
      <w:r w:rsidRPr="000F0D8B">
        <w:rPr>
          <w:rFonts w:asciiTheme="minorHAnsi" w:hAnsiTheme="minorHAnsi" w:cstheme="minorHAnsi"/>
          <w:sz w:val="26"/>
          <w:szCs w:val="26"/>
        </w:rPr>
        <w:t>Nu în ultimul rând, trebuie menționată preocuparea Consiliului Superior al Magistraturii pentru implementarea proiectelor cu finanțare externă, destinate susținerii diferitelor măsuri incluse în planurile naționale de reformă sau în direcțiile de acțiune ale instituției. În acest sens, au fost făcute demersuri pentru negocierea unor intervenții care fac parte din seria temelor fundamentale pentru reformarea sistemului judiciar, descrise și în obiectivele Strategiei de dezvoltare a sistemului judiciar 2022 – 2025, ce urmează a fi finanțate prin Programul de cooperare elvețiano-român (a doua contribuție) și Mecanismul Financiar Norvegian 2021 – 2028.</w:t>
      </w:r>
    </w:p>
    <w:p w14:paraId="6B79EE5E" w14:textId="764C7FCA" w:rsidR="00D40F2A" w:rsidRPr="006A2E2B" w:rsidRDefault="00AF0B7F" w:rsidP="009E3AD8">
      <w:pPr>
        <w:spacing w:line="276" w:lineRule="auto"/>
        <w:ind w:right="26" w:firstLine="720"/>
        <w:jc w:val="both"/>
        <w:rPr>
          <w:rFonts w:asciiTheme="minorHAnsi" w:hAnsiTheme="minorHAnsi" w:cstheme="minorHAnsi"/>
          <w:b/>
          <w:bCs/>
          <w:color w:val="000000" w:themeColor="text1"/>
          <w:sz w:val="26"/>
          <w:szCs w:val="26"/>
        </w:rPr>
      </w:pPr>
      <w:r w:rsidRPr="006A2E2B">
        <w:rPr>
          <w:rFonts w:asciiTheme="minorHAnsi" w:hAnsiTheme="minorHAnsi" w:cstheme="minorHAnsi"/>
          <w:b/>
          <w:bCs/>
          <w:color w:val="000000" w:themeColor="text1"/>
          <w:sz w:val="26"/>
          <w:szCs w:val="26"/>
        </w:rPr>
        <w:t>Institutul Național al Magistraturii</w:t>
      </w:r>
    </w:p>
    <w:p w14:paraId="5BADEA4D" w14:textId="67282069" w:rsidR="004837B1" w:rsidRPr="004837B1" w:rsidRDefault="004330C1" w:rsidP="009E3AD8">
      <w:pPr>
        <w:pStyle w:val="Heading3"/>
      </w:pPr>
      <w:bookmarkStart w:id="45" w:name="_Toc219287948"/>
      <w:r w:rsidRPr="006A2E2B">
        <w:t>I.5.1. Contribuția I.N.M. în cadrul rețelelor de formare judiciară</w:t>
      </w:r>
      <w:bookmarkEnd w:id="45"/>
    </w:p>
    <w:p w14:paraId="0AA69B9D" w14:textId="2B8E2AF8" w:rsidR="004837B1" w:rsidRDefault="004837B1" w:rsidP="009E3AD8">
      <w:pPr>
        <w:spacing w:line="276" w:lineRule="auto"/>
        <w:ind w:firstLine="708"/>
        <w:jc w:val="both"/>
        <w:rPr>
          <w:rFonts w:asciiTheme="minorHAnsi" w:hAnsiTheme="minorHAnsi" w:cstheme="minorHAnsi"/>
          <w:sz w:val="26"/>
          <w:szCs w:val="26"/>
        </w:rPr>
      </w:pPr>
      <w:r w:rsidRPr="004837B1">
        <w:rPr>
          <w:rFonts w:asciiTheme="minorHAnsi" w:hAnsiTheme="minorHAnsi" w:cstheme="minorHAnsi"/>
          <w:sz w:val="26"/>
          <w:szCs w:val="26"/>
        </w:rPr>
        <w:t xml:space="preserve">În calitatea sa de </w:t>
      </w:r>
      <w:r w:rsidRPr="003C6048">
        <w:rPr>
          <w:rFonts w:asciiTheme="minorHAnsi" w:hAnsiTheme="minorHAnsi" w:cstheme="minorHAnsi"/>
          <w:b/>
          <w:bCs/>
          <w:sz w:val="26"/>
          <w:szCs w:val="26"/>
        </w:rPr>
        <w:t>membru activ al Rețelei Europene de Formare Judiciară (E.J.T.N.)</w:t>
      </w:r>
      <w:r w:rsidRPr="004837B1">
        <w:rPr>
          <w:rFonts w:asciiTheme="minorHAnsi" w:hAnsiTheme="minorHAnsi" w:cstheme="minorHAnsi"/>
          <w:sz w:val="26"/>
          <w:szCs w:val="26"/>
        </w:rPr>
        <w:t>, Institutul Național al Magistraturii (I.N.M.) a continuat, în anul 2025, să participe constant la activitățile și reuniunile organizate sub egida acesteia, contribuind la consolidarea dimensiunii europene a formării judiciare. Participarea reprezentanților I.N.M. la aceste întâlniri a vizat schimbul de bune practici, coordonarea activităților de pregătire pentru magistrați și implicarea directă în procesele decizionale privind orientările strategice ale E.J.T.N..</w:t>
      </w:r>
    </w:p>
    <w:p w14:paraId="251040F4" w14:textId="078B77A9" w:rsidR="00046597" w:rsidRPr="009B146B" w:rsidRDefault="00046597" w:rsidP="009E3AD8">
      <w:pPr>
        <w:spacing w:line="276" w:lineRule="auto"/>
        <w:ind w:firstLine="708"/>
        <w:jc w:val="both"/>
        <w:rPr>
          <w:rFonts w:asciiTheme="minorHAnsi" w:hAnsiTheme="minorHAnsi" w:cstheme="minorHAnsi"/>
          <w:sz w:val="26"/>
          <w:szCs w:val="26"/>
        </w:rPr>
      </w:pPr>
      <w:r w:rsidRPr="00046597">
        <w:rPr>
          <w:rFonts w:asciiTheme="minorHAnsi" w:hAnsiTheme="minorHAnsi" w:cstheme="minorHAnsi"/>
          <w:sz w:val="26"/>
          <w:szCs w:val="26"/>
        </w:rPr>
        <w:t xml:space="preserve">Totodată, </w:t>
      </w:r>
      <w:r w:rsidRPr="00046597">
        <w:rPr>
          <w:rFonts w:asciiTheme="minorHAnsi" w:hAnsiTheme="minorHAnsi" w:cstheme="minorHAnsi"/>
          <w:b/>
          <w:bCs/>
          <w:sz w:val="26"/>
          <w:szCs w:val="26"/>
        </w:rPr>
        <w:t>în calitatea sa de membru al Rețelei Euro - Arabe de Formare Judiciară (E.A.J.T.N.)</w:t>
      </w:r>
      <w:r w:rsidRPr="00046597">
        <w:rPr>
          <w:rFonts w:asciiTheme="minorHAnsi" w:hAnsiTheme="minorHAnsi" w:cstheme="minorHAnsi"/>
          <w:sz w:val="26"/>
          <w:szCs w:val="26"/>
        </w:rPr>
        <w:t xml:space="preserve">, I.N.M. a continuat să promoveze schimbul internațional de experiență în domeniul justiției și să consolideze cooperarea cu instituțiile partenere din statele membre și non-membre ale Uniunii Europene, contribuind astfel la dezvoltarea dialogului euro-arab în domeniul formării </w:t>
      </w:r>
      <w:r w:rsidRPr="00046597">
        <w:rPr>
          <w:rFonts w:asciiTheme="minorHAnsi" w:hAnsiTheme="minorHAnsi" w:cstheme="minorHAnsi"/>
          <w:sz w:val="26"/>
          <w:szCs w:val="26"/>
        </w:rPr>
        <w:lastRenderedPageBreak/>
        <w:t>judiciare și la consolidarea prezenței României în spațiul internațional al instituțiilor de perfecționare a magistraților.</w:t>
      </w:r>
    </w:p>
    <w:p w14:paraId="7CBB0AA9" w14:textId="2836C00F" w:rsidR="00BA2337" w:rsidRPr="004F4243" w:rsidRDefault="00BA2337" w:rsidP="00281400">
      <w:pPr>
        <w:pStyle w:val="ListParagraph"/>
        <w:numPr>
          <w:ilvl w:val="0"/>
          <w:numId w:val="41"/>
        </w:numPr>
        <w:spacing w:after="160" w:line="276" w:lineRule="auto"/>
        <w:jc w:val="both"/>
        <w:rPr>
          <w:rFonts w:asciiTheme="minorHAnsi" w:hAnsiTheme="minorHAnsi" w:cstheme="minorHAnsi"/>
          <w:b/>
          <w:bCs/>
          <w:color w:val="000000" w:themeColor="text1"/>
          <w:sz w:val="26"/>
          <w:szCs w:val="26"/>
        </w:rPr>
      </w:pPr>
      <w:r w:rsidRPr="004F4243">
        <w:rPr>
          <w:rFonts w:asciiTheme="minorHAnsi" w:hAnsiTheme="minorHAnsi" w:cstheme="minorHAnsi"/>
          <w:b/>
          <w:bCs/>
          <w:color w:val="000000" w:themeColor="text1"/>
          <w:sz w:val="26"/>
          <w:szCs w:val="26"/>
        </w:rPr>
        <w:t>Rețeaua Europeană de Formare Judiciară (E.J.T.N./R.E.F.J.)</w:t>
      </w:r>
    </w:p>
    <w:p w14:paraId="272076EA" w14:textId="16880F2E" w:rsidR="004330C1" w:rsidRPr="00AD1817" w:rsidRDefault="004330C1" w:rsidP="009E3AD8">
      <w:pPr>
        <w:spacing w:after="160" w:line="276" w:lineRule="auto"/>
        <w:ind w:firstLine="708"/>
        <w:jc w:val="both"/>
        <w:rPr>
          <w:rFonts w:asciiTheme="minorHAnsi" w:hAnsiTheme="minorHAnsi" w:cstheme="minorHAnsi"/>
          <w:b/>
          <w:bCs/>
          <w:color w:val="000000" w:themeColor="text1"/>
          <w:sz w:val="26"/>
          <w:szCs w:val="26"/>
        </w:rPr>
      </w:pPr>
      <w:r w:rsidRPr="00AD1817">
        <w:rPr>
          <w:rFonts w:asciiTheme="minorHAnsi" w:hAnsiTheme="minorHAnsi" w:cstheme="minorHAnsi"/>
          <w:b/>
          <w:bCs/>
          <w:color w:val="000000" w:themeColor="text1"/>
          <w:sz w:val="26"/>
          <w:szCs w:val="26"/>
        </w:rPr>
        <w:t>Activități și participări E</w:t>
      </w:r>
      <w:r w:rsidR="00000948" w:rsidRPr="00AD1817">
        <w:rPr>
          <w:rFonts w:asciiTheme="minorHAnsi" w:hAnsiTheme="minorHAnsi" w:cstheme="minorHAnsi"/>
          <w:b/>
          <w:bCs/>
          <w:color w:val="000000" w:themeColor="text1"/>
          <w:sz w:val="26"/>
          <w:szCs w:val="26"/>
        </w:rPr>
        <w:t>.</w:t>
      </w:r>
      <w:r w:rsidRPr="00AD1817">
        <w:rPr>
          <w:rFonts w:asciiTheme="minorHAnsi" w:hAnsiTheme="minorHAnsi" w:cstheme="minorHAnsi"/>
          <w:b/>
          <w:bCs/>
          <w:color w:val="000000" w:themeColor="text1"/>
          <w:sz w:val="26"/>
          <w:szCs w:val="26"/>
        </w:rPr>
        <w:t>J</w:t>
      </w:r>
      <w:r w:rsidR="00000948" w:rsidRPr="00AD1817">
        <w:rPr>
          <w:rFonts w:asciiTheme="minorHAnsi" w:hAnsiTheme="minorHAnsi" w:cstheme="minorHAnsi"/>
          <w:b/>
          <w:bCs/>
          <w:color w:val="000000" w:themeColor="text1"/>
          <w:sz w:val="26"/>
          <w:szCs w:val="26"/>
        </w:rPr>
        <w:t>.</w:t>
      </w:r>
      <w:r w:rsidRPr="00AD1817">
        <w:rPr>
          <w:rFonts w:asciiTheme="minorHAnsi" w:hAnsiTheme="minorHAnsi" w:cstheme="minorHAnsi"/>
          <w:b/>
          <w:bCs/>
          <w:color w:val="000000" w:themeColor="text1"/>
          <w:sz w:val="26"/>
          <w:szCs w:val="26"/>
        </w:rPr>
        <w:t>T</w:t>
      </w:r>
      <w:r w:rsidR="00000948" w:rsidRPr="00AD1817">
        <w:rPr>
          <w:rFonts w:asciiTheme="minorHAnsi" w:hAnsiTheme="minorHAnsi" w:cstheme="minorHAnsi"/>
          <w:b/>
          <w:bCs/>
          <w:color w:val="000000" w:themeColor="text1"/>
          <w:sz w:val="26"/>
          <w:szCs w:val="26"/>
        </w:rPr>
        <w:t>.</w:t>
      </w:r>
      <w:r w:rsidRPr="00AD1817">
        <w:rPr>
          <w:rFonts w:asciiTheme="minorHAnsi" w:hAnsiTheme="minorHAnsi" w:cstheme="minorHAnsi"/>
          <w:b/>
          <w:bCs/>
          <w:color w:val="000000" w:themeColor="text1"/>
          <w:sz w:val="26"/>
          <w:szCs w:val="26"/>
        </w:rPr>
        <w:t>N</w:t>
      </w:r>
      <w:r w:rsidR="00000948" w:rsidRPr="00AD1817">
        <w:rPr>
          <w:rFonts w:asciiTheme="minorHAnsi" w:hAnsiTheme="minorHAnsi" w:cstheme="minorHAnsi"/>
          <w:b/>
          <w:bCs/>
          <w:color w:val="000000" w:themeColor="text1"/>
          <w:sz w:val="26"/>
          <w:szCs w:val="26"/>
        </w:rPr>
        <w:t>.</w:t>
      </w:r>
      <w:r w:rsidRPr="00AD1817">
        <w:rPr>
          <w:rFonts w:asciiTheme="minorHAnsi" w:hAnsiTheme="minorHAnsi" w:cstheme="minorHAnsi"/>
          <w:b/>
          <w:bCs/>
          <w:color w:val="000000" w:themeColor="text1"/>
          <w:sz w:val="26"/>
          <w:szCs w:val="26"/>
        </w:rPr>
        <w:t>:</w:t>
      </w:r>
    </w:p>
    <w:p w14:paraId="237EAE19" w14:textId="63B8A9ED" w:rsidR="004330C1" w:rsidRPr="006A2E2B" w:rsidRDefault="004330C1" w:rsidP="009E3AD8">
      <w:pPr>
        <w:spacing w:line="276" w:lineRule="auto"/>
        <w:ind w:firstLine="708"/>
        <w:jc w:val="both"/>
        <w:rPr>
          <w:rFonts w:asciiTheme="minorHAnsi" w:hAnsiTheme="minorHAnsi" w:cstheme="minorHAnsi"/>
          <w:b/>
          <w:bCs/>
          <w:color w:val="000000" w:themeColor="text1"/>
          <w:sz w:val="26"/>
          <w:szCs w:val="26"/>
        </w:rPr>
      </w:pPr>
      <w:r w:rsidRPr="006A2E2B">
        <w:rPr>
          <w:rFonts w:asciiTheme="minorHAnsi" w:hAnsiTheme="minorHAnsi" w:cstheme="minorHAnsi"/>
          <w:color w:val="000000" w:themeColor="text1"/>
          <w:sz w:val="26"/>
          <w:szCs w:val="26"/>
        </w:rPr>
        <w:t>Pe parcursul perioadei ianuarie – septembrie 2025, reprezentanții Institutului au fost prezenți la o serie extinsă de întâlniri și sesiuni de lucru, atât în format online</w:t>
      </w:r>
      <w:r w:rsidR="00852A45">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xml:space="preserve"> cât și față în față, în diverse state membre ale Uniunii Europene:</w:t>
      </w:r>
    </w:p>
    <w:p w14:paraId="4DE9CCAC" w14:textId="7EF0BB91" w:rsidR="004330C1" w:rsidRPr="006A2E2B" w:rsidRDefault="004330C1" w:rsidP="00281400">
      <w:pPr>
        <w:pStyle w:val="ListParagraph"/>
        <w:numPr>
          <w:ilvl w:val="0"/>
          <w:numId w:val="23"/>
        </w:numPr>
        <w:spacing w:line="276" w:lineRule="auto"/>
        <w:ind w:left="1080"/>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 xml:space="preserve">16 ianuarie 2025 – Participarea la întâlnirea anuală online privind accesarea fondurilor europene </w:t>
      </w:r>
      <w:r w:rsidR="00A6273F">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Applying for and implementing EU funded projects: presentation of the EC call for proposals on judicial training 2025”, axată pe prezentarea oportunităților de finanțare europeană în domeniul formării judiciare;</w:t>
      </w:r>
    </w:p>
    <w:p w14:paraId="1D5DC94A" w14:textId="388D6CAD" w:rsidR="004330C1" w:rsidRPr="006A2E2B" w:rsidRDefault="004330C1" w:rsidP="00281400">
      <w:pPr>
        <w:pStyle w:val="ListParagraph"/>
        <w:numPr>
          <w:ilvl w:val="0"/>
          <w:numId w:val="23"/>
        </w:numPr>
        <w:spacing w:line="276" w:lineRule="auto"/>
        <w:ind w:left="1080"/>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20</w:t>
      </w:r>
      <w:r w:rsidR="00A6273F">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w:t>
      </w:r>
      <w:r w:rsidR="00A6273F">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21 ianuarie 2025, Bruxelles (Belgia) – Participarea la întâlnirea anuală E</w:t>
      </w:r>
      <w:r w:rsidR="00605B85">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J</w:t>
      </w:r>
      <w:r w:rsidR="00605B85">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T</w:t>
      </w:r>
      <w:r w:rsidR="00605B85">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N</w:t>
      </w:r>
      <w:r w:rsidR="00605B85">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xml:space="preserve"> cu Comisia Europeană și partenerii LOT 4, dedicată analizării nevoilor de formare juridică la nivel european;</w:t>
      </w:r>
    </w:p>
    <w:p w14:paraId="31FFD774" w14:textId="77777777" w:rsidR="004330C1" w:rsidRPr="006A2E2B" w:rsidRDefault="004330C1" w:rsidP="00281400">
      <w:pPr>
        <w:pStyle w:val="ListParagraph"/>
        <w:numPr>
          <w:ilvl w:val="0"/>
          <w:numId w:val="23"/>
        </w:numPr>
        <w:spacing w:line="276" w:lineRule="auto"/>
        <w:ind w:left="1080"/>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28 ianuarie 2025 – Participarea la reuniunea online a Grupului ad hoc privind instrumentele de evaluare, având ca scop perfecționarea metodelor de analiză și monitorizare a rezultatelor în procesul educațional;</w:t>
      </w:r>
    </w:p>
    <w:p w14:paraId="3EF94020" w14:textId="4C813C63" w:rsidR="004330C1" w:rsidRPr="006A2E2B" w:rsidRDefault="00FC5BDC" w:rsidP="00281400">
      <w:pPr>
        <w:pStyle w:val="ListParagraph"/>
        <w:numPr>
          <w:ilvl w:val="0"/>
          <w:numId w:val="23"/>
        </w:numPr>
        <w:spacing w:line="276" w:lineRule="auto"/>
        <w:ind w:left="1080"/>
        <w:jc w:val="both"/>
        <w:rPr>
          <w:rFonts w:asciiTheme="minorHAnsi" w:hAnsiTheme="minorHAnsi" w:cstheme="minorHAnsi"/>
          <w:color w:val="000000" w:themeColor="text1"/>
          <w:sz w:val="26"/>
          <w:szCs w:val="26"/>
        </w:rPr>
      </w:pPr>
      <w:r>
        <w:rPr>
          <w:rFonts w:asciiTheme="minorHAnsi" w:hAnsiTheme="minorHAnsi" w:cstheme="minorHAnsi"/>
          <w:color w:val="000000" w:themeColor="text1"/>
          <w:sz w:val="26"/>
          <w:szCs w:val="26"/>
        </w:rPr>
        <w:t>0</w:t>
      </w:r>
      <w:r w:rsidR="004330C1" w:rsidRPr="006A2E2B">
        <w:rPr>
          <w:rFonts w:asciiTheme="minorHAnsi" w:hAnsiTheme="minorHAnsi" w:cstheme="minorHAnsi"/>
          <w:color w:val="000000" w:themeColor="text1"/>
          <w:sz w:val="26"/>
          <w:szCs w:val="26"/>
        </w:rPr>
        <w:t>6</w:t>
      </w:r>
      <w:r w:rsidR="00605B85">
        <w:rPr>
          <w:rFonts w:asciiTheme="minorHAnsi" w:hAnsiTheme="minorHAnsi" w:cstheme="minorHAnsi"/>
          <w:color w:val="000000" w:themeColor="text1"/>
          <w:sz w:val="26"/>
          <w:szCs w:val="26"/>
        </w:rPr>
        <w:t xml:space="preserve"> </w:t>
      </w:r>
      <w:r w:rsidR="004330C1" w:rsidRPr="006A2E2B">
        <w:rPr>
          <w:rFonts w:asciiTheme="minorHAnsi" w:hAnsiTheme="minorHAnsi" w:cstheme="minorHAnsi"/>
          <w:color w:val="000000" w:themeColor="text1"/>
          <w:sz w:val="26"/>
          <w:szCs w:val="26"/>
        </w:rPr>
        <w:t>–</w:t>
      </w:r>
      <w:r w:rsidR="00605B85">
        <w:rPr>
          <w:rFonts w:asciiTheme="minorHAnsi" w:hAnsiTheme="minorHAnsi" w:cstheme="minorHAnsi"/>
          <w:color w:val="000000" w:themeColor="text1"/>
          <w:sz w:val="26"/>
          <w:szCs w:val="26"/>
        </w:rPr>
        <w:t xml:space="preserve"> </w:t>
      </w:r>
      <w:r>
        <w:rPr>
          <w:rFonts w:asciiTheme="minorHAnsi" w:hAnsiTheme="minorHAnsi" w:cstheme="minorHAnsi"/>
          <w:color w:val="000000" w:themeColor="text1"/>
          <w:sz w:val="26"/>
          <w:szCs w:val="26"/>
        </w:rPr>
        <w:t>0</w:t>
      </w:r>
      <w:r w:rsidR="004330C1" w:rsidRPr="006A2E2B">
        <w:rPr>
          <w:rFonts w:asciiTheme="minorHAnsi" w:hAnsiTheme="minorHAnsi" w:cstheme="minorHAnsi"/>
          <w:color w:val="000000" w:themeColor="text1"/>
          <w:sz w:val="26"/>
          <w:szCs w:val="26"/>
        </w:rPr>
        <w:t>7</w:t>
      </w:r>
      <w:r w:rsidR="001C16DD">
        <w:rPr>
          <w:rFonts w:asciiTheme="minorHAnsi" w:hAnsiTheme="minorHAnsi" w:cstheme="minorHAnsi"/>
          <w:color w:val="000000" w:themeColor="text1"/>
          <w:sz w:val="26"/>
          <w:szCs w:val="26"/>
        </w:rPr>
        <w:t xml:space="preserve"> februarie </w:t>
      </w:r>
      <w:r w:rsidR="004330C1" w:rsidRPr="006A2E2B">
        <w:rPr>
          <w:rFonts w:asciiTheme="minorHAnsi" w:hAnsiTheme="minorHAnsi" w:cstheme="minorHAnsi"/>
          <w:color w:val="000000" w:themeColor="text1"/>
          <w:sz w:val="26"/>
          <w:szCs w:val="26"/>
        </w:rPr>
        <w:t>2025, Porto (Portugalia) – Participarea la reuniunea Comitetului de Pilotaj (Steering Committee) al E</w:t>
      </w:r>
      <w:r w:rsidR="00605B85">
        <w:rPr>
          <w:rFonts w:asciiTheme="minorHAnsi" w:hAnsiTheme="minorHAnsi" w:cstheme="minorHAnsi"/>
          <w:color w:val="000000" w:themeColor="text1"/>
          <w:sz w:val="26"/>
          <w:szCs w:val="26"/>
        </w:rPr>
        <w:t>.</w:t>
      </w:r>
      <w:r w:rsidR="004330C1" w:rsidRPr="006A2E2B">
        <w:rPr>
          <w:rFonts w:asciiTheme="minorHAnsi" w:hAnsiTheme="minorHAnsi" w:cstheme="minorHAnsi"/>
          <w:color w:val="000000" w:themeColor="text1"/>
          <w:sz w:val="26"/>
          <w:szCs w:val="26"/>
        </w:rPr>
        <w:t>J</w:t>
      </w:r>
      <w:r w:rsidR="00605B85">
        <w:rPr>
          <w:rFonts w:asciiTheme="minorHAnsi" w:hAnsiTheme="minorHAnsi" w:cstheme="minorHAnsi"/>
          <w:color w:val="000000" w:themeColor="text1"/>
          <w:sz w:val="26"/>
          <w:szCs w:val="26"/>
        </w:rPr>
        <w:t>.</w:t>
      </w:r>
      <w:r w:rsidR="004330C1" w:rsidRPr="006A2E2B">
        <w:rPr>
          <w:rFonts w:asciiTheme="minorHAnsi" w:hAnsiTheme="minorHAnsi" w:cstheme="minorHAnsi"/>
          <w:color w:val="000000" w:themeColor="text1"/>
          <w:sz w:val="26"/>
          <w:szCs w:val="26"/>
        </w:rPr>
        <w:t>T</w:t>
      </w:r>
      <w:r w:rsidR="00605B85">
        <w:rPr>
          <w:rFonts w:asciiTheme="minorHAnsi" w:hAnsiTheme="minorHAnsi" w:cstheme="minorHAnsi"/>
          <w:color w:val="000000" w:themeColor="text1"/>
          <w:sz w:val="26"/>
          <w:szCs w:val="26"/>
        </w:rPr>
        <w:t>.</w:t>
      </w:r>
      <w:r w:rsidR="004330C1" w:rsidRPr="006A2E2B">
        <w:rPr>
          <w:rFonts w:asciiTheme="minorHAnsi" w:hAnsiTheme="minorHAnsi" w:cstheme="minorHAnsi"/>
          <w:color w:val="000000" w:themeColor="text1"/>
          <w:sz w:val="26"/>
          <w:szCs w:val="26"/>
        </w:rPr>
        <w:t>N</w:t>
      </w:r>
      <w:r w:rsidR="00605B85">
        <w:rPr>
          <w:rFonts w:asciiTheme="minorHAnsi" w:hAnsiTheme="minorHAnsi" w:cstheme="minorHAnsi"/>
          <w:color w:val="000000" w:themeColor="text1"/>
          <w:sz w:val="26"/>
          <w:szCs w:val="26"/>
        </w:rPr>
        <w:t>.</w:t>
      </w:r>
      <w:r w:rsidR="004330C1" w:rsidRPr="006A2E2B">
        <w:rPr>
          <w:rFonts w:asciiTheme="minorHAnsi" w:hAnsiTheme="minorHAnsi" w:cstheme="minorHAnsi"/>
          <w:color w:val="000000" w:themeColor="text1"/>
          <w:sz w:val="26"/>
          <w:szCs w:val="26"/>
        </w:rPr>
        <w:t>;</w:t>
      </w:r>
    </w:p>
    <w:p w14:paraId="7B1DF44C" w14:textId="5A1C91DA" w:rsidR="004330C1" w:rsidRPr="006A2E2B" w:rsidRDefault="004330C1" w:rsidP="00281400">
      <w:pPr>
        <w:pStyle w:val="ListParagraph"/>
        <w:numPr>
          <w:ilvl w:val="0"/>
          <w:numId w:val="23"/>
        </w:numPr>
        <w:spacing w:line="276" w:lineRule="auto"/>
        <w:ind w:left="1080"/>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12</w:t>
      </w:r>
      <w:r w:rsidR="00605B85">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w:t>
      </w:r>
      <w:r w:rsidR="00605B85">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13</w:t>
      </w:r>
      <w:r w:rsidR="001C16DD">
        <w:rPr>
          <w:rFonts w:asciiTheme="minorHAnsi" w:hAnsiTheme="minorHAnsi" w:cstheme="minorHAnsi"/>
          <w:color w:val="000000" w:themeColor="text1"/>
          <w:sz w:val="26"/>
          <w:szCs w:val="26"/>
        </w:rPr>
        <w:t xml:space="preserve"> februarie </w:t>
      </w:r>
      <w:r w:rsidRPr="006A2E2B">
        <w:rPr>
          <w:rFonts w:asciiTheme="minorHAnsi" w:hAnsiTheme="minorHAnsi" w:cstheme="minorHAnsi"/>
          <w:color w:val="000000" w:themeColor="text1"/>
          <w:sz w:val="26"/>
          <w:szCs w:val="26"/>
        </w:rPr>
        <w:t>2025, Bruxelles (Belgia) – Participarea la reuniunea Sub-grupului „Drept administrativ”, coordonat de I</w:t>
      </w:r>
      <w:r w:rsidR="00605B85">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N</w:t>
      </w:r>
      <w:r w:rsidR="00605B85">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M</w:t>
      </w:r>
      <w:r w:rsidR="00605B85">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fiind reafirmat rolul de lider instituțional în această tematică la nivel european;</w:t>
      </w:r>
    </w:p>
    <w:p w14:paraId="4731FE4C" w14:textId="6A3EBC96" w:rsidR="004330C1" w:rsidRPr="006A2E2B" w:rsidRDefault="004330C1" w:rsidP="00281400">
      <w:pPr>
        <w:pStyle w:val="ListParagraph"/>
        <w:numPr>
          <w:ilvl w:val="0"/>
          <w:numId w:val="23"/>
        </w:numPr>
        <w:spacing w:line="276" w:lineRule="auto"/>
        <w:ind w:left="1080"/>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18</w:t>
      </w:r>
      <w:r w:rsidR="00605B85">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w:t>
      </w:r>
      <w:r w:rsidR="00605B85">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19</w:t>
      </w:r>
      <w:r w:rsidR="001C16DD">
        <w:rPr>
          <w:rFonts w:asciiTheme="minorHAnsi" w:hAnsiTheme="minorHAnsi" w:cstheme="minorHAnsi"/>
          <w:color w:val="000000" w:themeColor="text1"/>
          <w:sz w:val="26"/>
          <w:szCs w:val="26"/>
        </w:rPr>
        <w:t xml:space="preserve"> februarie </w:t>
      </w:r>
      <w:r w:rsidRPr="006A2E2B">
        <w:rPr>
          <w:rFonts w:asciiTheme="minorHAnsi" w:hAnsiTheme="minorHAnsi" w:cstheme="minorHAnsi"/>
          <w:color w:val="000000" w:themeColor="text1"/>
          <w:sz w:val="26"/>
          <w:szCs w:val="26"/>
        </w:rPr>
        <w:t>2025 – Participarea online la reuniunea Sub-grupului „Drept civil”;</w:t>
      </w:r>
    </w:p>
    <w:p w14:paraId="63F578A8" w14:textId="795FFF1B" w:rsidR="004330C1" w:rsidRPr="006A2E2B" w:rsidRDefault="004330C1" w:rsidP="00281400">
      <w:pPr>
        <w:pStyle w:val="ListParagraph"/>
        <w:numPr>
          <w:ilvl w:val="0"/>
          <w:numId w:val="23"/>
        </w:numPr>
        <w:spacing w:line="276" w:lineRule="auto"/>
        <w:ind w:left="1080"/>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20</w:t>
      </w:r>
      <w:r w:rsidR="00605B85">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w:t>
      </w:r>
      <w:r w:rsidR="00605B85">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21</w:t>
      </w:r>
      <w:r w:rsidR="001C16DD">
        <w:rPr>
          <w:rFonts w:asciiTheme="minorHAnsi" w:hAnsiTheme="minorHAnsi" w:cstheme="minorHAnsi"/>
          <w:color w:val="000000" w:themeColor="text1"/>
          <w:sz w:val="26"/>
          <w:szCs w:val="26"/>
        </w:rPr>
        <w:t xml:space="preserve"> februarie </w:t>
      </w:r>
      <w:r w:rsidRPr="006A2E2B">
        <w:rPr>
          <w:rFonts w:asciiTheme="minorHAnsi" w:hAnsiTheme="minorHAnsi" w:cstheme="minorHAnsi"/>
          <w:color w:val="000000" w:themeColor="text1"/>
          <w:sz w:val="26"/>
          <w:szCs w:val="26"/>
        </w:rPr>
        <w:t>2025, Praga (Republica Cehă) – Participarea la lucrările Grupului „Metodologii de formare judiciară (Judicial Training Methods – JTM)”;</w:t>
      </w:r>
    </w:p>
    <w:p w14:paraId="5B22B712" w14:textId="7B966857" w:rsidR="004330C1" w:rsidRPr="006A2E2B" w:rsidRDefault="004330C1" w:rsidP="00281400">
      <w:pPr>
        <w:pStyle w:val="ListParagraph"/>
        <w:numPr>
          <w:ilvl w:val="0"/>
          <w:numId w:val="23"/>
        </w:numPr>
        <w:spacing w:line="276" w:lineRule="auto"/>
        <w:ind w:left="1080"/>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25</w:t>
      </w:r>
      <w:r w:rsidR="00605B85">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w:t>
      </w:r>
      <w:r w:rsidR="00605B85">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26</w:t>
      </w:r>
      <w:r w:rsidR="001C16DD">
        <w:rPr>
          <w:rFonts w:asciiTheme="minorHAnsi" w:hAnsiTheme="minorHAnsi" w:cstheme="minorHAnsi"/>
          <w:color w:val="000000" w:themeColor="text1"/>
          <w:sz w:val="26"/>
          <w:szCs w:val="26"/>
        </w:rPr>
        <w:t xml:space="preserve"> februarie </w:t>
      </w:r>
      <w:r w:rsidRPr="006A2E2B">
        <w:rPr>
          <w:rFonts w:asciiTheme="minorHAnsi" w:hAnsiTheme="minorHAnsi" w:cstheme="minorHAnsi"/>
          <w:color w:val="000000" w:themeColor="text1"/>
          <w:sz w:val="26"/>
          <w:szCs w:val="26"/>
        </w:rPr>
        <w:t>2025 – Participarea online la reuniunea Sub-grupului „Drept penal”;</w:t>
      </w:r>
    </w:p>
    <w:p w14:paraId="5DD618E9" w14:textId="29B0D350" w:rsidR="004330C1" w:rsidRPr="006A2E2B" w:rsidRDefault="00417797" w:rsidP="00281400">
      <w:pPr>
        <w:pStyle w:val="ListParagraph"/>
        <w:numPr>
          <w:ilvl w:val="0"/>
          <w:numId w:val="23"/>
        </w:numPr>
        <w:spacing w:line="276" w:lineRule="auto"/>
        <w:ind w:left="1080"/>
        <w:jc w:val="both"/>
        <w:rPr>
          <w:rFonts w:asciiTheme="minorHAnsi" w:hAnsiTheme="minorHAnsi" w:cstheme="minorHAnsi"/>
          <w:color w:val="000000" w:themeColor="text1"/>
          <w:sz w:val="26"/>
          <w:szCs w:val="26"/>
        </w:rPr>
      </w:pPr>
      <w:r>
        <w:rPr>
          <w:rFonts w:asciiTheme="minorHAnsi" w:hAnsiTheme="minorHAnsi" w:cstheme="minorHAnsi"/>
          <w:color w:val="000000" w:themeColor="text1"/>
          <w:sz w:val="26"/>
          <w:szCs w:val="26"/>
        </w:rPr>
        <w:t>0</w:t>
      </w:r>
      <w:r w:rsidR="004330C1" w:rsidRPr="006A2E2B">
        <w:rPr>
          <w:rFonts w:asciiTheme="minorHAnsi" w:hAnsiTheme="minorHAnsi" w:cstheme="minorHAnsi"/>
          <w:color w:val="000000" w:themeColor="text1"/>
          <w:sz w:val="26"/>
          <w:szCs w:val="26"/>
        </w:rPr>
        <w:t>4 martie 2025 – Participarea la întâlnirea online a Comitetului de Pilotaj;</w:t>
      </w:r>
    </w:p>
    <w:p w14:paraId="798687A5" w14:textId="77777777" w:rsidR="004330C1" w:rsidRPr="006A2E2B" w:rsidRDefault="004330C1" w:rsidP="00281400">
      <w:pPr>
        <w:pStyle w:val="ListParagraph"/>
        <w:numPr>
          <w:ilvl w:val="0"/>
          <w:numId w:val="23"/>
        </w:numPr>
        <w:spacing w:line="276" w:lineRule="auto"/>
        <w:ind w:left="1080"/>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10 martie 2025 – Participarea la reuniunea online a Grupului de lucru „Lingvistic”;</w:t>
      </w:r>
    </w:p>
    <w:p w14:paraId="390EBF73" w14:textId="3DC8D8D2" w:rsidR="004330C1" w:rsidRPr="006A2E2B" w:rsidRDefault="004330C1" w:rsidP="00281400">
      <w:pPr>
        <w:pStyle w:val="ListParagraph"/>
        <w:numPr>
          <w:ilvl w:val="0"/>
          <w:numId w:val="23"/>
        </w:numPr>
        <w:spacing w:line="276" w:lineRule="auto"/>
        <w:ind w:left="1080"/>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19</w:t>
      </w:r>
      <w:r w:rsidR="0093409D">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w:t>
      </w:r>
      <w:r w:rsidR="0093409D">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21</w:t>
      </w:r>
      <w:r w:rsidR="001C16DD">
        <w:rPr>
          <w:rFonts w:asciiTheme="minorHAnsi" w:hAnsiTheme="minorHAnsi" w:cstheme="minorHAnsi"/>
          <w:color w:val="000000" w:themeColor="text1"/>
          <w:sz w:val="26"/>
          <w:szCs w:val="26"/>
        </w:rPr>
        <w:t xml:space="preserve"> martie </w:t>
      </w:r>
      <w:r w:rsidRPr="006A2E2B">
        <w:rPr>
          <w:rFonts w:asciiTheme="minorHAnsi" w:hAnsiTheme="minorHAnsi" w:cstheme="minorHAnsi"/>
          <w:color w:val="000000" w:themeColor="text1"/>
          <w:sz w:val="26"/>
          <w:szCs w:val="26"/>
        </w:rPr>
        <w:t>2025, Paris (Franța) – Participarea la primul modul al ciclului de seminare Cycle Approfondi du Numérique/CANUM, dedicat digitalizării în justiție;</w:t>
      </w:r>
    </w:p>
    <w:p w14:paraId="05D37805" w14:textId="1D1ED82D" w:rsidR="004330C1" w:rsidRPr="006A2E2B" w:rsidRDefault="004330C1" w:rsidP="00281400">
      <w:pPr>
        <w:pStyle w:val="ListParagraph"/>
        <w:numPr>
          <w:ilvl w:val="0"/>
          <w:numId w:val="23"/>
        </w:numPr>
        <w:spacing w:line="276" w:lineRule="auto"/>
        <w:ind w:left="1080"/>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20</w:t>
      </w:r>
      <w:r w:rsidR="0093409D">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w:t>
      </w:r>
      <w:r w:rsidR="0093409D">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21</w:t>
      </w:r>
      <w:r w:rsidR="001C16DD">
        <w:rPr>
          <w:rFonts w:asciiTheme="minorHAnsi" w:hAnsiTheme="minorHAnsi" w:cstheme="minorHAnsi"/>
          <w:color w:val="000000" w:themeColor="text1"/>
          <w:sz w:val="26"/>
          <w:szCs w:val="26"/>
        </w:rPr>
        <w:t xml:space="preserve"> martie </w:t>
      </w:r>
      <w:r w:rsidRPr="006A2E2B">
        <w:rPr>
          <w:rFonts w:asciiTheme="minorHAnsi" w:hAnsiTheme="minorHAnsi" w:cstheme="minorHAnsi"/>
          <w:color w:val="000000" w:themeColor="text1"/>
          <w:sz w:val="26"/>
          <w:szCs w:val="26"/>
        </w:rPr>
        <w:t>2025 – Participarea online la întâlnirea anuală a punctelor naționale de contact pentru „Programul de schimb”;</w:t>
      </w:r>
    </w:p>
    <w:p w14:paraId="1CB0181B" w14:textId="630A8666" w:rsidR="004330C1" w:rsidRPr="006A2E2B" w:rsidRDefault="004330C1" w:rsidP="00281400">
      <w:pPr>
        <w:pStyle w:val="ListParagraph"/>
        <w:numPr>
          <w:ilvl w:val="0"/>
          <w:numId w:val="23"/>
        </w:numPr>
        <w:spacing w:line="276" w:lineRule="auto"/>
        <w:ind w:left="1080"/>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25</w:t>
      </w:r>
      <w:r w:rsidR="0093409D">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w:t>
      </w:r>
      <w:r w:rsidR="0093409D">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26</w:t>
      </w:r>
      <w:r w:rsidR="001C16DD">
        <w:rPr>
          <w:rFonts w:asciiTheme="minorHAnsi" w:hAnsiTheme="minorHAnsi" w:cstheme="minorHAnsi"/>
          <w:color w:val="000000" w:themeColor="text1"/>
          <w:sz w:val="26"/>
          <w:szCs w:val="26"/>
        </w:rPr>
        <w:t xml:space="preserve"> martie </w:t>
      </w:r>
      <w:r w:rsidRPr="006A2E2B">
        <w:rPr>
          <w:rFonts w:asciiTheme="minorHAnsi" w:hAnsiTheme="minorHAnsi" w:cstheme="minorHAnsi"/>
          <w:color w:val="000000" w:themeColor="text1"/>
          <w:sz w:val="26"/>
          <w:szCs w:val="26"/>
        </w:rPr>
        <w:t>2025, Vilnius (Lituania) – Participarea online la reuniunea Grupului de lucru „Program de schimb”;</w:t>
      </w:r>
    </w:p>
    <w:p w14:paraId="2A9997CE" w14:textId="5E9151B6" w:rsidR="004330C1" w:rsidRPr="006A2E2B" w:rsidRDefault="00417797" w:rsidP="00281400">
      <w:pPr>
        <w:pStyle w:val="ListParagraph"/>
        <w:numPr>
          <w:ilvl w:val="0"/>
          <w:numId w:val="23"/>
        </w:numPr>
        <w:spacing w:line="276" w:lineRule="auto"/>
        <w:ind w:left="1080"/>
        <w:jc w:val="both"/>
        <w:rPr>
          <w:rFonts w:asciiTheme="minorHAnsi" w:hAnsiTheme="minorHAnsi" w:cstheme="minorHAnsi"/>
          <w:color w:val="000000" w:themeColor="text1"/>
          <w:sz w:val="26"/>
          <w:szCs w:val="26"/>
        </w:rPr>
      </w:pPr>
      <w:r>
        <w:rPr>
          <w:rFonts w:asciiTheme="minorHAnsi" w:hAnsiTheme="minorHAnsi" w:cstheme="minorHAnsi"/>
          <w:color w:val="000000" w:themeColor="text1"/>
          <w:sz w:val="26"/>
          <w:szCs w:val="26"/>
        </w:rPr>
        <w:t>0</w:t>
      </w:r>
      <w:r w:rsidR="004330C1" w:rsidRPr="006A2E2B">
        <w:rPr>
          <w:rFonts w:asciiTheme="minorHAnsi" w:hAnsiTheme="minorHAnsi" w:cstheme="minorHAnsi"/>
          <w:color w:val="000000" w:themeColor="text1"/>
          <w:sz w:val="26"/>
          <w:szCs w:val="26"/>
        </w:rPr>
        <w:t>1</w:t>
      </w:r>
      <w:r w:rsidR="005A61F1">
        <w:rPr>
          <w:rFonts w:asciiTheme="minorHAnsi" w:hAnsiTheme="minorHAnsi" w:cstheme="minorHAnsi"/>
          <w:color w:val="000000" w:themeColor="text1"/>
          <w:sz w:val="26"/>
          <w:szCs w:val="26"/>
        </w:rPr>
        <w:t xml:space="preserve"> </w:t>
      </w:r>
      <w:r w:rsidR="004330C1" w:rsidRPr="006A2E2B">
        <w:rPr>
          <w:rFonts w:asciiTheme="minorHAnsi" w:hAnsiTheme="minorHAnsi" w:cstheme="minorHAnsi"/>
          <w:color w:val="000000" w:themeColor="text1"/>
          <w:sz w:val="26"/>
          <w:szCs w:val="26"/>
        </w:rPr>
        <w:t>–</w:t>
      </w:r>
      <w:r w:rsidR="005A61F1">
        <w:rPr>
          <w:rFonts w:asciiTheme="minorHAnsi" w:hAnsiTheme="minorHAnsi" w:cstheme="minorHAnsi"/>
          <w:color w:val="000000" w:themeColor="text1"/>
          <w:sz w:val="26"/>
          <w:szCs w:val="26"/>
        </w:rPr>
        <w:t xml:space="preserve"> </w:t>
      </w:r>
      <w:r>
        <w:rPr>
          <w:rFonts w:asciiTheme="minorHAnsi" w:hAnsiTheme="minorHAnsi" w:cstheme="minorHAnsi"/>
          <w:color w:val="000000" w:themeColor="text1"/>
          <w:sz w:val="26"/>
          <w:szCs w:val="26"/>
        </w:rPr>
        <w:t>0</w:t>
      </w:r>
      <w:r w:rsidR="004330C1" w:rsidRPr="006A2E2B">
        <w:rPr>
          <w:rFonts w:asciiTheme="minorHAnsi" w:hAnsiTheme="minorHAnsi" w:cstheme="minorHAnsi"/>
          <w:color w:val="000000" w:themeColor="text1"/>
          <w:sz w:val="26"/>
          <w:szCs w:val="26"/>
        </w:rPr>
        <w:t>3</w:t>
      </w:r>
      <w:r w:rsidR="001C16DD">
        <w:rPr>
          <w:rFonts w:asciiTheme="minorHAnsi" w:hAnsiTheme="minorHAnsi" w:cstheme="minorHAnsi"/>
          <w:color w:val="000000" w:themeColor="text1"/>
          <w:sz w:val="26"/>
          <w:szCs w:val="26"/>
        </w:rPr>
        <w:t xml:space="preserve"> aprilie </w:t>
      </w:r>
      <w:r w:rsidR="004330C1" w:rsidRPr="006A2E2B">
        <w:rPr>
          <w:rFonts w:asciiTheme="minorHAnsi" w:hAnsiTheme="minorHAnsi" w:cstheme="minorHAnsi"/>
          <w:color w:val="000000" w:themeColor="text1"/>
          <w:sz w:val="26"/>
          <w:szCs w:val="26"/>
        </w:rPr>
        <w:t>2025, Lisabona (Portugalia) – Participarea la reuniunea Grupului „Digitalizare” și la prima conferință a acestuia, evenimente organizate în contextul priorităților europene privind transformarea digitală;</w:t>
      </w:r>
    </w:p>
    <w:p w14:paraId="61618510" w14:textId="7A264DDB" w:rsidR="004330C1" w:rsidRPr="006A2E2B" w:rsidRDefault="004330C1" w:rsidP="00281400">
      <w:pPr>
        <w:pStyle w:val="ListParagraph"/>
        <w:numPr>
          <w:ilvl w:val="0"/>
          <w:numId w:val="23"/>
        </w:numPr>
        <w:spacing w:line="276" w:lineRule="auto"/>
        <w:ind w:left="1080"/>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9</w:t>
      </w:r>
      <w:r w:rsidR="005A61F1">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w:t>
      </w:r>
      <w:r w:rsidR="005A61F1">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10</w:t>
      </w:r>
      <w:r w:rsidR="001C16DD">
        <w:rPr>
          <w:rFonts w:asciiTheme="minorHAnsi" w:hAnsiTheme="minorHAnsi" w:cstheme="minorHAnsi"/>
          <w:color w:val="000000" w:themeColor="text1"/>
          <w:sz w:val="26"/>
          <w:szCs w:val="26"/>
        </w:rPr>
        <w:t xml:space="preserve"> aprilie </w:t>
      </w:r>
      <w:r w:rsidRPr="006A2E2B">
        <w:rPr>
          <w:rFonts w:asciiTheme="minorHAnsi" w:hAnsiTheme="minorHAnsi" w:cstheme="minorHAnsi"/>
          <w:color w:val="000000" w:themeColor="text1"/>
          <w:sz w:val="26"/>
          <w:szCs w:val="26"/>
        </w:rPr>
        <w:t>2025, Salonic (Grecia) – Participarea la reuniunea Grupului „Programe”;</w:t>
      </w:r>
    </w:p>
    <w:p w14:paraId="753A9EBC" w14:textId="3E854D4A" w:rsidR="004330C1" w:rsidRPr="006A2E2B" w:rsidRDefault="004330C1" w:rsidP="00281400">
      <w:pPr>
        <w:pStyle w:val="ListParagraph"/>
        <w:numPr>
          <w:ilvl w:val="0"/>
          <w:numId w:val="23"/>
        </w:numPr>
        <w:spacing w:line="276" w:lineRule="auto"/>
        <w:ind w:left="1080"/>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28 aprilie 2025 – Participarea la întâlnirea online a Comitetului de Pilotaj al E</w:t>
      </w:r>
      <w:r w:rsidR="005A61F1">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J</w:t>
      </w:r>
      <w:r w:rsidR="005A61F1">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T</w:t>
      </w:r>
      <w:r w:rsidR="005A61F1">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N</w:t>
      </w:r>
      <w:r w:rsidR="005A61F1">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w:t>
      </w:r>
    </w:p>
    <w:p w14:paraId="64E89006" w14:textId="00FF3EAF" w:rsidR="004330C1" w:rsidRPr="006A2E2B" w:rsidRDefault="008A5AEB" w:rsidP="00281400">
      <w:pPr>
        <w:pStyle w:val="ListParagraph"/>
        <w:numPr>
          <w:ilvl w:val="0"/>
          <w:numId w:val="23"/>
        </w:numPr>
        <w:spacing w:line="276" w:lineRule="auto"/>
        <w:ind w:left="1080"/>
        <w:jc w:val="both"/>
        <w:rPr>
          <w:rFonts w:asciiTheme="minorHAnsi" w:hAnsiTheme="minorHAnsi" w:cstheme="minorHAnsi"/>
          <w:color w:val="000000" w:themeColor="text1"/>
          <w:sz w:val="26"/>
          <w:szCs w:val="26"/>
        </w:rPr>
      </w:pPr>
      <w:r>
        <w:rPr>
          <w:rFonts w:asciiTheme="minorHAnsi" w:hAnsiTheme="minorHAnsi" w:cstheme="minorHAnsi"/>
          <w:color w:val="000000" w:themeColor="text1"/>
          <w:sz w:val="26"/>
          <w:szCs w:val="26"/>
        </w:rPr>
        <w:t>0</w:t>
      </w:r>
      <w:r w:rsidR="004330C1" w:rsidRPr="006A2E2B">
        <w:rPr>
          <w:rFonts w:asciiTheme="minorHAnsi" w:hAnsiTheme="minorHAnsi" w:cstheme="minorHAnsi"/>
          <w:color w:val="000000" w:themeColor="text1"/>
          <w:sz w:val="26"/>
          <w:szCs w:val="26"/>
        </w:rPr>
        <w:t>6</w:t>
      </w:r>
      <w:r w:rsidR="005A61F1">
        <w:rPr>
          <w:rFonts w:asciiTheme="minorHAnsi" w:hAnsiTheme="minorHAnsi" w:cstheme="minorHAnsi"/>
          <w:color w:val="000000" w:themeColor="text1"/>
          <w:sz w:val="26"/>
          <w:szCs w:val="26"/>
        </w:rPr>
        <w:t xml:space="preserve"> </w:t>
      </w:r>
      <w:r w:rsidR="004330C1" w:rsidRPr="006A2E2B">
        <w:rPr>
          <w:rFonts w:asciiTheme="minorHAnsi" w:hAnsiTheme="minorHAnsi" w:cstheme="minorHAnsi"/>
          <w:color w:val="000000" w:themeColor="text1"/>
          <w:sz w:val="26"/>
          <w:szCs w:val="26"/>
        </w:rPr>
        <w:t>–</w:t>
      </w:r>
      <w:r w:rsidR="005A61F1">
        <w:rPr>
          <w:rFonts w:asciiTheme="minorHAnsi" w:hAnsiTheme="minorHAnsi" w:cstheme="minorHAnsi"/>
          <w:color w:val="000000" w:themeColor="text1"/>
          <w:sz w:val="26"/>
          <w:szCs w:val="26"/>
        </w:rPr>
        <w:t xml:space="preserve"> </w:t>
      </w:r>
      <w:r>
        <w:rPr>
          <w:rFonts w:asciiTheme="minorHAnsi" w:hAnsiTheme="minorHAnsi" w:cstheme="minorHAnsi"/>
          <w:color w:val="000000" w:themeColor="text1"/>
          <w:sz w:val="26"/>
          <w:szCs w:val="26"/>
        </w:rPr>
        <w:t>0</w:t>
      </w:r>
      <w:r w:rsidR="004330C1" w:rsidRPr="006A2E2B">
        <w:rPr>
          <w:rFonts w:asciiTheme="minorHAnsi" w:hAnsiTheme="minorHAnsi" w:cstheme="minorHAnsi"/>
          <w:color w:val="000000" w:themeColor="text1"/>
          <w:sz w:val="26"/>
          <w:szCs w:val="26"/>
        </w:rPr>
        <w:t>7</w:t>
      </w:r>
      <w:r w:rsidR="001C16DD">
        <w:rPr>
          <w:rFonts w:asciiTheme="minorHAnsi" w:hAnsiTheme="minorHAnsi" w:cstheme="minorHAnsi"/>
          <w:color w:val="000000" w:themeColor="text1"/>
          <w:sz w:val="26"/>
          <w:szCs w:val="26"/>
        </w:rPr>
        <w:t xml:space="preserve"> mai </w:t>
      </w:r>
      <w:r w:rsidR="004330C1" w:rsidRPr="006A2E2B">
        <w:rPr>
          <w:rFonts w:asciiTheme="minorHAnsi" w:hAnsiTheme="minorHAnsi" w:cstheme="minorHAnsi"/>
          <w:color w:val="000000" w:themeColor="text1"/>
          <w:sz w:val="26"/>
          <w:szCs w:val="26"/>
        </w:rPr>
        <w:t>2025, Bruxelles (Belgia) și 26 mai 2025 (online) – Participarea la două reuniuni consecutive ale Comitetului de Pilotaj;</w:t>
      </w:r>
    </w:p>
    <w:p w14:paraId="48EA2E97" w14:textId="1B3D02D2" w:rsidR="004330C1" w:rsidRPr="006A2E2B" w:rsidRDefault="004330C1" w:rsidP="00281400">
      <w:pPr>
        <w:pStyle w:val="ListParagraph"/>
        <w:numPr>
          <w:ilvl w:val="0"/>
          <w:numId w:val="23"/>
        </w:numPr>
        <w:spacing w:line="276" w:lineRule="auto"/>
        <w:ind w:left="1080"/>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lastRenderedPageBreak/>
        <w:t>14</w:t>
      </w:r>
      <w:r w:rsidR="005A61F1">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w:t>
      </w:r>
      <w:r w:rsidR="005A61F1">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16</w:t>
      </w:r>
      <w:r w:rsidR="001C16DD">
        <w:rPr>
          <w:rFonts w:asciiTheme="minorHAnsi" w:hAnsiTheme="minorHAnsi" w:cstheme="minorHAnsi"/>
          <w:color w:val="000000" w:themeColor="text1"/>
          <w:sz w:val="26"/>
          <w:szCs w:val="26"/>
        </w:rPr>
        <w:t xml:space="preserve"> mai </w:t>
      </w:r>
      <w:r w:rsidRPr="006A2E2B">
        <w:rPr>
          <w:rFonts w:asciiTheme="minorHAnsi" w:hAnsiTheme="minorHAnsi" w:cstheme="minorHAnsi"/>
          <w:color w:val="000000" w:themeColor="text1"/>
          <w:sz w:val="26"/>
          <w:szCs w:val="26"/>
        </w:rPr>
        <w:t>2025, Paris (Franța) – Participarea la al treilea modul al Cycle Approfondi du Numérique / CANUM, organizat de École Nationale de la Magistrature (E</w:t>
      </w:r>
      <w:r w:rsidR="005A61F1">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N</w:t>
      </w:r>
      <w:r w:rsidR="005A61F1">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M</w:t>
      </w:r>
      <w:r w:rsidR="005A61F1">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w:t>
      </w:r>
    </w:p>
    <w:p w14:paraId="5B0A2CB9" w14:textId="53502303" w:rsidR="004330C1" w:rsidRPr="006A2E2B" w:rsidRDefault="004330C1" w:rsidP="00281400">
      <w:pPr>
        <w:pStyle w:val="ListParagraph"/>
        <w:numPr>
          <w:ilvl w:val="0"/>
          <w:numId w:val="23"/>
        </w:numPr>
        <w:spacing w:line="276" w:lineRule="auto"/>
        <w:ind w:left="1080"/>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21</w:t>
      </w:r>
      <w:r w:rsidR="005A61F1">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w:t>
      </w:r>
      <w:r w:rsidR="005A61F1">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23</w:t>
      </w:r>
      <w:r w:rsidR="001C16DD">
        <w:rPr>
          <w:rFonts w:asciiTheme="minorHAnsi" w:hAnsiTheme="minorHAnsi" w:cstheme="minorHAnsi"/>
          <w:color w:val="000000" w:themeColor="text1"/>
          <w:sz w:val="26"/>
          <w:szCs w:val="26"/>
        </w:rPr>
        <w:t xml:space="preserve"> mai </w:t>
      </w:r>
      <w:r w:rsidRPr="006A2E2B">
        <w:rPr>
          <w:rFonts w:asciiTheme="minorHAnsi" w:hAnsiTheme="minorHAnsi" w:cstheme="minorHAnsi"/>
          <w:color w:val="000000" w:themeColor="text1"/>
          <w:sz w:val="26"/>
          <w:szCs w:val="26"/>
        </w:rPr>
        <w:t>2025, Siracusa (Italia) – Participarea la cea de a patra ediție a Forumului Judecătorilor Judges@Europe Forum, dedicat schimbului de bune practici între formele de formare judiciară din statele membre;</w:t>
      </w:r>
    </w:p>
    <w:p w14:paraId="30629531" w14:textId="77777777" w:rsidR="004330C1" w:rsidRPr="006A2E2B" w:rsidRDefault="004330C1" w:rsidP="00281400">
      <w:pPr>
        <w:pStyle w:val="ListParagraph"/>
        <w:numPr>
          <w:ilvl w:val="0"/>
          <w:numId w:val="23"/>
        </w:numPr>
        <w:spacing w:line="276" w:lineRule="auto"/>
        <w:ind w:left="1080"/>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10 iunie 2025, Gdansk (Polonia) – Participarea la reuniunea Comitetului de Pilotaj;</w:t>
      </w:r>
    </w:p>
    <w:p w14:paraId="5102466D" w14:textId="1A296144" w:rsidR="004330C1" w:rsidRPr="006A2E2B" w:rsidRDefault="004330C1" w:rsidP="00281400">
      <w:pPr>
        <w:pStyle w:val="ListParagraph"/>
        <w:numPr>
          <w:ilvl w:val="0"/>
          <w:numId w:val="23"/>
        </w:numPr>
        <w:spacing w:line="276" w:lineRule="auto"/>
        <w:ind w:left="1080"/>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11</w:t>
      </w:r>
      <w:r w:rsidR="0024372A">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w:t>
      </w:r>
      <w:r w:rsidR="0024372A">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12</w:t>
      </w:r>
      <w:r w:rsidR="001C16DD">
        <w:rPr>
          <w:rFonts w:asciiTheme="minorHAnsi" w:hAnsiTheme="minorHAnsi" w:cstheme="minorHAnsi"/>
          <w:color w:val="000000" w:themeColor="text1"/>
          <w:sz w:val="26"/>
          <w:szCs w:val="26"/>
        </w:rPr>
        <w:t xml:space="preserve"> iunie </w:t>
      </w:r>
      <w:r w:rsidRPr="006A2E2B">
        <w:rPr>
          <w:rFonts w:asciiTheme="minorHAnsi" w:hAnsiTheme="minorHAnsi" w:cstheme="minorHAnsi"/>
          <w:color w:val="000000" w:themeColor="text1"/>
          <w:sz w:val="26"/>
          <w:szCs w:val="26"/>
        </w:rPr>
        <w:t>2025, Gdansk (Polonia) – Participarea la Adunarea Generală a E</w:t>
      </w:r>
      <w:r w:rsidR="0024372A">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J</w:t>
      </w:r>
      <w:r w:rsidR="0024372A">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T</w:t>
      </w:r>
      <w:r w:rsidR="0024372A">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N</w:t>
      </w:r>
      <w:r w:rsidR="0024372A">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w:t>
      </w:r>
    </w:p>
    <w:p w14:paraId="5F54A454" w14:textId="405A3172" w:rsidR="004330C1" w:rsidRPr="006A2E2B" w:rsidRDefault="00417797" w:rsidP="00281400">
      <w:pPr>
        <w:pStyle w:val="ListParagraph"/>
        <w:numPr>
          <w:ilvl w:val="0"/>
          <w:numId w:val="23"/>
        </w:numPr>
        <w:spacing w:line="276" w:lineRule="auto"/>
        <w:ind w:left="1080"/>
        <w:jc w:val="both"/>
        <w:rPr>
          <w:rFonts w:asciiTheme="minorHAnsi" w:hAnsiTheme="minorHAnsi" w:cstheme="minorHAnsi"/>
          <w:color w:val="000000" w:themeColor="text1"/>
          <w:sz w:val="26"/>
          <w:szCs w:val="26"/>
        </w:rPr>
      </w:pPr>
      <w:r>
        <w:rPr>
          <w:rFonts w:asciiTheme="minorHAnsi" w:hAnsiTheme="minorHAnsi" w:cstheme="minorHAnsi"/>
          <w:color w:val="000000" w:themeColor="text1"/>
          <w:sz w:val="26"/>
          <w:szCs w:val="26"/>
        </w:rPr>
        <w:t>0</w:t>
      </w:r>
      <w:r w:rsidR="004330C1" w:rsidRPr="006A2E2B">
        <w:rPr>
          <w:rFonts w:asciiTheme="minorHAnsi" w:hAnsiTheme="minorHAnsi" w:cstheme="minorHAnsi"/>
          <w:color w:val="000000" w:themeColor="text1"/>
          <w:sz w:val="26"/>
          <w:szCs w:val="26"/>
        </w:rPr>
        <w:t>4 septembrie 2025 – Participarea la reuniunea Sub-grupului „Drept administrativ”, coordonat de I</w:t>
      </w:r>
      <w:r w:rsidR="0024372A">
        <w:rPr>
          <w:rFonts w:asciiTheme="minorHAnsi" w:hAnsiTheme="minorHAnsi" w:cstheme="minorHAnsi"/>
          <w:color w:val="000000" w:themeColor="text1"/>
          <w:sz w:val="26"/>
          <w:szCs w:val="26"/>
        </w:rPr>
        <w:t>.</w:t>
      </w:r>
      <w:r w:rsidR="004330C1" w:rsidRPr="006A2E2B">
        <w:rPr>
          <w:rFonts w:asciiTheme="minorHAnsi" w:hAnsiTheme="minorHAnsi" w:cstheme="minorHAnsi"/>
          <w:color w:val="000000" w:themeColor="text1"/>
          <w:sz w:val="26"/>
          <w:szCs w:val="26"/>
        </w:rPr>
        <w:t>N</w:t>
      </w:r>
      <w:r w:rsidR="0024372A">
        <w:rPr>
          <w:rFonts w:asciiTheme="minorHAnsi" w:hAnsiTheme="minorHAnsi" w:cstheme="minorHAnsi"/>
          <w:color w:val="000000" w:themeColor="text1"/>
          <w:sz w:val="26"/>
          <w:szCs w:val="26"/>
        </w:rPr>
        <w:t>.</w:t>
      </w:r>
      <w:r w:rsidR="004330C1" w:rsidRPr="006A2E2B">
        <w:rPr>
          <w:rFonts w:asciiTheme="minorHAnsi" w:hAnsiTheme="minorHAnsi" w:cstheme="minorHAnsi"/>
          <w:color w:val="000000" w:themeColor="text1"/>
          <w:sz w:val="26"/>
          <w:szCs w:val="26"/>
        </w:rPr>
        <w:t>M</w:t>
      </w:r>
      <w:r w:rsidR="0024372A">
        <w:rPr>
          <w:rFonts w:asciiTheme="minorHAnsi" w:hAnsiTheme="minorHAnsi" w:cstheme="minorHAnsi"/>
          <w:color w:val="000000" w:themeColor="text1"/>
          <w:sz w:val="26"/>
          <w:szCs w:val="26"/>
        </w:rPr>
        <w:t>.</w:t>
      </w:r>
      <w:r w:rsidR="004330C1" w:rsidRPr="006A2E2B">
        <w:rPr>
          <w:rFonts w:asciiTheme="minorHAnsi" w:hAnsiTheme="minorHAnsi" w:cstheme="minorHAnsi"/>
          <w:color w:val="000000" w:themeColor="text1"/>
          <w:sz w:val="26"/>
          <w:szCs w:val="26"/>
        </w:rPr>
        <w:t>, fiind reafirmat rolul de lider instituțional în această tematică la nivel european;</w:t>
      </w:r>
    </w:p>
    <w:p w14:paraId="4D311776" w14:textId="77777777" w:rsidR="004330C1" w:rsidRPr="006A2E2B" w:rsidRDefault="004330C1" w:rsidP="00281400">
      <w:pPr>
        <w:pStyle w:val="ListParagraph"/>
        <w:numPr>
          <w:ilvl w:val="0"/>
          <w:numId w:val="23"/>
        </w:numPr>
        <w:spacing w:line="276" w:lineRule="auto"/>
        <w:ind w:left="1080"/>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11 septembrie 2025 – Participarea la ședința Comitetului de Pilotaj;</w:t>
      </w:r>
    </w:p>
    <w:p w14:paraId="6F5DE7C0" w14:textId="77777777" w:rsidR="004330C1" w:rsidRPr="006A2E2B" w:rsidRDefault="004330C1" w:rsidP="00281400">
      <w:pPr>
        <w:pStyle w:val="ListParagraph"/>
        <w:numPr>
          <w:ilvl w:val="0"/>
          <w:numId w:val="23"/>
        </w:numPr>
        <w:spacing w:line="276" w:lineRule="auto"/>
        <w:ind w:left="1080"/>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16 septembrie 2025 – Participarea la reuniunea Grupului „Lingvistic”;</w:t>
      </w:r>
    </w:p>
    <w:p w14:paraId="0090A172" w14:textId="77777777" w:rsidR="004330C1" w:rsidRPr="006A2E2B" w:rsidRDefault="004330C1" w:rsidP="00281400">
      <w:pPr>
        <w:pStyle w:val="ListParagraph"/>
        <w:numPr>
          <w:ilvl w:val="0"/>
          <w:numId w:val="23"/>
        </w:numPr>
        <w:spacing w:line="276" w:lineRule="auto"/>
        <w:ind w:left="1080"/>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18 septembrie 2025 – Participarea la reuniunea Sub-grupului „Drept civil”;</w:t>
      </w:r>
    </w:p>
    <w:p w14:paraId="478E4D15" w14:textId="16B2AA6D" w:rsidR="004330C1" w:rsidRPr="006A2E2B" w:rsidRDefault="004330C1" w:rsidP="00281400">
      <w:pPr>
        <w:pStyle w:val="ListParagraph"/>
        <w:numPr>
          <w:ilvl w:val="0"/>
          <w:numId w:val="23"/>
        </w:numPr>
        <w:spacing w:line="276" w:lineRule="auto"/>
        <w:ind w:left="1080"/>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22</w:t>
      </w:r>
      <w:r w:rsidR="0024372A">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w:t>
      </w:r>
      <w:r w:rsidR="0024372A">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23</w:t>
      </w:r>
      <w:r w:rsidR="001C16DD">
        <w:rPr>
          <w:rFonts w:asciiTheme="minorHAnsi" w:hAnsiTheme="minorHAnsi" w:cstheme="minorHAnsi"/>
          <w:color w:val="000000" w:themeColor="text1"/>
          <w:sz w:val="26"/>
          <w:szCs w:val="26"/>
        </w:rPr>
        <w:t xml:space="preserve"> septembrie </w:t>
      </w:r>
      <w:r w:rsidRPr="006A2E2B">
        <w:rPr>
          <w:rFonts w:asciiTheme="minorHAnsi" w:hAnsiTheme="minorHAnsi" w:cstheme="minorHAnsi"/>
          <w:color w:val="000000" w:themeColor="text1"/>
          <w:sz w:val="26"/>
          <w:szCs w:val="26"/>
        </w:rPr>
        <w:t>2025 – Participarea la reuniunea Sub-grupului „Drept penal”;</w:t>
      </w:r>
    </w:p>
    <w:p w14:paraId="39300116" w14:textId="71030FB5" w:rsidR="004330C1" w:rsidRPr="006A2E2B" w:rsidRDefault="004330C1" w:rsidP="00281400">
      <w:pPr>
        <w:pStyle w:val="ListParagraph"/>
        <w:numPr>
          <w:ilvl w:val="0"/>
          <w:numId w:val="23"/>
        </w:numPr>
        <w:spacing w:line="276" w:lineRule="auto"/>
        <w:ind w:left="1080"/>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25</w:t>
      </w:r>
      <w:r w:rsidR="0024372A">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w:t>
      </w:r>
      <w:r w:rsidR="0024372A">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26</w:t>
      </w:r>
      <w:r w:rsidR="001C16DD">
        <w:rPr>
          <w:rFonts w:asciiTheme="minorHAnsi" w:hAnsiTheme="minorHAnsi" w:cstheme="minorHAnsi"/>
          <w:color w:val="000000" w:themeColor="text1"/>
          <w:sz w:val="26"/>
          <w:szCs w:val="26"/>
        </w:rPr>
        <w:t xml:space="preserve"> septembrie </w:t>
      </w:r>
      <w:r w:rsidRPr="006A2E2B">
        <w:rPr>
          <w:rFonts w:asciiTheme="minorHAnsi" w:hAnsiTheme="minorHAnsi" w:cstheme="minorHAnsi"/>
          <w:color w:val="000000" w:themeColor="text1"/>
          <w:sz w:val="26"/>
          <w:szCs w:val="26"/>
        </w:rPr>
        <w:t>2025 – Participarea la reuniunea Grupului „Metode de Formare Judiciară”;</w:t>
      </w:r>
    </w:p>
    <w:p w14:paraId="01A681DC" w14:textId="77777777" w:rsidR="004330C1" w:rsidRPr="006A2E2B" w:rsidRDefault="004330C1" w:rsidP="00281400">
      <w:pPr>
        <w:pStyle w:val="ListParagraph"/>
        <w:numPr>
          <w:ilvl w:val="0"/>
          <w:numId w:val="23"/>
        </w:numPr>
        <w:spacing w:line="276" w:lineRule="auto"/>
        <w:ind w:left="1080"/>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13 octombrie 2025 – Participarea la reuniunea Comitetului de Pilotaj (Steering Committee), organizată la Bordeaux (Franţa);</w:t>
      </w:r>
    </w:p>
    <w:p w14:paraId="6BD098BB" w14:textId="635E7170" w:rsidR="004330C1" w:rsidRDefault="004330C1" w:rsidP="00281400">
      <w:pPr>
        <w:pStyle w:val="ListParagraph"/>
        <w:numPr>
          <w:ilvl w:val="0"/>
          <w:numId w:val="23"/>
        </w:numPr>
        <w:spacing w:line="276" w:lineRule="auto"/>
        <w:ind w:left="1080"/>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14</w:t>
      </w:r>
      <w:r w:rsidR="0024372A">
        <w:rPr>
          <w:rFonts w:asciiTheme="minorHAnsi" w:hAnsiTheme="minorHAnsi" w:cstheme="minorHAnsi"/>
          <w:color w:val="000000" w:themeColor="text1"/>
          <w:sz w:val="26"/>
          <w:szCs w:val="26"/>
        </w:rPr>
        <w:t xml:space="preserve"> </w:t>
      </w:r>
      <w:r w:rsidR="008A5AEB">
        <w:rPr>
          <w:rFonts w:asciiTheme="minorHAnsi" w:hAnsiTheme="minorHAnsi" w:cstheme="minorHAnsi"/>
          <w:color w:val="000000" w:themeColor="text1"/>
          <w:sz w:val="26"/>
          <w:szCs w:val="26"/>
        </w:rPr>
        <w:t>–</w:t>
      </w:r>
      <w:r w:rsidR="0024372A">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15</w:t>
      </w:r>
      <w:r w:rsidR="001C16DD">
        <w:rPr>
          <w:rFonts w:asciiTheme="minorHAnsi" w:hAnsiTheme="minorHAnsi" w:cstheme="minorHAnsi"/>
          <w:color w:val="000000" w:themeColor="text1"/>
          <w:sz w:val="26"/>
          <w:szCs w:val="26"/>
        </w:rPr>
        <w:t xml:space="preserve"> octombrie </w:t>
      </w:r>
      <w:r w:rsidRPr="006A2E2B">
        <w:rPr>
          <w:rFonts w:asciiTheme="minorHAnsi" w:hAnsiTheme="minorHAnsi" w:cstheme="minorHAnsi"/>
          <w:color w:val="000000" w:themeColor="text1"/>
          <w:sz w:val="26"/>
          <w:szCs w:val="26"/>
        </w:rPr>
        <w:t>2025 – Participarea la Conferința Directorilor, organizată de E</w:t>
      </w:r>
      <w:r w:rsidR="0024372A">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J</w:t>
      </w:r>
      <w:r w:rsidR="0024372A">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T</w:t>
      </w:r>
      <w:r w:rsidR="0024372A">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N</w:t>
      </w:r>
      <w:r w:rsidR="0024372A">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xml:space="preserve"> în cooperare cu Şcoala Naţională de Magistratură din Franţa (E</w:t>
      </w:r>
      <w:r w:rsidR="0024372A">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N</w:t>
      </w:r>
      <w:r w:rsidR="0024372A">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M</w:t>
      </w:r>
      <w:r w:rsidR="0024372A">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organizată la Bordeaux (Franţa).</w:t>
      </w:r>
    </w:p>
    <w:p w14:paraId="686AC0E0" w14:textId="1777290F" w:rsidR="00C871F5" w:rsidRPr="002E39A3" w:rsidRDefault="00C871F5" w:rsidP="00C871F5">
      <w:pPr>
        <w:pStyle w:val="ListParagraph"/>
        <w:numPr>
          <w:ilvl w:val="0"/>
          <w:numId w:val="23"/>
        </w:numPr>
        <w:spacing w:line="276" w:lineRule="auto"/>
        <w:ind w:left="1080"/>
        <w:jc w:val="both"/>
        <w:rPr>
          <w:rFonts w:asciiTheme="minorHAnsi" w:hAnsiTheme="minorHAnsi" w:cstheme="minorHAnsi"/>
          <w:sz w:val="26"/>
          <w:szCs w:val="26"/>
        </w:rPr>
      </w:pPr>
      <w:r w:rsidRPr="002E39A3">
        <w:rPr>
          <w:rFonts w:asciiTheme="minorHAnsi" w:hAnsiTheme="minorHAnsi" w:cstheme="minorHAnsi"/>
          <w:sz w:val="26"/>
          <w:szCs w:val="26"/>
        </w:rPr>
        <w:t>23 – 24 octombrie 2025 – Participarea la programul de formare cu tema „EU Preliminary Ruling Procedure”, organizat de E</w:t>
      </w:r>
      <w:r w:rsidR="001E5D19" w:rsidRPr="002E39A3">
        <w:rPr>
          <w:rFonts w:asciiTheme="minorHAnsi" w:hAnsiTheme="minorHAnsi" w:cstheme="minorHAnsi"/>
          <w:sz w:val="26"/>
          <w:szCs w:val="26"/>
        </w:rPr>
        <w:t>.</w:t>
      </w:r>
      <w:r w:rsidRPr="002E39A3">
        <w:rPr>
          <w:rFonts w:asciiTheme="minorHAnsi" w:hAnsiTheme="minorHAnsi" w:cstheme="minorHAnsi"/>
          <w:sz w:val="26"/>
          <w:szCs w:val="26"/>
        </w:rPr>
        <w:t>J</w:t>
      </w:r>
      <w:r w:rsidR="001E5D19" w:rsidRPr="002E39A3">
        <w:rPr>
          <w:rFonts w:asciiTheme="minorHAnsi" w:hAnsiTheme="minorHAnsi" w:cstheme="minorHAnsi"/>
          <w:sz w:val="26"/>
          <w:szCs w:val="26"/>
        </w:rPr>
        <w:t>.</w:t>
      </w:r>
      <w:r w:rsidRPr="002E39A3">
        <w:rPr>
          <w:rFonts w:asciiTheme="minorHAnsi" w:hAnsiTheme="minorHAnsi" w:cstheme="minorHAnsi"/>
          <w:sz w:val="26"/>
          <w:szCs w:val="26"/>
        </w:rPr>
        <w:t>T</w:t>
      </w:r>
      <w:r w:rsidR="001E5D19" w:rsidRPr="002E39A3">
        <w:rPr>
          <w:rFonts w:asciiTheme="minorHAnsi" w:hAnsiTheme="minorHAnsi" w:cstheme="minorHAnsi"/>
          <w:sz w:val="26"/>
          <w:szCs w:val="26"/>
        </w:rPr>
        <w:t>.</w:t>
      </w:r>
      <w:r w:rsidRPr="002E39A3">
        <w:rPr>
          <w:rFonts w:asciiTheme="minorHAnsi" w:hAnsiTheme="minorHAnsi" w:cstheme="minorHAnsi"/>
          <w:sz w:val="26"/>
          <w:szCs w:val="26"/>
        </w:rPr>
        <w:t>N</w:t>
      </w:r>
      <w:r w:rsidR="001E5D19" w:rsidRPr="002E39A3">
        <w:rPr>
          <w:rFonts w:asciiTheme="minorHAnsi" w:hAnsiTheme="minorHAnsi" w:cstheme="minorHAnsi"/>
          <w:sz w:val="26"/>
          <w:szCs w:val="26"/>
        </w:rPr>
        <w:t>.</w:t>
      </w:r>
      <w:r w:rsidRPr="002E39A3">
        <w:rPr>
          <w:rFonts w:asciiTheme="minorHAnsi" w:hAnsiTheme="minorHAnsi" w:cstheme="minorHAnsi"/>
          <w:sz w:val="26"/>
          <w:szCs w:val="26"/>
        </w:rPr>
        <w:t xml:space="preserve"> la Curtea de Justiţie a Uniunii Europene (C</w:t>
      </w:r>
      <w:r w:rsidR="00E5183C" w:rsidRPr="002E39A3">
        <w:rPr>
          <w:rFonts w:asciiTheme="minorHAnsi" w:hAnsiTheme="minorHAnsi" w:cstheme="minorHAnsi"/>
          <w:sz w:val="26"/>
          <w:szCs w:val="26"/>
        </w:rPr>
        <w:t>.</w:t>
      </w:r>
      <w:r w:rsidRPr="002E39A3">
        <w:rPr>
          <w:rFonts w:asciiTheme="minorHAnsi" w:hAnsiTheme="minorHAnsi" w:cstheme="minorHAnsi"/>
          <w:sz w:val="26"/>
          <w:szCs w:val="26"/>
        </w:rPr>
        <w:t>J</w:t>
      </w:r>
      <w:r w:rsidR="00E5183C" w:rsidRPr="002E39A3">
        <w:rPr>
          <w:rFonts w:asciiTheme="minorHAnsi" w:hAnsiTheme="minorHAnsi" w:cstheme="minorHAnsi"/>
          <w:sz w:val="26"/>
          <w:szCs w:val="26"/>
        </w:rPr>
        <w:t>.</w:t>
      </w:r>
      <w:r w:rsidRPr="002E39A3">
        <w:rPr>
          <w:rFonts w:asciiTheme="minorHAnsi" w:hAnsiTheme="minorHAnsi" w:cstheme="minorHAnsi"/>
          <w:sz w:val="26"/>
          <w:szCs w:val="26"/>
        </w:rPr>
        <w:t>U</w:t>
      </w:r>
      <w:r w:rsidR="00E5183C" w:rsidRPr="002E39A3">
        <w:rPr>
          <w:rFonts w:asciiTheme="minorHAnsi" w:hAnsiTheme="minorHAnsi" w:cstheme="minorHAnsi"/>
          <w:sz w:val="26"/>
          <w:szCs w:val="26"/>
        </w:rPr>
        <w:t>.</w:t>
      </w:r>
      <w:r w:rsidRPr="002E39A3">
        <w:rPr>
          <w:rFonts w:asciiTheme="minorHAnsi" w:hAnsiTheme="minorHAnsi" w:cstheme="minorHAnsi"/>
          <w:sz w:val="26"/>
          <w:szCs w:val="26"/>
        </w:rPr>
        <w:t>E</w:t>
      </w:r>
      <w:r w:rsidR="00E5183C" w:rsidRPr="002E39A3">
        <w:rPr>
          <w:rFonts w:asciiTheme="minorHAnsi" w:hAnsiTheme="minorHAnsi" w:cstheme="minorHAnsi"/>
          <w:sz w:val="26"/>
          <w:szCs w:val="26"/>
        </w:rPr>
        <w:t>.</w:t>
      </w:r>
      <w:r w:rsidRPr="002E39A3">
        <w:rPr>
          <w:rFonts w:asciiTheme="minorHAnsi" w:hAnsiTheme="minorHAnsi" w:cstheme="minorHAnsi"/>
          <w:sz w:val="26"/>
          <w:szCs w:val="26"/>
        </w:rPr>
        <w:t>), Luxemburg;</w:t>
      </w:r>
    </w:p>
    <w:p w14:paraId="62764FDA" w14:textId="77777777" w:rsidR="00C871F5" w:rsidRPr="002E39A3" w:rsidRDefault="00C871F5" w:rsidP="00C871F5">
      <w:pPr>
        <w:pStyle w:val="ListParagraph"/>
        <w:numPr>
          <w:ilvl w:val="0"/>
          <w:numId w:val="23"/>
        </w:numPr>
        <w:spacing w:line="276" w:lineRule="auto"/>
        <w:ind w:left="1080"/>
        <w:jc w:val="both"/>
        <w:rPr>
          <w:rFonts w:asciiTheme="minorHAnsi" w:hAnsiTheme="minorHAnsi" w:cstheme="minorHAnsi"/>
          <w:sz w:val="26"/>
          <w:szCs w:val="26"/>
        </w:rPr>
      </w:pPr>
      <w:r w:rsidRPr="002E39A3">
        <w:rPr>
          <w:rFonts w:asciiTheme="minorHAnsi" w:hAnsiTheme="minorHAnsi" w:cstheme="minorHAnsi"/>
          <w:sz w:val="26"/>
          <w:szCs w:val="26"/>
        </w:rPr>
        <w:t>20 noiembrie 2025 – Participarea online la reuniunea Comitetului de Pilotaj (Steering Committee) al E.J.T.N..</w:t>
      </w:r>
    </w:p>
    <w:p w14:paraId="3932AEDA" w14:textId="53D7BB97" w:rsidR="00C871F5" w:rsidRPr="002E39A3" w:rsidRDefault="00C871F5" w:rsidP="00C871F5">
      <w:pPr>
        <w:pStyle w:val="ListParagraph"/>
        <w:numPr>
          <w:ilvl w:val="0"/>
          <w:numId w:val="23"/>
        </w:numPr>
        <w:spacing w:line="276" w:lineRule="auto"/>
        <w:ind w:left="1080"/>
        <w:jc w:val="both"/>
        <w:rPr>
          <w:rFonts w:asciiTheme="minorHAnsi" w:hAnsiTheme="minorHAnsi" w:cstheme="minorHAnsi"/>
          <w:sz w:val="26"/>
          <w:szCs w:val="26"/>
        </w:rPr>
      </w:pPr>
      <w:r w:rsidRPr="002E39A3">
        <w:rPr>
          <w:rFonts w:asciiTheme="minorHAnsi" w:hAnsiTheme="minorHAnsi" w:cstheme="minorHAnsi"/>
          <w:sz w:val="26"/>
          <w:szCs w:val="26"/>
        </w:rPr>
        <w:t>27-28 noiembrie 2025, Salonic (Grecia)  – Participare la conferința „Building a Common Digital Culture”, evenimentul de închidere al programului ambasadorilor digitali E.J.T.N..</w:t>
      </w:r>
    </w:p>
    <w:p w14:paraId="60988DE1" w14:textId="4D70885B" w:rsidR="004330C1" w:rsidRPr="006A2E2B" w:rsidRDefault="004330C1" w:rsidP="009E3AD8">
      <w:pPr>
        <w:spacing w:line="276" w:lineRule="auto"/>
        <w:ind w:firstLine="708"/>
        <w:jc w:val="both"/>
        <w:rPr>
          <w:rFonts w:asciiTheme="minorHAnsi" w:hAnsiTheme="minorHAnsi" w:cstheme="minorHAnsi"/>
          <w:b/>
          <w:bCs/>
          <w:color w:val="000000" w:themeColor="text1"/>
          <w:sz w:val="26"/>
          <w:szCs w:val="26"/>
        </w:rPr>
      </w:pPr>
      <w:bookmarkStart w:id="46" w:name="_Hlk212112229"/>
      <w:r w:rsidRPr="006A2E2B">
        <w:rPr>
          <w:rFonts w:asciiTheme="minorHAnsi" w:hAnsiTheme="minorHAnsi" w:cstheme="minorHAnsi"/>
          <w:b/>
          <w:bCs/>
          <w:color w:val="000000" w:themeColor="text1"/>
          <w:sz w:val="26"/>
          <w:szCs w:val="26"/>
        </w:rPr>
        <w:t>Proceduri de selecție pentru activitățile E</w:t>
      </w:r>
      <w:r w:rsidR="0024372A">
        <w:rPr>
          <w:rFonts w:asciiTheme="minorHAnsi" w:hAnsiTheme="minorHAnsi" w:cstheme="minorHAnsi"/>
          <w:b/>
          <w:bCs/>
          <w:color w:val="000000" w:themeColor="text1"/>
          <w:sz w:val="26"/>
          <w:szCs w:val="26"/>
        </w:rPr>
        <w:t>.</w:t>
      </w:r>
      <w:r w:rsidRPr="006A2E2B">
        <w:rPr>
          <w:rFonts w:asciiTheme="minorHAnsi" w:hAnsiTheme="minorHAnsi" w:cstheme="minorHAnsi"/>
          <w:b/>
          <w:bCs/>
          <w:color w:val="000000" w:themeColor="text1"/>
          <w:sz w:val="26"/>
          <w:szCs w:val="26"/>
        </w:rPr>
        <w:t>J</w:t>
      </w:r>
      <w:r w:rsidR="0024372A">
        <w:rPr>
          <w:rFonts w:asciiTheme="minorHAnsi" w:hAnsiTheme="minorHAnsi" w:cstheme="minorHAnsi"/>
          <w:b/>
          <w:bCs/>
          <w:color w:val="000000" w:themeColor="text1"/>
          <w:sz w:val="26"/>
          <w:szCs w:val="26"/>
        </w:rPr>
        <w:t>.</w:t>
      </w:r>
      <w:r w:rsidRPr="006A2E2B">
        <w:rPr>
          <w:rFonts w:asciiTheme="minorHAnsi" w:hAnsiTheme="minorHAnsi" w:cstheme="minorHAnsi"/>
          <w:b/>
          <w:bCs/>
          <w:color w:val="000000" w:themeColor="text1"/>
          <w:sz w:val="26"/>
          <w:szCs w:val="26"/>
        </w:rPr>
        <w:t>T</w:t>
      </w:r>
      <w:r w:rsidR="0024372A">
        <w:rPr>
          <w:rFonts w:asciiTheme="minorHAnsi" w:hAnsiTheme="minorHAnsi" w:cstheme="minorHAnsi"/>
          <w:b/>
          <w:bCs/>
          <w:color w:val="000000" w:themeColor="text1"/>
          <w:sz w:val="26"/>
          <w:szCs w:val="26"/>
        </w:rPr>
        <w:t>.</w:t>
      </w:r>
      <w:r w:rsidRPr="006A2E2B">
        <w:rPr>
          <w:rFonts w:asciiTheme="minorHAnsi" w:hAnsiTheme="minorHAnsi" w:cstheme="minorHAnsi"/>
          <w:b/>
          <w:bCs/>
          <w:color w:val="000000" w:themeColor="text1"/>
          <w:sz w:val="26"/>
          <w:szCs w:val="26"/>
        </w:rPr>
        <w:t>N</w:t>
      </w:r>
      <w:r w:rsidR="0024372A">
        <w:rPr>
          <w:rFonts w:asciiTheme="minorHAnsi" w:hAnsiTheme="minorHAnsi" w:cstheme="minorHAnsi"/>
          <w:b/>
          <w:bCs/>
          <w:color w:val="000000" w:themeColor="text1"/>
          <w:sz w:val="26"/>
          <w:szCs w:val="26"/>
        </w:rPr>
        <w:t>.</w:t>
      </w:r>
      <w:r w:rsidRPr="006A2E2B">
        <w:rPr>
          <w:rFonts w:asciiTheme="minorHAnsi" w:hAnsiTheme="minorHAnsi" w:cstheme="minorHAnsi"/>
          <w:b/>
          <w:bCs/>
          <w:color w:val="000000" w:themeColor="text1"/>
          <w:sz w:val="26"/>
          <w:szCs w:val="26"/>
        </w:rPr>
        <w:t>:</w:t>
      </w:r>
      <w:bookmarkEnd w:id="46"/>
    </w:p>
    <w:p w14:paraId="0FE65C45" w14:textId="526EE730" w:rsidR="004330C1" w:rsidRPr="006A2E2B" w:rsidRDefault="004330C1" w:rsidP="009E3AD8">
      <w:pPr>
        <w:spacing w:line="276" w:lineRule="auto"/>
        <w:ind w:firstLine="708"/>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Institutul Național al Magistraturii continuă colaborarea cu Rețeaua Europeană de Formare Judiciară (E</w:t>
      </w:r>
      <w:r w:rsidR="0024372A">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J</w:t>
      </w:r>
      <w:r w:rsidR="0024372A">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T</w:t>
      </w:r>
      <w:r w:rsidR="0024372A">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N</w:t>
      </w:r>
      <w:r w:rsidR="0024372A">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oferind magistraților români oportunități de formare profesională în cadrul principalelor programe coordonate de Rețea: programul de schimb, vizitele de studiu, activitățile din cataloagele E</w:t>
      </w:r>
      <w:r w:rsidR="00D1644A">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J</w:t>
      </w:r>
      <w:r w:rsidR="00D1644A">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T</w:t>
      </w:r>
      <w:r w:rsidR="00D1644A">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N</w:t>
      </w:r>
      <w:r w:rsidR="00D1644A">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xml:space="preserve"> și Plus, precum și cursurile lingvistice online. </w:t>
      </w:r>
    </w:p>
    <w:p w14:paraId="136E6AB5" w14:textId="27E614E3" w:rsidR="004330C1" w:rsidRPr="006A2E2B" w:rsidRDefault="004330C1" w:rsidP="009E3AD8">
      <w:pPr>
        <w:spacing w:line="276" w:lineRule="auto"/>
        <w:ind w:firstLine="708"/>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Programul de schimb permite judecătorilor și procurorilor să cunoască direct sistemele judiciare din alte state membre, prin stagii de scurtă durată derulate la instanțe, parchete și alte instituții din domeniul justiției. În cursul anului 2025, aproximativ 60 de magistrați români au participat la schimburi în alte state europene, iar un număr similar de magistrați străini au efectuat stagii în România, fiind găzduiți de instituții precum Curtea Constituțională, Consiliul Superior al Magistraturii, instanțe și parchete din București, D</w:t>
      </w:r>
      <w:r w:rsidR="002E5BE8">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N</w:t>
      </w:r>
      <w:r w:rsidR="002E5BE8">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A</w:t>
      </w:r>
      <w:r w:rsidR="002E5BE8">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D</w:t>
      </w:r>
      <w:r w:rsidR="002E5BE8">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I</w:t>
      </w:r>
      <w:r w:rsidR="002E5BE8">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I</w:t>
      </w:r>
      <w:r w:rsidR="002E5BE8">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C</w:t>
      </w:r>
      <w:r w:rsidR="002E5BE8">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O</w:t>
      </w:r>
      <w:r w:rsidR="002E5BE8">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T</w:t>
      </w:r>
      <w:r w:rsidR="002E5BE8">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Penitenciarul București-Rahova și I</w:t>
      </w:r>
      <w:r w:rsidR="002E5BE8">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N</w:t>
      </w:r>
      <w:r w:rsidR="002E5BE8">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M</w:t>
      </w:r>
      <w:r w:rsidR="002E5BE8">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w:t>
      </w:r>
    </w:p>
    <w:p w14:paraId="0E00589B" w14:textId="4BC36927" w:rsidR="004330C1" w:rsidRPr="006A2E2B" w:rsidRDefault="004330C1" w:rsidP="009E3AD8">
      <w:pPr>
        <w:spacing w:line="276" w:lineRule="auto"/>
        <w:ind w:firstLine="708"/>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Totodată, în cadrul vizitelor de studiu E</w:t>
      </w:r>
      <w:r w:rsidR="002E5BE8">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J</w:t>
      </w:r>
      <w:r w:rsidR="002E5BE8">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T</w:t>
      </w:r>
      <w:r w:rsidR="002E5BE8">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N</w:t>
      </w:r>
      <w:r w:rsidR="002E5BE8">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xml:space="preserve">, aproximativ 30 de magistrați români au avut ocazia de a participa la sesiuni de formare organizate la Curtea de Justiție a Uniunii Europene, </w:t>
      </w:r>
      <w:r w:rsidRPr="006A2E2B">
        <w:rPr>
          <w:rFonts w:asciiTheme="minorHAnsi" w:hAnsiTheme="minorHAnsi" w:cstheme="minorHAnsi"/>
          <w:color w:val="000000" w:themeColor="text1"/>
          <w:sz w:val="26"/>
          <w:szCs w:val="26"/>
        </w:rPr>
        <w:lastRenderedPageBreak/>
        <w:t>Curtea Europeană a Drepturilor Omului, Parchetul European (E</w:t>
      </w:r>
      <w:r w:rsidR="002E5BE8">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P</w:t>
      </w:r>
      <w:r w:rsidR="002E5BE8">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P</w:t>
      </w:r>
      <w:r w:rsidR="002E5BE8">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O</w:t>
      </w:r>
      <w:r w:rsidR="002E5BE8">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Eurojust, Europol și Parlamentul European, dobândind o perspectivă directă asupra activității acestor instituții.</w:t>
      </w:r>
    </w:p>
    <w:p w14:paraId="3E53E449" w14:textId="5784D61F" w:rsidR="004330C1" w:rsidRPr="006A2E2B" w:rsidRDefault="004330C1" w:rsidP="009E3AD8">
      <w:pPr>
        <w:spacing w:line="276" w:lineRule="auto"/>
        <w:ind w:firstLine="708"/>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În ceea ce privește activitățile din Catalogul E</w:t>
      </w:r>
      <w:r w:rsidR="002E5BE8">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J</w:t>
      </w:r>
      <w:r w:rsidR="002E5BE8">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T</w:t>
      </w:r>
      <w:r w:rsidR="002E5BE8">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N</w:t>
      </w:r>
      <w:r w:rsidR="002E5BE8">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xml:space="preserve"> și Catalogul Plus, aproximativ 170 de magistrați au fost implicați în seminare și cursuri internaționale în domenii variate, precum drept civil, drept penal, drept administrativ, drepturile omului, digitalizarea justiției, cursuri lingvistice şi metodologii de formare.</w:t>
      </w:r>
    </w:p>
    <w:p w14:paraId="280A7C79" w14:textId="0867577C" w:rsidR="004330C1" w:rsidRDefault="004330C1" w:rsidP="004F4243">
      <w:pPr>
        <w:spacing w:line="276" w:lineRule="auto"/>
        <w:ind w:firstLine="708"/>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De asemenea, în cadrul cursurilor lingvistice online organizate de E</w:t>
      </w:r>
      <w:r w:rsidR="005D6916">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J</w:t>
      </w:r>
      <w:r w:rsidR="005D6916">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T</w:t>
      </w:r>
      <w:r w:rsidR="005D6916">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N</w:t>
      </w:r>
      <w:r w:rsidR="005D6916">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aproximativ 40 de magistrați români au participat şi  participă în continuare în cadrul sesiunii din această toamnă la cursuri de engleză, franceză, italiană, spaniolă și germană, axate pe dezvoltarea competențelor de comunicare profesională.</w:t>
      </w:r>
    </w:p>
    <w:p w14:paraId="33931B79" w14:textId="6837E87E" w:rsidR="004F4243" w:rsidRPr="004F4243" w:rsidRDefault="004F4243" w:rsidP="00281400">
      <w:pPr>
        <w:pStyle w:val="ListParagraph"/>
        <w:numPr>
          <w:ilvl w:val="0"/>
          <w:numId w:val="41"/>
        </w:numPr>
        <w:tabs>
          <w:tab w:val="left" w:pos="851"/>
          <w:tab w:val="left" w:pos="993"/>
        </w:tabs>
        <w:spacing w:line="276" w:lineRule="auto"/>
        <w:ind w:left="709" w:firstLine="0"/>
        <w:jc w:val="both"/>
        <w:rPr>
          <w:rFonts w:asciiTheme="minorHAnsi" w:hAnsiTheme="minorHAnsi" w:cstheme="minorHAnsi"/>
          <w:b/>
          <w:bCs/>
          <w:color w:val="000000" w:themeColor="text1"/>
          <w:sz w:val="26"/>
          <w:szCs w:val="26"/>
          <w:lang w:eastAsia="ro-RO"/>
        </w:rPr>
      </w:pPr>
      <w:r w:rsidRPr="004F4243">
        <w:rPr>
          <w:rFonts w:asciiTheme="minorHAnsi" w:hAnsiTheme="minorHAnsi" w:cstheme="minorHAnsi"/>
          <w:b/>
          <w:bCs/>
          <w:color w:val="000000" w:themeColor="text1"/>
          <w:sz w:val="26"/>
          <w:szCs w:val="26"/>
          <w:lang w:eastAsia="ro-RO"/>
        </w:rPr>
        <w:t>Activităţi în calitate de membru al Reţelei Euro-Arabe de Formare Judiciară (E.A.J.T.N.)</w:t>
      </w:r>
    </w:p>
    <w:p w14:paraId="3D6811F5" w14:textId="280195C1" w:rsidR="004330C1" w:rsidRDefault="004330C1" w:rsidP="009E3AD8">
      <w:pPr>
        <w:spacing w:line="276" w:lineRule="auto"/>
        <w:ind w:firstLine="708"/>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În cadrul Rețelei Euro Arabe de Formare Judiciară, I</w:t>
      </w:r>
      <w:r w:rsidR="00A86EC4">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N</w:t>
      </w:r>
      <w:r w:rsidR="00A86EC4">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M</w:t>
      </w:r>
      <w:r w:rsidR="00A86EC4">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xml:space="preserve"> a continuat să promoveze schimbul internațional de experiență în domeniul justiției și să consolideze cooperarea cu instituțiile partenere din statele membre și non membre ale Uniunii Europene.</w:t>
      </w:r>
    </w:p>
    <w:p w14:paraId="7A2F6F44" w14:textId="77777777" w:rsidR="00963F36" w:rsidRPr="002E39A3" w:rsidRDefault="00963F36" w:rsidP="00963F36">
      <w:pPr>
        <w:spacing w:line="276" w:lineRule="auto"/>
        <w:ind w:firstLine="708"/>
        <w:jc w:val="both"/>
        <w:rPr>
          <w:rFonts w:asciiTheme="minorHAnsi" w:hAnsiTheme="minorHAnsi" w:cstheme="minorHAnsi"/>
          <w:b/>
          <w:bCs/>
          <w:sz w:val="26"/>
          <w:szCs w:val="26"/>
        </w:rPr>
      </w:pPr>
      <w:r w:rsidRPr="002E39A3">
        <w:rPr>
          <w:rFonts w:asciiTheme="minorHAnsi" w:hAnsiTheme="minorHAnsi" w:cstheme="minorHAnsi"/>
          <w:sz w:val="26"/>
          <w:szCs w:val="26"/>
        </w:rPr>
        <w:t xml:space="preserve">Pe parcursul perioadei aprilie – decembrie 2025, reprezentanții Institutului au fost prezenți la următoarele activităţi desfăşurate sub egida </w:t>
      </w:r>
      <w:r w:rsidRPr="002E39A3">
        <w:rPr>
          <w:rFonts w:asciiTheme="minorHAnsi" w:hAnsiTheme="minorHAnsi" w:cstheme="minorHAnsi"/>
          <w:sz w:val="26"/>
          <w:szCs w:val="26"/>
          <w:lang w:eastAsia="ro-RO"/>
        </w:rPr>
        <w:t>E.A.J.T.N</w:t>
      </w:r>
      <w:r w:rsidRPr="002E39A3">
        <w:rPr>
          <w:rFonts w:asciiTheme="minorHAnsi" w:hAnsiTheme="minorHAnsi" w:cstheme="minorHAnsi"/>
          <w:b/>
          <w:bCs/>
          <w:sz w:val="26"/>
          <w:szCs w:val="26"/>
          <w:lang w:eastAsia="ro-RO"/>
        </w:rPr>
        <w:t>.:</w:t>
      </w:r>
    </w:p>
    <w:p w14:paraId="5C85C5C9" w14:textId="7733CF31" w:rsidR="004330C1" w:rsidRPr="006A2E2B" w:rsidRDefault="004330C1" w:rsidP="009C1A25">
      <w:pPr>
        <w:spacing w:line="276" w:lineRule="auto"/>
        <w:ind w:firstLine="720"/>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 xml:space="preserve">– </w:t>
      </w:r>
      <w:r w:rsidR="00417797">
        <w:rPr>
          <w:rFonts w:asciiTheme="minorHAnsi" w:hAnsiTheme="minorHAnsi" w:cstheme="minorHAnsi"/>
          <w:color w:val="000000" w:themeColor="text1"/>
          <w:sz w:val="26"/>
          <w:szCs w:val="26"/>
        </w:rPr>
        <w:t>0</w:t>
      </w:r>
      <w:r w:rsidRPr="006A2E2B">
        <w:rPr>
          <w:rFonts w:asciiTheme="minorHAnsi" w:hAnsiTheme="minorHAnsi" w:cstheme="minorHAnsi"/>
          <w:color w:val="000000" w:themeColor="text1"/>
          <w:sz w:val="26"/>
          <w:szCs w:val="26"/>
        </w:rPr>
        <w:t>7</w:t>
      </w:r>
      <w:r w:rsidR="00A86EC4">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w:t>
      </w:r>
      <w:r w:rsidR="00A86EC4">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11</w:t>
      </w:r>
      <w:r w:rsidR="001C16DD">
        <w:rPr>
          <w:rFonts w:asciiTheme="minorHAnsi" w:hAnsiTheme="minorHAnsi" w:cstheme="minorHAnsi"/>
          <w:color w:val="000000" w:themeColor="text1"/>
          <w:sz w:val="26"/>
          <w:szCs w:val="26"/>
        </w:rPr>
        <w:t xml:space="preserve"> aprilie </w:t>
      </w:r>
      <w:r w:rsidRPr="006A2E2B">
        <w:rPr>
          <w:rFonts w:asciiTheme="minorHAnsi" w:hAnsiTheme="minorHAnsi" w:cstheme="minorHAnsi"/>
          <w:color w:val="000000" w:themeColor="text1"/>
          <w:sz w:val="26"/>
          <w:szCs w:val="26"/>
        </w:rPr>
        <w:t>2025, Paris (Franța) – participarea a doi formatori ai I</w:t>
      </w:r>
      <w:r w:rsidR="00A86EC4">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N</w:t>
      </w:r>
      <w:r w:rsidR="00A86EC4">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M</w:t>
      </w:r>
      <w:r w:rsidR="00A86EC4">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xml:space="preserve"> la seminarul </w:t>
      </w:r>
      <w:r w:rsidR="00A86EC4">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Treatment of Victims of Terrorism”, organizat de E</w:t>
      </w:r>
      <w:r w:rsidR="00A86EC4">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A</w:t>
      </w:r>
      <w:r w:rsidR="00A86EC4">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J</w:t>
      </w:r>
      <w:r w:rsidR="00A86EC4">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T</w:t>
      </w:r>
      <w:r w:rsidR="00A86EC4">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N</w:t>
      </w:r>
      <w:r w:rsidR="00A86EC4">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xml:space="preserve"> în colaborare cu École Nationale de la Magistrature, axat pe bune practici în sprijinul victimelor terorismului.</w:t>
      </w:r>
    </w:p>
    <w:p w14:paraId="13018B6F" w14:textId="271E61ED" w:rsidR="004330C1" w:rsidRDefault="004330C1" w:rsidP="009C1A25">
      <w:pPr>
        <w:spacing w:line="276" w:lineRule="auto"/>
        <w:ind w:firstLine="720"/>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 28</w:t>
      </w:r>
      <w:r w:rsidR="00A86EC4">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w:t>
      </w:r>
      <w:r w:rsidR="00A86EC4">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29</w:t>
      </w:r>
      <w:r w:rsidR="001C16DD">
        <w:rPr>
          <w:rFonts w:asciiTheme="minorHAnsi" w:hAnsiTheme="minorHAnsi" w:cstheme="minorHAnsi"/>
          <w:color w:val="000000" w:themeColor="text1"/>
          <w:sz w:val="26"/>
          <w:szCs w:val="26"/>
        </w:rPr>
        <w:t xml:space="preserve"> mai </w:t>
      </w:r>
      <w:r w:rsidRPr="006A2E2B">
        <w:rPr>
          <w:rFonts w:asciiTheme="minorHAnsi" w:hAnsiTheme="minorHAnsi" w:cstheme="minorHAnsi"/>
          <w:color w:val="000000" w:themeColor="text1"/>
          <w:sz w:val="26"/>
          <w:szCs w:val="26"/>
        </w:rPr>
        <w:t xml:space="preserve">2025, Abu Dhabi (Emiratele Arabe Unite) – participarea directorului adjunct responsabil cu formarea inițială și a șefului Serviciului relații internaționale la programul de formare </w:t>
      </w:r>
      <w:r w:rsidR="00493057">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The Role of the Judiciary in Stabilizing Societies”, cu accent pe rolul judiciarului în menținerea stabilității societăților.</w:t>
      </w:r>
    </w:p>
    <w:p w14:paraId="48320D96" w14:textId="2694B74B" w:rsidR="00963F36" w:rsidRPr="002E39A3" w:rsidRDefault="00963F36" w:rsidP="00963F36">
      <w:pPr>
        <w:spacing w:line="276" w:lineRule="auto"/>
        <w:ind w:firstLine="720"/>
        <w:jc w:val="both"/>
        <w:rPr>
          <w:rFonts w:asciiTheme="minorHAnsi" w:hAnsiTheme="minorHAnsi" w:cstheme="minorHAnsi"/>
          <w:sz w:val="26"/>
          <w:szCs w:val="26"/>
        </w:rPr>
      </w:pPr>
      <w:bookmarkStart w:id="47" w:name="_Hlk217037682"/>
      <w:r w:rsidRPr="002E39A3">
        <w:rPr>
          <w:rFonts w:asciiTheme="minorHAnsi" w:hAnsiTheme="minorHAnsi" w:cstheme="minorHAnsi"/>
          <w:sz w:val="26"/>
          <w:szCs w:val="26"/>
        </w:rPr>
        <w:t>– 15</w:t>
      </w:r>
      <w:r w:rsidR="00E5183C" w:rsidRPr="002E39A3">
        <w:rPr>
          <w:rFonts w:asciiTheme="minorHAnsi" w:hAnsiTheme="minorHAnsi" w:cstheme="minorHAnsi"/>
          <w:sz w:val="26"/>
          <w:szCs w:val="26"/>
        </w:rPr>
        <w:t xml:space="preserve"> </w:t>
      </w:r>
      <w:r w:rsidRPr="002E39A3">
        <w:rPr>
          <w:rFonts w:asciiTheme="minorHAnsi" w:hAnsiTheme="minorHAnsi" w:cstheme="minorHAnsi"/>
          <w:sz w:val="26"/>
          <w:szCs w:val="26"/>
        </w:rPr>
        <w:t>-</w:t>
      </w:r>
      <w:r w:rsidR="00E5183C" w:rsidRPr="002E39A3">
        <w:rPr>
          <w:rFonts w:asciiTheme="minorHAnsi" w:hAnsiTheme="minorHAnsi" w:cstheme="minorHAnsi"/>
          <w:sz w:val="26"/>
          <w:szCs w:val="26"/>
        </w:rPr>
        <w:t xml:space="preserve"> </w:t>
      </w:r>
      <w:r w:rsidRPr="002E39A3">
        <w:rPr>
          <w:rFonts w:asciiTheme="minorHAnsi" w:hAnsiTheme="minorHAnsi" w:cstheme="minorHAnsi"/>
          <w:sz w:val="26"/>
          <w:szCs w:val="26"/>
        </w:rPr>
        <w:t xml:space="preserve">17 decembrie 2025, </w:t>
      </w:r>
      <w:r w:rsidRPr="002E39A3">
        <w:rPr>
          <w:rFonts w:asciiTheme="minorHAnsi" w:hAnsiTheme="minorHAnsi" w:cstheme="minorHAnsi"/>
          <w:bCs/>
          <w:sz w:val="26"/>
          <w:szCs w:val="26"/>
        </w:rPr>
        <w:t>Kuweit (Kuweit) - Partic</w:t>
      </w:r>
      <w:r w:rsidRPr="002E39A3">
        <w:rPr>
          <w:rFonts w:asciiTheme="minorHAnsi" w:hAnsiTheme="minorHAnsi" w:cstheme="minorHAnsi"/>
          <w:sz w:val="26"/>
          <w:szCs w:val="26"/>
        </w:rPr>
        <w:t>iparea la Adunarea Generală E.A.J.T.N.</w:t>
      </w:r>
    </w:p>
    <w:bookmarkEnd w:id="47"/>
    <w:p w14:paraId="3D4EEBE1" w14:textId="63865E32" w:rsidR="004330C1" w:rsidRPr="002E39A3" w:rsidRDefault="004330C1" w:rsidP="009E3AD8">
      <w:pPr>
        <w:spacing w:line="276" w:lineRule="auto"/>
        <w:ind w:firstLine="708"/>
        <w:jc w:val="both"/>
        <w:rPr>
          <w:rFonts w:asciiTheme="minorHAnsi" w:hAnsiTheme="minorHAnsi" w:cstheme="minorHAnsi"/>
          <w:sz w:val="26"/>
          <w:szCs w:val="26"/>
        </w:rPr>
      </w:pPr>
      <w:r w:rsidRPr="002E39A3">
        <w:rPr>
          <w:rFonts w:asciiTheme="minorHAnsi" w:hAnsiTheme="minorHAnsi" w:cstheme="minorHAnsi"/>
          <w:sz w:val="26"/>
          <w:szCs w:val="26"/>
        </w:rPr>
        <w:t>Prin participarea la aceste activități, I</w:t>
      </w:r>
      <w:r w:rsidR="005F2B01" w:rsidRPr="002E39A3">
        <w:rPr>
          <w:rFonts w:asciiTheme="minorHAnsi" w:hAnsiTheme="minorHAnsi" w:cstheme="minorHAnsi"/>
          <w:sz w:val="26"/>
          <w:szCs w:val="26"/>
        </w:rPr>
        <w:t>.</w:t>
      </w:r>
      <w:r w:rsidRPr="002E39A3">
        <w:rPr>
          <w:rFonts w:asciiTheme="minorHAnsi" w:hAnsiTheme="minorHAnsi" w:cstheme="minorHAnsi"/>
          <w:sz w:val="26"/>
          <w:szCs w:val="26"/>
        </w:rPr>
        <w:t>N</w:t>
      </w:r>
      <w:r w:rsidR="005F2B01" w:rsidRPr="002E39A3">
        <w:rPr>
          <w:rFonts w:asciiTheme="minorHAnsi" w:hAnsiTheme="minorHAnsi" w:cstheme="minorHAnsi"/>
          <w:sz w:val="26"/>
          <w:szCs w:val="26"/>
        </w:rPr>
        <w:t>.</w:t>
      </w:r>
      <w:r w:rsidRPr="002E39A3">
        <w:rPr>
          <w:rFonts w:asciiTheme="minorHAnsi" w:hAnsiTheme="minorHAnsi" w:cstheme="minorHAnsi"/>
          <w:sz w:val="26"/>
          <w:szCs w:val="26"/>
        </w:rPr>
        <w:t>M</w:t>
      </w:r>
      <w:r w:rsidR="005F2B01" w:rsidRPr="002E39A3">
        <w:rPr>
          <w:rFonts w:asciiTheme="minorHAnsi" w:hAnsiTheme="minorHAnsi" w:cstheme="minorHAnsi"/>
          <w:sz w:val="26"/>
          <w:szCs w:val="26"/>
        </w:rPr>
        <w:t>.</w:t>
      </w:r>
      <w:r w:rsidRPr="002E39A3">
        <w:rPr>
          <w:rFonts w:asciiTheme="minorHAnsi" w:hAnsiTheme="minorHAnsi" w:cstheme="minorHAnsi"/>
          <w:sz w:val="26"/>
          <w:szCs w:val="26"/>
        </w:rPr>
        <w:t xml:space="preserve"> a contribuit la dezvoltarea dialogului euro-arab în domeniul formării judiciare, consolidând totodată prezența României pe scena internațională a instituțiilor de perfecționare a magistraților.</w:t>
      </w:r>
    </w:p>
    <w:p w14:paraId="17BF0A0F" w14:textId="6534B9E8" w:rsidR="004330C1" w:rsidRPr="006A2E2B" w:rsidRDefault="004330C1" w:rsidP="009E3AD8">
      <w:pPr>
        <w:numPr>
          <w:ilvl w:val="1"/>
          <w:numId w:val="0"/>
        </w:numPr>
        <w:spacing w:line="276" w:lineRule="auto"/>
        <w:ind w:right="43" w:firstLine="708"/>
        <w:jc w:val="both"/>
        <w:rPr>
          <w:rFonts w:asciiTheme="minorHAnsi" w:hAnsiTheme="minorHAnsi" w:cstheme="minorHAnsi"/>
          <w:b/>
          <w:color w:val="000000" w:themeColor="text1"/>
          <w:sz w:val="26"/>
          <w:szCs w:val="26"/>
        </w:rPr>
      </w:pPr>
      <w:r w:rsidRPr="006A2E2B">
        <w:rPr>
          <w:rFonts w:asciiTheme="minorHAnsi" w:hAnsiTheme="minorHAnsi" w:cstheme="minorHAnsi"/>
          <w:b/>
          <w:color w:val="000000" w:themeColor="text1"/>
          <w:sz w:val="26"/>
          <w:szCs w:val="26"/>
        </w:rPr>
        <w:t xml:space="preserve">I.5.2. Activități derulate în cadrul componentei de formare inițială </w:t>
      </w:r>
    </w:p>
    <w:p w14:paraId="4EFC01F9" w14:textId="53A4E9D5" w:rsidR="004330C1" w:rsidRDefault="004330C1" w:rsidP="00281400">
      <w:pPr>
        <w:pStyle w:val="ListParagraph"/>
        <w:numPr>
          <w:ilvl w:val="0"/>
          <w:numId w:val="3"/>
        </w:numPr>
        <w:tabs>
          <w:tab w:val="left" w:pos="993"/>
        </w:tabs>
        <w:spacing w:line="276" w:lineRule="auto"/>
        <w:ind w:left="1170" w:right="43" w:hanging="461"/>
        <w:jc w:val="both"/>
        <w:rPr>
          <w:rFonts w:asciiTheme="minorHAnsi" w:hAnsiTheme="minorHAnsi" w:cstheme="minorHAnsi"/>
          <w:b/>
          <w:bCs/>
          <w:color w:val="000000" w:themeColor="text1"/>
          <w:sz w:val="26"/>
          <w:szCs w:val="26"/>
        </w:rPr>
      </w:pPr>
      <w:r w:rsidRPr="006A2E2B">
        <w:rPr>
          <w:rFonts w:asciiTheme="minorHAnsi" w:hAnsiTheme="minorHAnsi" w:cstheme="minorHAnsi"/>
          <w:b/>
          <w:bCs/>
          <w:color w:val="000000" w:themeColor="text1"/>
          <w:sz w:val="26"/>
          <w:szCs w:val="26"/>
        </w:rPr>
        <w:t>Concursul internațional THEMIS 2025</w:t>
      </w:r>
    </w:p>
    <w:p w14:paraId="32CE75F9" w14:textId="695DAC96" w:rsidR="00B66F68" w:rsidRPr="002E39A3" w:rsidRDefault="00B66F68" w:rsidP="00B66F68">
      <w:pPr>
        <w:shd w:val="clear" w:color="auto" w:fill="FFFFFF" w:themeFill="background1"/>
        <w:autoSpaceDE w:val="0"/>
        <w:autoSpaceDN w:val="0"/>
        <w:spacing w:line="276" w:lineRule="auto"/>
        <w:ind w:firstLine="706"/>
        <w:jc w:val="both"/>
        <w:rPr>
          <w:rFonts w:asciiTheme="minorHAnsi" w:hAnsiTheme="minorHAnsi" w:cstheme="minorHAnsi"/>
          <w:sz w:val="26"/>
          <w:szCs w:val="26"/>
        </w:rPr>
      </w:pPr>
      <w:r w:rsidRPr="002E39A3">
        <w:rPr>
          <w:rFonts w:asciiTheme="minorHAnsi" w:hAnsiTheme="minorHAnsi" w:cstheme="minorHAnsi"/>
          <w:sz w:val="26"/>
          <w:szCs w:val="26"/>
        </w:rPr>
        <w:t>Cea de a XX-a ediție a Competiției internaționale THEMIS a fost câștigată de o echipă a României, după ce, în anul anterior, câștigătoare a Competiției a fost desemnată, de asemenea, o echipă de auditori de justiție români. Este pentru a șasea oară, de la preluarea acestui eveniment ca activitate de formare inițială în catalogul E</w:t>
      </w:r>
      <w:r w:rsidR="00E7102F" w:rsidRPr="002E39A3">
        <w:rPr>
          <w:rFonts w:asciiTheme="minorHAnsi" w:hAnsiTheme="minorHAnsi" w:cstheme="minorHAnsi"/>
          <w:sz w:val="26"/>
          <w:szCs w:val="26"/>
        </w:rPr>
        <w:t>.</w:t>
      </w:r>
      <w:r w:rsidRPr="002E39A3">
        <w:rPr>
          <w:rFonts w:asciiTheme="minorHAnsi" w:hAnsiTheme="minorHAnsi" w:cstheme="minorHAnsi"/>
          <w:sz w:val="26"/>
          <w:szCs w:val="26"/>
        </w:rPr>
        <w:t>J</w:t>
      </w:r>
      <w:r w:rsidR="00E7102F" w:rsidRPr="002E39A3">
        <w:rPr>
          <w:rFonts w:asciiTheme="minorHAnsi" w:hAnsiTheme="minorHAnsi" w:cstheme="minorHAnsi"/>
          <w:sz w:val="26"/>
          <w:szCs w:val="26"/>
        </w:rPr>
        <w:t>.</w:t>
      </w:r>
      <w:r w:rsidRPr="002E39A3">
        <w:rPr>
          <w:rFonts w:asciiTheme="minorHAnsi" w:hAnsiTheme="minorHAnsi" w:cstheme="minorHAnsi"/>
          <w:sz w:val="26"/>
          <w:szCs w:val="26"/>
        </w:rPr>
        <w:t>T</w:t>
      </w:r>
      <w:r w:rsidR="00E7102F" w:rsidRPr="002E39A3">
        <w:rPr>
          <w:rFonts w:asciiTheme="minorHAnsi" w:hAnsiTheme="minorHAnsi" w:cstheme="minorHAnsi"/>
          <w:sz w:val="26"/>
          <w:szCs w:val="26"/>
        </w:rPr>
        <w:t>.</w:t>
      </w:r>
      <w:r w:rsidRPr="002E39A3">
        <w:rPr>
          <w:rFonts w:asciiTheme="minorHAnsi" w:hAnsiTheme="minorHAnsi" w:cstheme="minorHAnsi"/>
          <w:sz w:val="26"/>
          <w:szCs w:val="26"/>
        </w:rPr>
        <w:t>N</w:t>
      </w:r>
      <w:r w:rsidR="00E7102F" w:rsidRPr="002E39A3">
        <w:rPr>
          <w:rFonts w:asciiTheme="minorHAnsi" w:hAnsiTheme="minorHAnsi" w:cstheme="minorHAnsi"/>
          <w:sz w:val="26"/>
          <w:szCs w:val="26"/>
        </w:rPr>
        <w:t>.</w:t>
      </w:r>
      <w:r w:rsidRPr="002E39A3">
        <w:rPr>
          <w:rFonts w:asciiTheme="minorHAnsi" w:hAnsiTheme="minorHAnsi" w:cstheme="minorHAnsi"/>
          <w:sz w:val="26"/>
          <w:szCs w:val="26"/>
        </w:rPr>
        <w:t>, în anul 2010, când România ocupă locul I, fiind țara cu cele mai multe premii I obținute.</w:t>
      </w:r>
    </w:p>
    <w:p w14:paraId="35909472" w14:textId="77777777" w:rsidR="00B66F68" w:rsidRPr="006A2E2B" w:rsidRDefault="00B66F68" w:rsidP="00B66F68">
      <w:pPr>
        <w:shd w:val="clear" w:color="auto" w:fill="FFFFFF" w:themeFill="background1"/>
        <w:autoSpaceDE w:val="0"/>
        <w:autoSpaceDN w:val="0"/>
        <w:spacing w:line="276" w:lineRule="auto"/>
        <w:ind w:firstLine="706"/>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 xml:space="preserve">La </w:t>
      </w:r>
      <w:r>
        <w:rPr>
          <w:rFonts w:asciiTheme="minorHAnsi" w:hAnsiTheme="minorHAnsi" w:cstheme="minorHAnsi"/>
          <w:color w:val="000000" w:themeColor="text1"/>
          <w:sz w:val="26"/>
          <w:szCs w:val="26"/>
        </w:rPr>
        <w:t>ediția</w:t>
      </w:r>
      <w:r w:rsidRPr="006A2E2B">
        <w:rPr>
          <w:rFonts w:asciiTheme="minorHAnsi" w:hAnsiTheme="minorHAnsi" w:cstheme="minorHAnsi"/>
          <w:color w:val="000000" w:themeColor="text1"/>
          <w:sz w:val="26"/>
          <w:szCs w:val="26"/>
        </w:rPr>
        <w:t xml:space="preserve"> THEMIS </w:t>
      </w:r>
      <w:r>
        <w:rPr>
          <w:rFonts w:asciiTheme="minorHAnsi" w:hAnsiTheme="minorHAnsi" w:cstheme="minorHAnsi"/>
          <w:color w:val="000000" w:themeColor="text1"/>
          <w:sz w:val="26"/>
          <w:szCs w:val="26"/>
        </w:rPr>
        <w:t xml:space="preserve">din </w:t>
      </w:r>
      <w:r w:rsidRPr="006A2E2B">
        <w:rPr>
          <w:rFonts w:asciiTheme="minorHAnsi" w:hAnsiTheme="minorHAnsi" w:cstheme="minorHAnsi"/>
          <w:color w:val="000000" w:themeColor="text1"/>
          <w:sz w:val="26"/>
          <w:szCs w:val="26"/>
        </w:rPr>
        <w:t>2025, din partea I</w:t>
      </w:r>
      <w:r>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N</w:t>
      </w:r>
      <w:r>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M</w:t>
      </w:r>
      <w:r>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xml:space="preserve"> au participat patru echipe de auditori de justiție, după cum urmează: </w:t>
      </w:r>
    </w:p>
    <w:p w14:paraId="069B9BBB" w14:textId="77777777" w:rsidR="00B66F68" w:rsidRPr="002E39A3" w:rsidRDefault="00B66F68" w:rsidP="00B66F68">
      <w:pPr>
        <w:pStyle w:val="ListParagraph"/>
        <w:numPr>
          <w:ilvl w:val="0"/>
          <w:numId w:val="21"/>
        </w:numPr>
        <w:shd w:val="clear" w:color="auto" w:fill="FFFFFF" w:themeFill="background1"/>
        <w:autoSpaceDE w:val="0"/>
        <w:autoSpaceDN w:val="0"/>
        <w:spacing w:line="276" w:lineRule="auto"/>
        <w:jc w:val="both"/>
        <w:rPr>
          <w:rFonts w:asciiTheme="minorHAnsi" w:hAnsiTheme="minorHAnsi" w:cstheme="minorHAnsi"/>
          <w:sz w:val="26"/>
          <w:szCs w:val="26"/>
        </w:rPr>
      </w:pPr>
      <w:r w:rsidRPr="002E39A3">
        <w:rPr>
          <w:rFonts w:asciiTheme="minorHAnsi" w:hAnsiTheme="minorHAnsi" w:cstheme="minorHAnsi"/>
          <w:sz w:val="26"/>
          <w:szCs w:val="26"/>
        </w:rPr>
        <w:t>o echipă în cadrul Semifinalei A – EU and European Criminal procedural law (26 – 30 mai 2025, Valetta, Malta), coordonată de un formator cu normă întreagă în cadrul Institutului. Aceasta s-a clasat pe locul al II-lea în cadrul Semifinalei, obținând calificarea în Marea finală a Competiției, care a avut loc în perioada 9 – 12 decembrie 2025, la Luxemburg, la sediul Curții de Justiție a Uniunii Europene. În urma participării la Marea finală, această echipă a obținut locul al III-lea.</w:t>
      </w:r>
    </w:p>
    <w:p w14:paraId="1AB1FEE5" w14:textId="77777777" w:rsidR="00B66F68" w:rsidRPr="002E39A3" w:rsidRDefault="00B66F68" w:rsidP="00B66F68">
      <w:pPr>
        <w:pStyle w:val="ListParagraph"/>
        <w:numPr>
          <w:ilvl w:val="0"/>
          <w:numId w:val="21"/>
        </w:numPr>
        <w:shd w:val="clear" w:color="auto" w:fill="FFFFFF" w:themeFill="background1"/>
        <w:autoSpaceDE w:val="0"/>
        <w:autoSpaceDN w:val="0"/>
        <w:spacing w:line="276" w:lineRule="auto"/>
        <w:jc w:val="both"/>
        <w:rPr>
          <w:rFonts w:asciiTheme="minorHAnsi" w:hAnsiTheme="minorHAnsi" w:cstheme="minorHAnsi"/>
          <w:sz w:val="26"/>
          <w:szCs w:val="26"/>
        </w:rPr>
      </w:pPr>
      <w:r w:rsidRPr="002E39A3">
        <w:rPr>
          <w:rFonts w:asciiTheme="minorHAnsi" w:hAnsiTheme="minorHAnsi" w:cstheme="minorHAnsi"/>
          <w:sz w:val="26"/>
          <w:szCs w:val="26"/>
        </w:rPr>
        <w:lastRenderedPageBreak/>
        <w:t>o echipă în cadrul Semifinalei B – EU and European Family law</w:t>
      </w:r>
      <w:r w:rsidRPr="002E39A3">
        <w:rPr>
          <w:rFonts w:asciiTheme="minorHAnsi" w:hAnsiTheme="minorHAnsi" w:cstheme="minorHAnsi"/>
          <w:i/>
          <w:iCs/>
          <w:sz w:val="26"/>
          <w:szCs w:val="26"/>
        </w:rPr>
        <w:t xml:space="preserve"> </w:t>
      </w:r>
      <w:r w:rsidRPr="002E39A3">
        <w:rPr>
          <w:rFonts w:asciiTheme="minorHAnsi" w:hAnsiTheme="minorHAnsi" w:cstheme="minorHAnsi"/>
          <w:sz w:val="26"/>
          <w:szCs w:val="26"/>
        </w:rPr>
        <w:t>(30 iunie – 4 iulie 2025, Napoli, Italia), de asemenea coordonată de un formator cu normă întreagă al Institutului. Aceasta a obținut locul I în Semifinală și, implicit, calificarea în  Marea finală a Competiției, fiind desemnată câștigătoare a celei de a XX-a ediții a Competiției.</w:t>
      </w:r>
    </w:p>
    <w:p w14:paraId="73F6F732" w14:textId="1170A3D9" w:rsidR="004330C1" w:rsidRPr="006A2E2B" w:rsidRDefault="004330C1" w:rsidP="00281400">
      <w:pPr>
        <w:pStyle w:val="ListParagraph"/>
        <w:numPr>
          <w:ilvl w:val="0"/>
          <w:numId w:val="21"/>
        </w:numPr>
        <w:shd w:val="clear" w:color="auto" w:fill="FFFFFF" w:themeFill="background1"/>
        <w:autoSpaceDE w:val="0"/>
        <w:autoSpaceDN w:val="0"/>
        <w:spacing w:line="276" w:lineRule="auto"/>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 xml:space="preserve">o echipă în cadrul </w:t>
      </w:r>
      <w:bookmarkStart w:id="48" w:name="_Hlk117078008"/>
      <w:r w:rsidRPr="006A2E2B">
        <w:rPr>
          <w:rFonts w:asciiTheme="minorHAnsi" w:hAnsiTheme="minorHAnsi" w:cstheme="minorHAnsi"/>
          <w:color w:val="000000" w:themeColor="text1"/>
          <w:sz w:val="26"/>
          <w:szCs w:val="26"/>
        </w:rPr>
        <w:t>Semifinalei C</w:t>
      </w:r>
      <w:bookmarkEnd w:id="48"/>
      <w:r w:rsidRPr="006A2E2B">
        <w:rPr>
          <w:rFonts w:asciiTheme="minorHAnsi" w:hAnsiTheme="minorHAnsi" w:cstheme="minorHAnsi"/>
          <w:color w:val="000000" w:themeColor="text1"/>
          <w:sz w:val="26"/>
          <w:szCs w:val="26"/>
        </w:rPr>
        <w:t xml:space="preserve"> – </w:t>
      </w:r>
      <w:r w:rsidRPr="00E44059">
        <w:rPr>
          <w:rFonts w:asciiTheme="minorHAnsi" w:hAnsiTheme="minorHAnsi" w:cstheme="minorHAnsi"/>
          <w:color w:val="000000" w:themeColor="text1"/>
          <w:sz w:val="26"/>
          <w:szCs w:val="26"/>
        </w:rPr>
        <w:t>EU and European Civil procedural law</w:t>
      </w:r>
      <w:r w:rsidRPr="006A2E2B">
        <w:rPr>
          <w:rFonts w:asciiTheme="minorHAnsi" w:hAnsiTheme="minorHAnsi" w:cstheme="minorHAnsi"/>
          <w:i/>
          <w:iCs/>
          <w:color w:val="000000" w:themeColor="text1"/>
          <w:sz w:val="26"/>
          <w:szCs w:val="26"/>
        </w:rPr>
        <w:t xml:space="preserve"> </w:t>
      </w:r>
      <w:r w:rsidRPr="006A2E2B">
        <w:rPr>
          <w:rFonts w:asciiTheme="minorHAnsi" w:hAnsiTheme="minorHAnsi" w:cstheme="minorHAnsi"/>
          <w:color w:val="000000" w:themeColor="text1"/>
          <w:sz w:val="26"/>
          <w:szCs w:val="26"/>
        </w:rPr>
        <w:t>(12 – 16 mai</w:t>
      </w:r>
      <w:r w:rsidR="00384EA2">
        <w:rPr>
          <w:rFonts w:asciiTheme="minorHAnsi" w:hAnsiTheme="minorHAnsi" w:cstheme="minorHAnsi"/>
          <w:color w:val="000000" w:themeColor="text1"/>
          <w:sz w:val="26"/>
          <w:szCs w:val="26"/>
        </w:rPr>
        <w:t xml:space="preserve"> 2025</w:t>
      </w:r>
      <w:r w:rsidRPr="006A2E2B">
        <w:rPr>
          <w:rFonts w:asciiTheme="minorHAnsi" w:hAnsiTheme="minorHAnsi" w:cstheme="minorHAnsi"/>
          <w:color w:val="000000" w:themeColor="text1"/>
          <w:sz w:val="26"/>
          <w:szCs w:val="26"/>
        </w:rPr>
        <w:t>, Lisabona, Portugalia), coordonată de un judecător, fost participant, câștigător al Competiției în anul 2022. În semn de apreciere pentru contribuția deosebită a echipei române, Juriul a acordat acesteia premiul constând în publicarea lucrării în Themis Annual Journal.</w:t>
      </w:r>
    </w:p>
    <w:p w14:paraId="277AD1C6" w14:textId="5C07B2E2" w:rsidR="004330C1" w:rsidRPr="006A2E2B" w:rsidRDefault="004330C1" w:rsidP="00281400">
      <w:pPr>
        <w:pStyle w:val="ListParagraph"/>
        <w:numPr>
          <w:ilvl w:val="0"/>
          <w:numId w:val="21"/>
        </w:numPr>
        <w:shd w:val="clear" w:color="auto" w:fill="FFFFFF" w:themeFill="background1"/>
        <w:autoSpaceDE w:val="0"/>
        <w:autoSpaceDN w:val="0"/>
        <w:spacing w:line="276" w:lineRule="auto"/>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 xml:space="preserve">o echipă în cadrul Semifinalei D – categoria </w:t>
      </w:r>
      <w:r w:rsidRPr="00E44059">
        <w:rPr>
          <w:rFonts w:asciiTheme="minorHAnsi" w:hAnsiTheme="minorHAnsi" w:cstheme="minorHAnsi"/>
          <w:color w:val="000000" w:themeColor="text1"/>
          <w:sz w:val="26"/>
          <w:szCs w:val="26"/>
        </w:rPr>
        <w:t>Judicial Ethics and Professional Conduct</w:t>
      </w:r>
      <w:r w:rsidRPr="006A2E2B">
        <w:rPr>
          <w:rFonts w:asciiTheme="minorHAnsi" w:hAnsiTheme="minorHAnsi" w:cstheme="minorHAnsi"/>
          <w:i/>
          <w:iCs/>
          <w:color w:val="000000" w:themeColor="text1"/>
          <w:sz w:val="26"/>
          <w:szCs w:val="26"/>
        </w:rPr>
        <w:t xml:space="preserve"> </w:t>
      </w:r>
      <w:r w:rsidRPr="006A2E2B">
        <w:rPr>
          <w:rFonts w:asciiTheme="minorHAnsi" w:hAnsiTheme="minorHAnsi" w:cstheme="minorHAnsi"/>
          <w:color w:val="000000" w:themeColor="text1"/>
          <w:sz w:val="26"/>
          <w:szCs w:val="26"/>
        </w:rPr>
        <w:t>(9 – 13 iunie</w:t>
      </w:r>
      <w:r w:rsidR="00384EA2">
        <w:rPr>
          <w:rFonts w:asciiTheme="minorHAnsi" w:hAnsiTheme="minorHAnsi" w:cstheme="minorHAnsi"/>
          <w:color w:val="000000" w:themeColor="text1"/>
          <w:sz w:val="26"/>
          <w:szCs w:val="26"/>
        </w:rPr>
        <w:t xml:space="preserve"> 2025</w:t>
      </w:r>
      <w:r w:rsidRPr="006A2E2B">
        <w:rPr>
          <w:rFonts w:asciiTheme="minorHAnsi" w:hAnsiTheme="minorHAnsi" w:cstheme="minorHAnsi"/>
          <w:color w:val="000000" w:themeColor="text1"/>
          <w:sz w:val="26"/>
          <w:szCs w:val="26"/>
        </w:rPr>
        <w:t>, Vilnius, Lituania)</w:t>
      </w:r>
      <w:bookmarkStart w:id="49" w:name="_Hlk122093296"/>
      <w:r w:rsidRPr="006A2E2B">
        <w:rPr>
          <w:rFonts w:asciiTheme="minorHAnsi" w:hAnsiTheme="minorHAnsi" w:cstheme="minorHAnsi"/>
          <w:color w:val="000000" w:themeColor="text1"/>
          <w:sz w:val="26"/>
          <w:szCs w:val="26"/>
        </w:rPr>
        <w:t>, coordonată de un formator cu normă întreagă al Institutului.</w:t>
      </w:r>
      <w:bookmarkEnd w:id="49"/>
    </w:p>
    <w:p w14:paraId="63B125C3" w14:textId="0461B313" w:rsidR="004330C1" w:rsidRPr="006A2E2B" w:rsidRDefault="004330C1" w:rsidP="00281400">
      <w:pPr>
        <w:pStyle w:val="ListParagraph"/>
        <w:numPr>
          <w:ilvl w:val="0"/>
          <w:numId w:val="3"/>
        </w:numPr>
        <w:shd w:val="clear" w:color="auto" w:fill="FFFFFF" w:themeFill="background1"/>
        <w:spacing w:line="276" w:lineRule="auto"/>
        <w:ind w:left="1170" w:right="43"/>
        <w:jc w:val="both"/>
        <w:rPr>
          <w:rFonts w:asciiTheme="minorHAnsi" w:hAnsiTheme="minorHAnsi" w:cstheme="minorHAnsi"/>
          <w:b/>
          <w:bCs/>
          <w:color w:val="000000" w:themeColor="text1"/>
          <w:sz w:val="26"/>
          <w:szCs w:val="26"/>
        </w:rPr>
      </w:pPr>
      <w:r w:rsidRPr="006A2E2B">
        <w:rPr>
          <w:rFonts w:asciiTheme="minorHAnsi" w:hAnsiTheme="minorHAnsi" w:cstheme="minorHAnsi"/>
          <w:b/>
          <w:bCs/>
          <w:color w:val="000000" w:themeColor="text1"/>
          <w:sz w:val="26"/>
          <w:szCs w:val="26"/>
        </w:rPr>
        <w:t>Programul de schimb dedicat auditorilor de justiție și tinerilor magistrați europeni (AI</w:t>
      </w:r>
      <w:r w:rsidR="008A2CC8">
        <w:rPr>
          <w:rFonts w:asciiTheme="minorHAnsi" w:hAnsiTheme="minorHAnsi" w:cstheme="minorHAnsi"/>
          <w:b/>
          <w:bCs/>
          <w:color w:val="000000" w:themeColor="text1"/>
          <w:sz w:val="26"/>
          <w:szCs w:val="26"/>
        </w:rPr>
        <w:t>.</w:t>
      </w:r>
      <w:r w:rsidRPr="006A2E2B">
        <w:rPr>
          <w:rFonts w:asciiTheme="minorHAnsi" w:hAnsiTheme="minorHAnsi" w:cstheme="minorHAnsi"/>
          <w:b/>
          <w:bCs/>
          <w:color w:val="000000" w:themeColor="text1"/>
          <w:sz w:val="26"/>
          <w:szCs w:val="26"/>
        </w:rPr>
        <w:t>A</w:t>
      </w:r>
      <w:r w:rsidR="008A2CC8">
        <w:rPr>
          <w:rFonts w:asciiTheme="minorHAnsi" w:hAnsiTheme="minorHAnsi" w:cstheme="minorHAnsi"/>
          <w:b/>
          <w:bCs/>
          <w:color w:val="000000" w:themeColor="text1"/>
          <w:sz w:val="26"/>
          <w:szCs w:val="26"/>
        </w:rPr>
        <w:t>.</w:t>
      </w:r>
      <w:r w:rsidRPr="006A2E2B">
        <w:rPr>
          <w:rFonts w:asciiTheme="minorHAnsi" w:hAnsiTheme="minorHAnsi" w:cstheme="minorHAnsi"/>
          <w:b/>
          <w:bCs/>
          <w:color w:val="000000" w:themeColor="text1"/>
          <w:sz w:val="26"/>
          <w:szCs w:val="26"/>
        </w:rPr>
        <w:t>K</w:t>
      </w:r>
      <w:r w:rsidR="008A2CC8">
        <w:rPr>
          <w:rFonts w:asciiTheme="minorHAnsi" w:hAnsiTheme="minorHAnsi" w:cstheme="minorHAnsi"/>
          <w:b/>
          <w:bCs/>
          <w:color w:val="000000" w:themeColor="text1"/>
          <w:sz w:val="26"/>
          <w:szCs w:val="26"/>
        </w:rPr>
        <w:t>.</w:t>
      </w:r>
      <w:r w:rsidRPr="006A2E2B">
        <w:rPr>
          <w:rFonts w:asciiTheme="minorHAnsi" w:hAnsiTheme="minorHAnsi" w:cstheme="minorHAnsi"/>
          <w:b/>
          <w:bCs/>
          <w:color w:val="000000" w:themeColor="text1"/>
          <w:sz w:val="26"/>
          <w:szCs w:val="26"/>
        </w:rPr>
        <w:t>O</w:t>
      </w:r>
      <w:r w:rsidR="008A2CC8">
        <w:rPr>
          <w:rFonts w:asciiTheme="minorHAnsi" w:hAnsiTheme="minorHAnsi" w:cstheme="minorHAnsi"/>
          <w:b/>
          <w:bCs/>
          <w:color w:val="000000" w:themeColor="text1"/>
          <w:sz w:val="26"/>
          <w:szCs w:val="26"/>
        </w:rPr>
        <w:t>.</w:t>
      </w:r>
      <w:r w:rsidRPr="006A2E2B">
        <w:rPr>
          <w:rFonts w:asciiTheme="minorHAnsi" w:hAnsiTheme="minorHAnsi" w:cstheme="minorHAnsi"/>
          <w:b/>
          <w:bCs/>
          <w:color w:val="000000" w:themeColor="text1"/>
          <w:sz w:val="26"/>
          <w:szCs w:val="26"/>
        </w:rPr>
        <w:t>S</w:t>
      </w:r>
      <w:r w:rsidR="008A2CC8">
        <w:rPr>
          <w:rFonts w:asciiTheme="minorHAnsi" w:hAnsiTheme="minorHAnsi" w:cstheme="minorHAnsi"/>
          <w:b/>
          <w:bCs/>
          <w:color w:val="000000" w:themeColor="text1"/>
          <w:sz w:val="26"/>
          <w:szCs w:val="26"/>
        </w:rPr>
        <w:t>.</w:t>
      </w:r>
      <w:r w:rsidRPr="006A2E2B">
        <w:rPr>
          <w:rFonts w:asciiTheme="minorHAnsi" w:hAnsiTheme="minorHAnsi" w:cstheme="minorHAnsi"/>
          <w:b/>
          <w:bCs/>
          <w:color w:val="000000" w:themeColor="text1"/>
          <w:sz w:val="26"/>
          <w:szCs w:val="26"/>
        </w:rPr>
        <w:t xml:space="preserve">) </w:t>
      </w:r>
    </w:p>
    <w:p w14:paraId="4B6CC25B" w14:textId="77777777" w:rsidR="00BF6D1B" w:rsidRPr="002E39A3" w:rsidRDefault="00BF6D1B" w:rsidP="009E3AD8">
      <w:pPr>
        <w:shd w:val="clear" w:color="auto" w:fill="FFFFFF" w:themeFill="background1"/>
        <w:spacing w:line="276" w:lineRule="auto"/>
        <w:ind w:right="43" w:firstLine="708"/>
        <w:jc w:val="both"/>
        <w:rPr>
          <w:rFonts w:asciiTheme="minorHAnsi" w:hAnsiTheme="minorHAnsi" w:cstheme="minorHAnsi"/>
          <w:sz w:val="26"/>
          <w:szCs w:val="26"/>
        </w:rPr>
      </w:pPr>
      <w:bookmarkStart w:id="50" w:name="_Hlk117077492"/>
      <w:r w:rsidRPr="002E39A3">
        <w:rPr>
          <w:rFonts w:asciiTheme="minorHAnsi" w:hAnsiTheme="minorHAnsi" w:cstheme="minorHAnsi"/>
          <w:sz w:val="26"/>
          <w:szCs w:val="26"/>
        </w:rPr>
        <w:t>În anul 2025, Institutul Național al Magistraturii a asigurat desfășurarea a două sesiuni ale programului de schimb A.I.A.K.O.S. dedicat auditorilor de justiție și tinerilor judecători și procurori, organizat de Rețeaua Europeană de Formare Judiciară (E.J.T.N./R.E.F.J.), cu participarea unui număr total de 80 auditori de justiție români.</w:t>
      </w:r>
    </w:p>
    <w:p w14:paraId="612FD29D" w14:textId="3CBA200F" w:rsidR="004330C1" w:rsidRPr="006A2E2B" w:rsidRDefault="004330C1" w:rsidP="009E3AD8">
      <w:pPr>
        <w:shd w:val="clear" w:color="auto" w:fill="FFFFFF" w:themeFill="background1"/>
        <w:spacing w:line="276" w:lineRule="auto"/>
        <w:ind w:right="43" w:firstLine="708"/>
        <w:jc w:val="both"/>
        <w:rPr>
          <w:rFonts w:asciiTheme="minorHAnsi" w:hAnsiTheme="minorHAnsi" w:cstheme="minorHAnsi"/>
          <w:color w:val="000000" w:themeColor="text1"/>
          <w:sz w:val="26"/>
          <w:szCs w:val="26"/>
          <w:lang w:val="fr-FR"/>
        </w:rPr>
      </w:pPr>
      <w:r w:rsidRPr="006A2E2B">
        <w:rPr>
          <w:rFonts w:asciiTheme="minorHAnsi" w:hAnsiTheme="minorHAnsi" w:cstheme="minorHAnsi"/>
          <w:color w:val="000000" w:themeColor="text1"/>
          <w:sz w:val="26"/>
          <w:szCs w:val="26"/>
        </w:rPr>
        <w:t>Astfel, în cadrul sesiunii de primăvară, I</w:t>
      </w:r>
      <w:r w:rsidR="006251A5">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N</w:t>
      </w:r>
      <w:r w:rsidR="006251A5">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M</w:t>
      </w:r>
      <w:r w:rsidR="006251A5">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xml:space="preserve"> a primit, în perioada 19 – 23 mai 2025, vizita unui grup alcătuit din 36 </w:t>
      </w:r>
      <w:r w:rsidR="00035473">
        <w:rPr>
          <w:rFonts w:asciiTheme="minorHAnsi" w:hAnsiTheme="minorHAnsi" w:cstheme="minorHAnsi"/>
          <w:color w:val="000000" w:themeColor="text1"/>
          <w:sz w:val="26"/>
          <w:szCs w:val="26"/>
        </w:rPr>
        <w:t xml:space="preserve">de </w:t>
      </w:r>
      <w:r w:rsidRPr="006A2E2B">
        <w:rPr>
          <w:rFonts w:asciiTheme="minorHAnsi" w:hAnsiTheme="minorHAnsi" w:cstheme="minorHAnsi"/>
          <w:color w:val="000000" w:themeColor="text1"/>
          <w:sz w:val="26"/>
          <w:szCs w:val="26"/>
        </w:rPr>
        <w:t xml:space="preserve">viitori/tineri judecători și procurori din Germania, Grecia, Italia, Malta, Polonia și Spania, cărora li s-au alăturat, pe parcursul activităților, și auditori de justiție români.  Agenda programului a inclus sesiuni de intercunoaștere, activități care au avut drept scop familiarizarea participanților cu sistemele judiciare ale statelor reprezentate; ateliere de lucru dedicate cooperării judiciare internaționale în materie penală, precum și jurisprudenței Curții Europene a Drepturilor Omului; ateliere de soft skills; dezbateri și studii de caz în domeniul criminalisticii, precum și vizite la Direcția de Investigare a Infracțiunilor de Criminalitate Organizată și Terorism și la Curtea de Apel București, unde a fost facilitată participarea la ședințe de judecată. </w:t>
      </w:r>
      <w:proofErr w:type="spellStart"/>
      <w:r w:rsidRPr="006A2E2B">
        <w:rPr>
          <w:rFonts w:asciiTheme="minorHAnsi" w:hAnsiTheme="minorHAnsi" w:cstheme="minorHAnsi"/>
          <w:color w:val="000000" w:themeColor="text1"/>
          <w:sz w:val="26"/>
          <w:szCs w:val="26"/>
          <w:lang w:val="fr-FR"/>
        </w:rPr>
        <w:t>Toate</w:t>
      </w:r>
      <w:proofErr w:type="spellEnd"/>
      <w:r w:rsidRPr="006A2E2B">
        <w:rPr>
          <w:rFonts w:asciiTheme="minorHAnsi" w:hAnsiTheme="minorHAnsi" w:cstheme="minorHAnsi"/>
          <w:color w:val="000000" w:themeColor="text1"/>
          <w:sz w:val="26"/>
          <w:szCs w:val="26"/>
          <w:lang w:val="fr-FR"/>
        </w:rPr>
        <w:t xml:space="preserve"> </w:t>
      </w:r>
      <w:proofErr w:type="spellStart"/>
      <w:r w:rsidRPr="006A2E2B">
        <w:rPr>
          <w:rFonts w:asciiTheme="minorHAnsi" w:hAnsiTheme="minorHAnsi" w:cstheme="minorHAnsi"/>
          <w:color w:val="000000" w:themeColor="text1"/>
          <w:sz w:val="26"/>
          <w:szCs w:val="26"/>
          <w:lang w:val="fr-FR"/>
        </w:rPr>
        <w:t>aceste</w:t>
      </w:r>
      <w:proofErr w:type="spellEnd"/>
      <w:r w:rsidRPr="006A2E2B">
        <w:rPr>
          <w:rFonts w:asciiTheme="minorHAnsi" w:hAnsiTheme="minorHAnsi" w:cstheme="minorHAnsi"/>
          <w:color w:val="000000" w:themeColor="text1"/>
          <w:sz w:val="26"/>
          <w:szCs w:val="26"/>
          <w:lang w:val="fr-FR"/>
        </w:rPr>
        <w:t xml:space="preserve"> </w:t>
      </w:r>
      <w:proofErr w:type="spellStart"/>
      <w:r w:rsidRPr="006A2E2B">
        <w:rPr>
          <w:rFonts w:asciiTheme="minorHAnsi" w:hAnsiTheme="minorHAnsi" w:cstheme="minorHAnsi"/>
          <w:color w:val="000000" w:themeColor="text1"/>
          <w:sz w:val="26"/>
          <w:szCs w:val="26"/>
          <w:lang w:val="fr-FR"/>
        </w:rPr>
        <w:t>activități</w:t>
      </w:r>
      <w:proofErr w:type="spellEnd"/>
      <w:r w:rsidRPr="006A2E2B">
        <w:rPr>
          <w:rFonts w:asciiTheme="minorHAnsi" w:hAnsiTheme="minorHAnsi" w:cstheme="minorHAnsi"/>
          <w:color w:val="000000" w:themeColor="text1"/>
          <w:sz w:val="26"/>
          <w:szCs w:val="26"/>
          <w:lang w:val="fr-FR"/>
        </w:rPr>
        <w:t xml:space="preserve"> au </w:t>
      </w:r>
      <w:proofErr w:type="spellStart"/>
      <w:r w:rsidRPr="006A2E2B">
        <w:rPr>
          <w:rFonts w:asciiTheme="minorHAnsi" w:hAnsiTheme="minorHAnsi" w:cstheme="minorHAnsi"/>
          <w:color w:val="000000" w:themeColor="text1"/>
          <w:sz w:val="26"/>
          <w:szCs w:val="26"/>
          <w:lang w:val="fr-FR"/>
        </w:rPr>
        <w:t>fost</w:t>
      </w:r>
      <w:proofErr w:type="spellEnd"/>
      <w:r w:rsidRPr="006A2E2B">
        <w:rPr>
          <w:rFonts w:asciiTheme="minorHAnsi" w:hAnsiTheme="minorHAnsi" w:cstheme="minorHAnsi"/>
          <w:color w:val="000000" w:themeColor="text1"/>
          <w:sz w:val="26"/>
          <w:szCs w:val="26"/>
          <w:lang w:val="fr-FR"/>
        </w:rPr>
        <w:t xml:space="preserve"> </w:t>
      </w:r>
      <w:proofErr w:type="spellStart"/>
      <w:r w:rsidRPr="006A2E2B">
        <w:rPr>
          <w:rFonts w:asciiTheme="minorHAnsi" w:hAnsiTheme="minorHAnsi" w:cstheme="minorHAnsi"/>
          <w:color w:val="000000" w:themeColor="text1"/>
          <w:sz w:val="26"/>
          <w:szCs w:val="26"/>
          <w:lang w:val="fr-FR"/>
        </w:rPr>
        <w:t>susținute</w:t>
      </w:r>
      <w:proofErr w:type="spellEnd"/>
      <w:r w:rsidRPr="006A2E2B">
        <w:rPr>
          <w:rFonts w:asciiTheme="minorHAnsi" w:hAnsiTheme="minorHAnsi" w:cstheme="minorHAnsi"/>
          <w:color w:val="000000" w:themeColor="text1"/>
          <w:sz w:val="26"/>
          <w:szCs w:val="26"/>
          <w:lang w:val="fr-FR"/>
        </w:rPr>
        <w:t xml:space="preserve"> </w:t>
      </w:r>
      <w:proofErr w:type="spellStart"/>
      <w:r w:rsidRPr="006A2E2B">
        <w:rPr>
          <w:rFonts w:asciiTheme="minorHAnsi" w:hAnsiTheme="minorHAnsi" w:cstheme="minorHAnsi"/>
          <w:color w:val="000000" w:themeColor="text1"/>
          <w:sz w:val="26"/>
          <w:szCs w:val="26"/>
          <w:lang w:val="fr-FR"/>
        </w:rPr>
        <w:t>și</w:t>
      </w:r>
      <w:proofErr w:type="spellEnd"/>
      <w:r w:rsidRPr="006A2E2B">
        <w:rPr>
          <w:rFonts w:asciiTheme="minorHAnsi" w:hAnsiTheme="minorHAnsi" w:cstheme="minorHAnsi"/>
          <w:color w:val="000000" w:themeColor="text1"/>
          <w:sz w:val="26"/>
          <w:szCs w:val="26"/>
          <w:lang w:val="fr-FR"/>
        </w:rPr>
        <w:t xml:space="preserve"> </w:t>
      </w:r>
      <w:proofErr w:type="spellStart"/>
      <w:r w:rsidRPr="006A2E2B">
        <w:rPr>
          <w:rFonts w:asciiTheme="minorHAnsi" w:hAnsiTheme="minorHAnsi" w:cstheme="minorHAnsi"/>
          <w:color w:val="000000" w:themeColor="text1"/>
          <w:sz w:val="26"/>
          <w:szCs w:val="26"/>
          <w:lang w:val="fr-FR"/>
        </w:rPr>
        <w:t>coordonate</w:t>
      </w:r>
      <w:proofErr w:type="spellEnd"/>
      <w:r w:rsidRPr="006A2E2B">
        <w:rPr>
          <w:rFonts w:asciiTheme="minorHAnsi" w:hAnsiTheme="minorHAnsi" w:cstheme="minorHAnsi"/>
          <w:color w:val="000000" w:themeColor="text1"/>
          <w:sz w:val="26"/>
          <w:szCs w:val="26"/>
          <w:lang w:val="fr-FR"/>
        </w:rPr>
        <w:t xml:space="preserve"> de </w:t>
      </w:r>
      <w:proofErr w:type="spellStart"/>
      <w:r w:rsidRPr="006A2E2B">
        <w:rPr>
          <w:rFonts w:asciiTheme="minorHAnsi" w:hAnsiTheme="minorHAnsi" w:cstheme="minorHAnsi"/>
          <w:color w:val="000000" w:themeColor="text1"/>
          <w:sz w:val="26"/>
          <w:szCs w:val="26"/>
          <w:lang w:val="fr-FR"/>
        </w:rPr>
        <w:t>formatori</w:t>
      </w:r>
      <w:proofErr w:type="spellEnd"/>
      <w:r w:rsidRPr="006A2E2B">
        <w:rPr>
          <w:rFonts w:asciiTheme="minorHAnsi" w:hAnsiTheme="minorHAnsi" w:cstheme="minorHAnsi"/>
          <w:color w:val="000000" w:themeColor="text1"/>
          <w:sz w:val="26"/>
          <w:szCs w:val="26"/>
          <w:lang w:val="fr-FR"/>
        </w:rPr>
        <w:t xml:space="preserve"> ai </w:t>
      </w:r>
      <w:proofErr w:type="spellStart"/>
      <w:r w:rsidRPr="006A2E2B">
        <w:rPr>
          <w:rFonts w:asciiTheme="minorHAnsi" w:hAnsiTheme="minorHAnsi" w:cstheme="minorHAnsi"/>
          <w:color w:val="000000" w:themeColor="text1"/>
          <w:sz w:val="26"/>
          <w:szCs w:val="26"/>
          <w:lang w:val="fr-FR"/>
        </w:rPr>
        <w:t>Institutului</w:t>
      </w:r>
      <w:proofErr w:type="spellEnd"/>
      <w:r w:rsidRPr="006A2E2B">
        <w:rPr>
          <w:rFonts w:asciiTheme="minorHAnsi" w:hAnsiTheme="minorHAnsi" w:cstheme="minorHAnsi"/>
          <w:color w:val="000000" w:themeColor="text1"/>
          <w:sz w:val="26"/>
          <w:szCs w:val="26"/>
          <w:lang w:val="fr-FR"/>
        </w:rPr>
        <w:t xml:space="preserve">. </w:t>
      </w:r>
    </w:p>
    <w:p w14:paraId="02AFBBAA" w14:textId="731AA0AA" w:rsidR="004330C1" w:rsidRPr="002E39A3" w:rsidRDefault="004330C1" w:rsidP="001A3940">
      <w:pPr>
        <w:shd w:val="clear" w:color="auto" w:fill="FFFFFF" w:themeFill="background1"/>
        <w:spacing w:line="276" w:lineRule="auto"/>
        <w:ind w:right="43" w:firstLine="708"/>
        <w:jc w:val="both"/>
        <w:rPr>
          <w:rFonts w:asciiTheme="minorHAnsi" w:hAnsiTheme="minorHAnsi" w:cstheme="minorHAnsi"/>
          <w:sz w:val="26"/>
          <w:szCs w:val="26"/>
        </w:rPr>
      </w:pPr>
      <w:r w:rsidRPr="002E39A3">
        <w:rPr>
          <w:rFonts w:asciiTheme="minorHAnsi" w:hAnsiTheme="minorHAnsi" w:cstheme="minorHAnsi"/>
          <w:sz w:val="26"/>
          <w:szCs w:val="26"/>
        </w:rPr>
        <w:t xml:space="preserve">A doua etapă a programului </w:t>
      </w:r>
      <w:r w:rsidR="00E44059" w:rsidRPr="002E39A3">
        <w:rPr>
          <w:rFonts w:asciiTheme="minorHAnsi" w:hAnsiTheme="minorHAnsi" w:cstheme="minorHAnsi"/>
          <w:sz w:val="26"/>
          <w:szCs w:val="26"/>
        </w:rPr>
        <w:t xml:space="preserve">s-a desfăşurat </w:t>
      </w:r>
      <w:r w:rsidRPr="002E39A3">
        <w:rPr>
          <w:rFonts w:asciiTheme="minorHAnsi" w:hAnsiTheme="minorHAnsi" w:cstheme="minorHAnsi"/>
          <w:sz w:val="26"/>
          <w:szCs w:val="26"/>
        </w:rPr>
        <w:t>în luna noiembrie</w:t>
      </w:r>
      <w:r w:rsidR="00E44059" w:rsidRPr="002E39A3">
        <w:rPr>
          <w:rFonts w:asciiTheme="minorHAnsi" w:hAnsiTheme="minorHAnsi" w:cstheme="minorHAnsi"/>
          <w:sz w:val="26"/>
          <w:szCs w:val="26"/>
        </w:rPr>
        <w:t xml:space="preserve"> 2025</w:t>
      </w:r>
      <w:r w:rsidRPr="002E39A3">
        <w:rPr>
          <w:rFonts w:asciiTheme="minorHAnsi" w:hAnsiTheme="minorHAnsi" w:cstheme="minorHAnsi"/>
          <w:sz w:val="26"/>
          <w:szCs w:val="26"/>
        </w:rPr>
        <w:t xml:space="preserve">. În intervalul  </w:t>
      </w:r>
      <w:r w:rsidR="002E39A3" w:rsidRPr="002E39A3">
        <w:rPr>
          <w:rFonts w:asciiTheme="minorHAnsi" w:hAnsiTheme="minorHAnsi" w:cstheme="minorHAnsi"/>
          <w:sz w:val="26"/>
          <w:szCs w:val="26"/>
        </w:rPr>
        <w:t>0</w:t>
      </w:r>
      <w:r w:rsidRPr="002E39A3">
        <w:rPr>
          <w:rFonts w:asciiTheme="minorHAnsi" w:hAnsiTheme="minorHAnsi" w:cstheme="minorHAnsi"/>
          <w:sz w:val="26"/>
          <w:szCs w:val="26"/>
        </w:rPr>
        <w:t xml:space="preserve">3 – </w:t>
      </w:r>
      <w:r w:rsidR="002E39A3" w:rsidRPr="002E39A3">
        <w:rPr>
          <w:rFonts w:asciiTheme="minorHAnsi" w:hAnsiTheme="minorHAnsi" w:cstheme="minorHAnsi"/>
          <w:sz w:val="26"/>
          <w:szCs w:val="26"/>
        </w:rPr>
        <w:t>0</w:t>
      </w:r>
      <w:r w:rsidRPr="002E39A3">
        <w:rPr>
          <w:rFonts w:asciiTheme="minorHAnsi" w:hAnsiTheme="minorHAnsi" w:cstheme="minorHAnsi"/>
          <w:sz w:val="26"/>
          <w:szCs w:val="26"/>
        </w:rPr>
        <w:t>7 noiembrie 2025, I</w:t>
      </w:r>
      <w:r w:rsidR="006251A5" w:rsidRPr="002E39A3">
        <w:rPr>
          <w:rFonts w:asciiTheme="minorHAnsi" w:hAnsiTheme="minorHAnsi" w:cstheme="minorHAnsi"/>
          <w:sz w:val="26"/>
          <w:szCs w:val="26"/>
        </w:rPr>
        <w:t>.</w:t>
      </w:r>
      <w:r w:rsidRPr="002E39A3">
        <w:rPr>
          <w:rFonts w:asciiTheme="minorHAnsi" w:hAnsiTheme="minorHAnsi" w:cstheme="minorHAnsi"/>
          <w:sz w:val="26"/>
          <w:szCs w:val="26"/>
        </w:rPr>
        <w:t>N</w:t>
      </w:r>
      <w:r w:rsidR="006251A5" w:rsidRPr="002E39A3">
        <w:rPr>
          <w:rFonts w:asciiTheme="minorHAnsi" w:hAnsiTheme="minorHAnsi" w:cstheme="minorHAnsi"/>
          <w:sz w:val="26"/>
          <w:szCs w:val="26"/>
        </w:rPr>
        <w:t>.</w:t>
      </w:r>
      <w:r w:rsidRPr="002E39A3">
        <w:rPr>
          <w:rFonts w:asciiTheme="minorHAnsi" w:hAnsiTheme="minorHAnsi" w:cstheme="minorHAnsi"/>
          <w:sz w:val="26"/>
          <w:szCs w:val="26"/>
        </w:rPr>
        <w:t>M</w:t>
      </w:r>
      <w:r w:rsidR="006251A5" w:rsidRPr="002E39A3">
        <w:rPr>
          <w:rFonts w:asciiTheme="minorHAnsi" w:hAnsiTheme="minorHAnsi" w:cstheme="minorHAnsi"/>
          <w:sz w:val="26"/>
          <w:szCs w:val="26"/>
        </w:rPr>
        <w:t>.</w:t>
      </w:r>
      <w:r w:rsidRPr="002E39A3">
        <w:rPr>
          <w:rFonts w:asciiTheme="minorHAnsi" w:hAnsiTheme="minorHAnsi" w:cstheme="minorHAnsi"/>
          <w:sz w:val="26"/>
          <w:szCs w:val="26"/>
        </w:rPr>
        <w:t xml:space="preserve"> </w:t>
      </w:r>
      <w:r w:rsidR="00E44059" w:rsidRPr="002E39A3">
        <w:rPr>
          <w:rFonts w:asciiTheme="minorHAnsi" w:hAnsiTheme="minorHAnsi" w:cstheme="minorHAnsi"/>
          <w:sz w:val="26"/>
          <w:szCs w:val="26"/>
        </w:rPr>
        <w:t xml:space="preserve">a </w:t>
      </w:r>
      <w:r w:rsidRPr="002E39A3">
        <w:rPr>
          <w:rFonts w:asciiTheme="minorHAnsi" w:hAnsiTheme="minorHAnsi" w:cstheme="minorHAnsi"/>
          <w:sz w:val="26"/>
          <w:szCs w:val="26"/>
        </w:rPr>
        <w:t>găzdui</w:t>
      </w:r>
      <w:r w:rsidR="00E44059" w:rsidRPr="002E39A3">
        <w:rPr>
          <w:rFonts w:asciiTheme="minorHAnsi" w:hAnsiTheme="minorHAnsi" w:cstheme="minorHAnsi"/>
          <w:sz w:val="26"/>
          <w:szCs w:val="26"/>
        </w:rPr>
        <w:t>t</w:t>
      </w:r>
      <w:r w:rsidRPr="002E39A3">
        <w:rPr>
          <w:rFonts w:asciiTheme="minorHAnsi" w:hAnsiTheme="minorHAnsi" w:cstheme="minorHAnsi"/>
          <w:sz w:val="26"/>
          <w:szCs w:val="26"/>
        </w:rPr>
        <w:t xml:space="preserve"> un grup de </w:t>
      </w:r>
      <w:r w:rsidR="00D50F6E" w:rsidRPr="002E39A3">
        <w:rPr>
          <w:rFonts w:asciiTheme="minorHAnsi" w:hAnsiTheme="minorHAnsi" w:cstheme="minorHAnsi"/>
          <w:sz w:val="26"/>
          <w:szCs w:val="26"/>
        </w:rPr>
        <w:t>31 de viitori judecători și procurori europeni din Austria, Belgia, Finlanda, Franța, Germania, Malta, Polonia, Slovenia, Suedia și Ungaria</w:t>
      </w:r>
      <w:r w:rsidRPr="002E39A3">
        <w:rPr>
          <w:rFonts w:asciiTheme="minorHAnsi" w:hAnsiTheme="minorHAnsi" w:cstheme="minorHAnsi"/>
          <w:sz w:val="26"/>
          <w:szCs w:val="26"/>
        </w:rPr>
        <w:t xml:space="preserve">, interval în care auditorii de justiție români selectați în program </w:t>
      </w:r>
      <w:r w:rsidR="00E44059" w:rsidRPr="002E39A3">
        <w:rPr>
          <w:rFonts w:asciiTheme="minorHAnsi" w:hAnsiTheme="minorHAnsi" w:cstheme="minorHAnsi"/>
          <w:sz w:val="26"/>
          <w:szCs w:val="26"/>
        </w:rPr>
        <w:t xml:space="preserve">au fost </w:t>
      </w:r>
      <w:r w:rsidRPr="002E39A3">
        <w:rPr>
          <w:rFonts w:asciiTheme="minorHAnsi" w:hAnsiTheme="minorHAnsi" w:cstheme="minorHAnsi"/>
          <w:sz w:val="26"/>
          <w:szCs w:val="26"/>
        </w:rPr>
        <w:t xml:space="preserve">implicați, de asemenea, în activitățile organizate la nivel local. </w:t>
      </w:r>
    </w:p>
    <w:p w14:paraId="7DA5BE42" w14:textId="23CF92F6" w:rsidR="004330C1" w:rsidRPr="006A2E2B" w:rsidRDefault="004330C1" w:rsidP="009E3AD8">
      <w:pPr>
        <w:shd w:val="clear" w:color="auto" w:fill="FFFFFF" w:themeFill="background1"/>
        <w:spacing w:line="276" w:lineRule="auto"/>
        <w:ind w:right="43" w:firstLine="708"/>
        <w:jc w:val="both"/>
        <w:rPr>
          <w:rFonts w:asciiTheme="minorHAnsi" w:eastAsiaTheme="minorHAnsi" w:hAnsiTheme="minorHAnsi" w:cstheme="minorHAnsi"/>
          <w:i/>
          <w:iCs/>
          <w:color w:val="000000" w:themeColor="text1"/>
          <w:sz w:val="26"/>
          <w:szCs w:val="26"/>
        </w:rPr>
      </w:pPr>
      <w:r w:rsidRPr="006A2E2B">
        <w:rPr>
          <w:rFonts w:asciiTheme="minorHAnsi" w:hAnsiTheme="minorHAnsi" w:cstheme="minorHAnsi"/>
          <w:color w:val="000000" w:themeColor="text1"/>
          <w:sz w:val="26"/>
          <w:szCs w:val="26"/>
        </w:rPr>
        <w:t>În luna noiembrie</w:t>
      </w:r>
      <w:r w:rsidR="00035473">
        <w:rPr>
          <w:rFonts w:asciiTheme="minorHAnsi" w:hAnsiTheme="minorHAnsi" w:cstheme="minorHAnsi"/>
          <w:color w:val="000000" w:themeColor="text1"/>
          <w:sz w:val="26"/>
          <w:szCs w:val="26"/>
        </w:rPr>
        <w:t xml:space="preserve"> 2025</w:t>
      </w:r>
      <w:r w:rsidRPr="006A2E2B">
        <w:rPr>
          <w:rFonts w:asciiTheme="minorHAnsi" w:hAnsiTheme="minorHAnsi" w:cstheme="minorHAnsi"/>
          <w:color w:val="000000" w:themeColor="text1"/>
          <w:sz w:val="26"/>
          <w:szCs w:val="26"/>
        </w:rPr>
        <w:t xml:space="preserve">, 80 de auditori de justiție români </w:t>
      </w:r>
      <w:r w:rsidR="00E44059">
        <w:rPr>
          <w:rFonts w:asciiTheme="minorHAnsi" w:hAnsiTheme="minorHAnsi" w:cstheme="minorHAnsi"/>
          <w:color w:val="000000" w:themeColor="text1"/>
          <w:sz w:val="26"/>
          <w:szCs w:val="26"/>
        </w:rPr>
        <w:t>s-au deplasat</w:t>
      </w:r>
      <w:r w:rsidRPr="006A2E2B">
        <w:rPr>
          <w:rFonts w:asciiTheme="minorHAnsi" w:hAnsiTheme="minorHAnsi" w:cstheme="minorHAnsi"/>
          <w:color w:val="000000" w:themeColor="text1"/>
          <w:sz w:val="26"/>
          <w:szCs w:val="26"/>
        </w:rPr>
        <w:t xml:space="preserve"> în statele partenere – </w:t>
      </w:r>
      <w:r w:rsidRPr="006A2E2B">
        <w:rPr>
          <w:rFonts w:asciiTheme="minorHAnsi" w:hAnsiTheme="minorHAnsi" w:cstheme="minorHAnsi"/>
          <w:color w:val="000000" w:themeColor="text1"/>
          <w:sz w:val="26"/>
          <w:szCs w:val="26"/>
          <w:lang w:val="es-ES"/>
        </w:rPr>
        <w:t xml:space="preserve">Austria, </w:t>
      </w:r>
      <w:proofErr w:type="spellStart"/>
      <w:r w:rsidRPr="006A2E2B">
        <w:rPr>
          <w:rFonts w:asciiTheme="minorHAnsi" w:hAnsiTheme="minorHAnsi" w:cstheme="minorHAnsi"/>
          <w:color w:val="000000" w:themeColor="text1"/>
          <w:sz w:val="26"/>
          <w:szCs w:val="26"/>
          <w:lang w:val="es-ES"/>
        </w:rPr>
        <w:t>Belgia</w:t>
      </w:r>
      <w:proofErr w:type="spellEnd"/>
      <w:r w:rsidRPr="006A2E2B">
        <w:rPr>
          <w:rFonts w:asciiTheme="minorHAnsi" w:hAnsiTheme="minorHAnsi" w:cstheme="minorHAnsi"/>
          <w:color w:val="000000" w:themeColor="text1"/>
          <w:sz w:val="26"/>
          <w:szCs w:val="26"/>
          <w:lang w:val="es-ES"/>
        </w:rPr>
        <w:t xml:space="preserve">, </w:t>
      </w:r>
      <w:proofErr w:type="spellStart"/>
      <w:r w:rsidRPr="006A2E2B">
        <w:rPr>
          <w:rFonts w:asciiTheme="minorHAnsi" w:hAnsiTheme="minorHAnsi" w:cstheme="minorHAnsi"/>
          <w:color w:val="000000" w:themeColor="text1"/>
          <w:sz w:val="26"/>
          <w:szCs w:val="26"/>
          <w:lang w:val="es-ES"/>
        </w:rPr>
        <w:t>Cehia</w:t>
      </w:r>
      <w:proofErr w:type="spellEnd"/>
      <w:r w:rsidRPr="006A2E2B">
        <w:rPr>
          <w:rFonts w:asciiTheme="minorHAnsi" w:hAnsiTheme="minorHAnsi" w:cstheme="minorHAnsi"/>
          <w:color w:val="000000" w:themeColor="text1"/>
          <w:sz w:val="26"/>
          <w:szCs w:val="26"/>
          <w:lang w:val="es-ES"/>
        </w:rPr>
        <w:t xml:space="preserve">, </w:t>
      </w:r>
      <w:proofErr w:type="spellStart"/>
      <w:r w:rsidRPr="006A2E2B">
        <w:rPr>
          <w:rFonts w:asciiTheme="minorHAnsi" w:hAnsiTheme="minorHAnsi" w:cstheme="minorHAnsi"/>
          <w:color w:val="000000" w:themeColor="text1"/>
          <w:sz w:val="26"/>
          <w:szCs w:val="26"/>
          <w:lang w:val="es-ES"/>
        </w:rPr>
        <w:t>Franța</w:t>
      </w:r>
      <w:proofErr w:type="spellEnd"/>
      <w:r w:rsidRPr="006A2E2B">
        <w:rPr>
          <w:rFonts w:asciiTheme="minorHAnsi" w:hAnsiTheme="minorHAnsi" w:cstheme="minorHAnsi"/>
          <w:color w:val="000000" w:themeColor="text1"/>
          <w:sz w:val="26"/>
          <w:szCs w:val="26"/>
          <w:lang w:val="es-ES"/>
        </w:rPr>
        <w:t xml:space="preserve">, Germania, Italia, Lituania, Malta, Olanda, Polonia, </w:t>
      </w:r>
      <w:proofErr w:type="spellStart"/>
      <w:r w:rsidRPr="006A2E2B">
        <w:rPr>
          <w:rFonts w:asciiTheme="minorHAnsi" w:hAnsiTheme="minorHAnsi" w:cstheme="minorHAnsi"/>
          <w:color w:val="000000" w:themeColor="text1"/>
          <w:sz w:val="26"/>
          <w:szCs w:val="26"/>
          <w:lang w:val="es-ES"/>
        </w:rPr>
        <w:t>Portugalia</w:t>
      </w:r>
      <w:proofErr w:type="spellEnd"/>
      <w:r w:rsidRPr="006A2E2B">
        <w:rPr>
          <w:rFonts w:asciiTheme="minorHAnsi" w:hAnsiTheme="minorHAnsi" w:cstheme="minorHAnsi"/>
          <w:color w:val="000000" w:themeColor="text1"/>
          <w:sz w:val="26"/>
          <w:szCs w:val="26"/>
          <w:lang w:val="es-ES"/>
        </w:rPr>
        <w:t xml:space="preserve"> </w:t>
      </w:r>
      <w:proofErr w:type="spellStart"/>
      <w:r w:rsidRPr="006A2E2B">
        <w:rPr>
          <w:rFonts w:asciiTheme="minorHAnsi" w:hAnsiTheme="minorHAnsi" w:cstheme="minorHAnsi"/>
          <w:color w:val="000000" w:themeColor="text1"/>
          <w:sz w:val="26"/>
          <w:szCs w:val="26"/>
          <w:lang w:val="es-ES"/>
        </w:rPr>
        <w:t>și</w:t>
      </w:r>
      <w:proofErr w:type="spellEnd"/>
      <w:r w:rsidRPr="006A2E2B">
        <w:rPr>
          <w:rFonts w:asciiTheme="minorHAnsi" w:hAnsiTheme="minorHAnsi" w:cstheme="minorHAnsi"/>
          <w:color w:val="000000" w:themeColor="text1"/>
          <w:sz w:val="26"/>
          <w:szCs w:val="26"/>
          <w:lang w:val="es-ES"/>
        </w:rPr>
        <w:t xml:space="preserve"> </w:t>
      </w:r>
      <w:proofErr w:type="spellStart"/>
      <w:r w:rsidRPr="006A2E2B">
        <w:rPr>
          <w:rFonts w:asciiTheme="minorHAnsi" w:hAnsiTheme="minorHAnsi" w:cstheme="minorHAnsi"/>
          <w:color w:val="000000" w:themeColor="text1"/>
          <w:sz w:val="26"/>
          <w:szCs w:val="26"/>
          <w:lang w:val="es-ES"/>
        </w:rPr>
        <w:t>Suedia</w:t>
      </w:r>
      <w:proofErr w:type="spellEnd"/>
      <w:r w:rsidRPr="006A2E2B">
        <w:rPr>
          <w:rFonts w:asciiTheme="minorHAnsi" w:hAnsiTheme="minorHAnsi" w:cstheme="minorHAnsi"/>
          <w:color w:val="000000" w:themeColor="text1"/>
          <w:sz w:val="26"/>
          <w:szCs w:val="26"/>
          <w:lang w:val="es-ES"/>
        </w:rPr>
        <w:t xml:space="preserve">, </w:t>
      </w:r>
      <w:proofErr w:type="spellStart"/>
      <w:r w:rsidRPr="006A2E2B">
        <w:rPr>
          <w:rFonts w:asciiTheme="minorHAnsi" w:hAnsiTheme="minorHAnsi" w:cstheme="minorHAnsi"/>
          <w:color w:val="000000" w:themeColor="text1"/>
          <w:sz w:val="26"/>
          <w:szCs w:val="26"/>
          <w:lang w:val="es-ES"/>
        </w:rPr>
        <w:t>implicându</w:t>
      </w:r>
      <w:proofErr w:type="spellEnd"/>
      <w:r w:rsidRPr="006A2E2B">
        <w:rPr>
          <w:rFonts w:asciiTheme="minorHAnsi" w:hAnsiTheme="minorHAnsi" w:cstheme="minorHAnsi"/>
          <w:color w:val="000000" w:themeColor="text1"/>
          <w:sz w:val="26"/>
          <w:szCs w:val="26"/>
          <w:lang w:val="es-ES"/>
        </w:rPr>
        <w:t xml:space="preserve">-se </w:t>
      </w:r>
      <w:proofErr w:type="spellStart"/>
      <w:r w:rsidRPr="006A2E2B">
        <w:rPr>
          <w:rFonts w:asciiTheme="minorHAnsi" w:hAnsiTheme="minorHAnsi" w:cstheme="minorHAnsi"/>
          <w:color w:val="000000" w:themeColor="text1"/>
          <w:sz w:val="26"/>
          <w:szCs w:val="26"/>
          <w:lang w:val="es-ES"/>
        </w:rPr>
        <w:t>în</w:t>
      </w:r>
      <w:proofErr w:type="spellEnd"/>
      <w:r w:rsidRPr="006A2E2B">
        <w:rPr>
          <w:rFonts w:asciiTheme="minorHAnsi" w:hAnsiTheme="minorHAnsi" w:cstheme="minorHAnsi"/>
          <w:color w:val="000000" w:themeColor="text1"/>
          <w:sz w:val="26"/>
          <w:szCs w:val="26"/>
          <w:lang w:val="es-ES"/>
        </w:rPr>
        <w:t xml:space="preserve"> </w:t>
      </w:r>
      <w:proofErr w:type="spellStart"/>
      <w:r w:rsidRPr="006A2E2B">
        <w:rPr>
          <w:rFonts w:asciiTheme="minorHAnsi" w:hAnsiTheme="minorHAnsi" w:cstheme="minorHAnsi"/>
          <w:color w:val="000000" w:themeColor="text1"/>
          <w:sz w:val="26"/>
          <w:szCs w:val="26"/>
          <w:lang w:val="es-ES"/>
        </w:rPr>
        <w:t>activități</w:t>
      </w:r>
      <w:proofErr w:type="spellEnd"/>
      <w:r w:rsidRPr="006A2E2B">
        <w:rPr>
          <w:rFonts w:asciiTheme="minorHAnsi" w:hAnsiTheme="minorHAnsi" w:cstheme="minorHAnsi"/>
          <w:color w:val="000000" w:themeColor="text1"/>
          <w:sz w:val="26"/>
          <w:szCs w:val="26"/>
          <w:lang w:val="es-ES"/>
        </w:rPr>
        <w:t xml:space="preserve"> </w:t>
      </w:r>
      <w:proofErr w:type="spellStart"/>
      <w:r w:rsidRPr="006A2E2B">
        <w:rPr>
          <w:rFonts w:asciiTheme="minorHAnsi" w:hAnsiTheme="minorHAnsi" w:cstheme="minorHAnsi"/>
          <w:color w:val="000000" w:themeColor="text1"/>
          <w:sz w:val="26"/>
          <w:szCs w:val="26"/>
          <w:lang w:val="es-ES"/>
        </w:rPr>
        <w:t>similare</w:t>
      </w:r>
      <w:proofErr w:type="spellEnd"/>
      <w:r w:rsidRPr="006A2E2B">
        <w:rPr>
          <w:rFonts w:asciiTheme="minorHAnsi" w:hAnsiTheme="minorHAnsi" w:cstheme="minorHAnsi"/>
          <w:color w:val="000000" w:themeColor="text1"/>
          <w:sz w:val="26"/>
          <w:szCs w:val="26"/>
          <w:lang w:val="es-ES"/>
        </w:rPr>
        <w:t xml:space="preserve">, </w:t>
      </w:r>
      <w:proofErr w:type="spellStart"/>
      <w:r w:rsidRPr="006A2E2B">
        <w:rPr>
          <w:rFonts w:asciiTheme="minorHAnsi" w:hAnsiTheme="minorHAnsi" w:cstheme="minorHAnsi"/>
          <w:color w:val="000000" w:themeColor="text1"/>
          <w:sz w:val="26"/>
          <w:szCs w:val="26"/>
          <w:lang w:val="es-ES"/>
        </w:rPr>
        <w:t>astfel</w:t>
      </w:r>
      <w:proofErr w:type="spellEnd"/>
      <w:r w:rsidRPr="006A2E2B">
        <w:rPr>
          <w:rFonts w:asciiTheme="minorHAnsi" w:hAnsiTheme="minorHAnsi" w:cstheme="minorHAnsi"/>
          <w:color w:val="000000" w:themeColor="text1"/>
          <w:sz w:val="26"/>
          <w:szCs w:val="26"/>
          <w:lang w:val="es-ES"/>
        </w:rPr>
        <w:t>:</w:t>
      </w:r>
      <w:r w:rsidRPr="006A2E2B">
        <w:rPr>
          <w:rFonts w:asciiTheme="minorHAnsi" w:hAnsiTheme="minorHAnsi" w:cstheme="minorHAnsi"/>
          <w:color w:val="000000" w:themeColor="text1"/>
          <w:sz w:val="26"/>
          <w:szCs w:val="26"/>
        </w:rPr>
        <w:t xml:space="preserve"> 40 de auditori de justiție români în perioada </w:t>
      </w:r>
      <w:r w:rsidR="00417797">
        <w:rPr>
          <w:rFonts w:asciiTheme="minorHAnsi" w:hAnsiTheme="minorHAnsi" w:cstheme="minorHAnsi"/>
          <w:color w:val="000000" w:themeColor="text1"/>
          <w:sz w:val="26"/>
          <w:szCs w:val="26"/>
        </w:rPr>
        <w:t>0</w:t>
      </w:r>
      <w:r w:rsidRPr="006A2E2B">
        <w:rPr>
          <w:rFonts w:asciiTheme="minorHAnsi" w:hAnsiTheme="minorHAnsi" w:cstheme="minorHAnsi"/>
          <w:color w:val="000000" w:themeColor="text1"/>
          <w:sz w:val="26"/>
          <w:szCs w:val="26"/>
        </w:rPr>
        <w:t xml:space="preserve">3 – </w:t>
      </w:r>
      <w:r w:rsidR="00417797">
        <w:rPr>
          <w:rFonts w:asciiTheme="minorHAnsi" w:hAnsiTheme="minorHAnsi" w:cstheme="minorHAnsi"/>
          <w:color w:val="000000" w:themeColor="text1"/>
          <w:sz w:val="26"/>
          <w:szCs w:val="26"/>
        </w:rPr>
        <w:t>0</w:t>
      </w:r>
      <w:r w:rsidRPr="006A2E2B">
        <w:rPr>
          <w:rFonts w:asciiTheme="minorHAnsi" w:hAnsiTheme="minorHAnsi" w:cstheme="minorHAnsi"/>
          <w:color w:val="000000" w:themeColor="text1"/>
          <w:sz w:val="26"/>
          <w:szCs w:val="26"/>
        </w:rPr>
        <w:t>7</w:t>
      </w:r>
      <w:r w:rsidR="00035473">
        <w:rPr>
          <w:rFonts w:asciiTheme="minorHAnsi" w:hAnsiTheme="minorHAnsi" w:cstheme="minorHAnsi"/>
          <w:color w:val="000000" w:themeColor="text1"/>
          <w:sz w:val="26"/>
          <w:szCs w:val="26"/>
        </w:rPr>
        <w:t xml:space="preserve"> noiembrie </w:t>
      </w:r>
      <w:r w:rsidR="003C7E86">
        <w:rPr>
          <w:rFonts w:asciiTheme="minorHAnsi" w:hAnsiTheme="minorHAnsi" w:cstheme="minorHAnsi"/>
          <w:color w:val="000000" w:themeColor="text1"/>
          <w:sz w:val="26"/>
          <w:szCs w:val="26"/>
        </w:rPr>
        <w:t>2025</w:t>
      </w:r>
      <w:r w:rsidRPr="006A2E2B">
        <w:rPr>
          <w:rFonts w:asciiTheme="minorHAnsi" w:hAnsiTheme="minorHAnsi" w:cstheme="minorHAnsi"/>
          <w:color w:val="000000" w:themeColor="text1"/>
          <w:sz w:val="26"/>
          <w:szCs w:val="26"/>
        </w:rPr>
        <w:t>, iar alți 40 în perioada 17 – 21</w:t>
      </w:r>
      <w:r w:rsidR="00035473">
        <w:rPr>
          <w:rFonts w:asciiTheme="minorHAnsi" w:hAnsiTheme="minorHAnsi" w:cstheme="minorHAnsi"/>
          <w:color w:val="000000" w:themeColor="text1"/>
          <w:sz w:val="26"/>
          <w:szCs w:val="26"/>
        </w:rPr>
        <w:t xml:space="preserve"> noiembrie </w:t>
      </w:r>
      <w:r w:rsidRPr="006A2E2B">
        <w:rPr>
          <w:rFonts w:asciiTheme="minorHAnsi" w:hAnsiTheme="minorHAnsi" w:cstheme="minorHAnsi"/>
          <w:color w:val="000000" w:themeColor="text1"/>
          <w:sz w:val="26"/>
          <w:szCs w:val="26"/>
        </w:rPr>
        <w:t xml:space="preserve">2025. </w:t>
      </w:r>
    </w:p>
    <w:p w14:paraId="1BADDA9A" w14:textId="75972C80" w:rsidR="004330C1" w:rsidRPr="006A2E2B" w:rsidRDefault="004330C1" w:rsidP="00281400">
      <w:pPr>
        <w:pStyle w:val="ListParagraph"/>
        <w:numPr>
          <w:ilvl w:val="0"/>
          <w:numId w:val="3"/>
        </w:numPr>
        <w:shd w:val="clear" w:color="auto" w:fill="FFFFFF" w:themeFill="background1"/>
        <w:tabs>
          <w:tab w:val="left" w:pos="993"/>
        </w:tabs>
        <w:spacing w:line="276" w:lineRule="auto"/>
        <w:ind w:left="1170" w:right="43" w:hanging="461"/>
        <w:jc w:val="both"/>
        <w:rPr>
          <w:rFonts w:asciiTheme="minorHAnsi" w:hAnsiTheme="minorHAnsi" w:cstheme="minorHAnsi"/>
          <w:b/>
          <w:bCs/>
          <w:color w:val="000000" w:themeColor="text1"/>
          <w:sz w:val="26"/>
          <w:szCs w:val="26"/>
        </w:rPr>
      </w:pPr>
      <w:bookmarkStart w:id="51" w:name="_Hlk180145729"/>
      <w:r w:rsidRPr="006A2E2B">
        <w:rPr>
          <w:rFonts w:asciiTheme="minorHAnsi" w:hAnsiTheme="minorHAnsi" w:cstheme="minorHAnsi"/>
          <w:b/>
          <w:bCs/>
          <w:color w:val="000000" w:themeColor="text1"/>
          <w:sz w:val="26"/>
          <w:szCs w:val="26"/>
        </w:rPr>
        <w:t>Școli de vară E</w:t>
      </w:r>
      <w:r w:rsidR="00000948" w:rsidRPr="006A2E2B">
        <w:rPr>
          <w:rFonts w:asciiTheme="minorHAnsi" w:hAnsiTheme="minorHAnsi" w:cstheme="minorHAnsi"/>
          <w:b/>
          <w:bCs/>
          <w:color w:val="000000" w:themeColor="text1"/>
          <w:sz w:val="26"/>
          <w:szCs w:val="26"/>
        </w:rPr>
        <w:t>.</w:t>
      </w:r>
      <w:r w:rsidRPr="006A2E2B">
        <w:rPr>
          <w:rFonts w:asciiTheme="minorHAnsi" w:hAnsiTheme="minorHAnsi" w:cstheme="minorHAnsi"/>
          <w:b/>
          <w:bCs/>
          <w:color w:val="000000" w:themeColor="text1"/>
          <w:sz w:val="26"/>
          <w:szCs w:val="26"/>
        </w:rPr>
        <w:t>J</w:t>
      </w:r>
      <w:r w:rsidR="00000948" w:rsidRPr="006A2E2B">
        <w:rPr>
          <w:rFonts w:asciiTheme="minorHAnsi" w:hAnsiTheme="minorHAnsi" w:cstheme="minorHAnsi"/>
          <w:b/>
          <w:bCs/>
          <w:color w:val="000000" w:themeColor="text1"/>
          <w:sz w:val="26"/>
          <w:szCs w:val="26"/>
        </w:rPr>
        <w:t>.</w:t>
      </w:r>
      <w:r w:rsidRPr="006A2E2B">
        <w:rPr>
          <w:rFonts w:asciiTheme="minorHAnsi" w:hAnsiTheme="minorHAnsi" w:cstheme="minorHAnsi"/>
          <w:b/>
          <w:bCs/>
          <w:color w:val="000000" w:themeColor="text1"/>
          <w:sz w:val="26"/>
          <w:szCs w:val="26"/>
        </w:rPr>
        <w:t>T</w:t>
      </w:r>
      <w:r w:rsidR="00000948" w:rsidRPr="006A2E2B">
        <w:rPr>
          <w:rFonts w:asciiTheme="minorHAnsi" w:hAnsiTheme="minorHAnsi" w:cstheme="minorHAnsi"/>
          <w:b/>
          <w:bCs/>
          <w:color w:val="000000" w:themeColor="text1"/>
          <w:sz w:val="26"/>
          <w:szCs w:val="26"/>
        </w:rPr>
        <w:t>.</w:t>
      </w:r>
      <w:r w:rsidRPr="006A2E2B">
        <w:rPr>
          <w:rFonts w:asciiTheme="minorHAnsi" w:hAnsiTheme="minorHAnsi" w:cstheme="minorHAnsi"/>
          <w:b/>
          <w:bCs/>
          <w:color w:val="000000" w:themeColor="text1"/>
          <w:sz w:val="26"/>
          <w:szCs w:val="26"/>
        </w:rPr>
        <w:t>N</w:t>
      </w:r>
      <w:bookmarkEnd w:id="50"/>
      <w:bookmarkEnd w:id="51"/>
      <w:r w:rsidR="00000948" w:rsidRPr="006A2E2B">
        <w:rPr>
          <w:rFonts w:asciiTheme="minorHAnsi" w:hAnsiTheme="minorHAnsi" w:cstheme="minorHAnsi"/>
          <w:b/>
          <w:bCs/>
          <w:color w:val="000000" w:themeColor="text1"/>
          <w:sz w:val="26"/>
          <w:szCs w:val="26"/>
        </w:rPr>
        <w:t>.</w:t>
      </w:r>
    </w:p>
    <w:p w14:paraId="77A80DB9" w14:textId="345D06DC" w:rsidR="004330C1" w:rsidRPr="006A2E2B" w:rsidRDefault="004330C1" w:rsidP="009E3AD8">
      <w:pPr>
        <w:spacing w:line="276" w:lineRule="auto"/>
        <w:ind w:firstLine="708"/>
        <w:jc w:val="both"/>
        <w:rPr>
          <w:rFonts w:asciiTheme="minorHAnsi" w:eastAsiaTheme="minorHAnsi" w:hAnsiTheme="minorHAnsi" w:cstheme="minorHAnsi"/>
          <w:color w:val="000000" w:themeColor="text1"/>
          <w:sz w:val="26"/>
          <w:szCs w:val="26"/>
        </w:rPr>
      </w:pPr>
      <w:r w:rsidRPr="006A2E2B">
        <w:rPr>
          <w:rFonts w:asciiTheme="minorHAnsi" w:eastAsiaTheme="minorHAnsi" w:hAnsiTheme="minorHAnsi" w:cstheme="minorHAnsi"/>
          <w:color w:val="000000" w:themeColor="text1"/>
          <w:sz w:val="26"/>
          <w:szCs w:val="26"/>
        </w:rPr>
        <w:t>În perioada de referință, 6 auditori de justiție au participat la Școli de vară organizate de către E</w:t>
      </w:r>
      <w:r w:rsidR="00557106">
        <w:rPr>
          <w:rFonts w:asciiTheme="minorHAnsi" w:eastAsiaTheme="minorHAnsi" w:hAnsiTheme="minorHAnsi" w:cstheme="minorHAnsi"/>
          <w:color w:val="000000" w:themeColor="text1"/>
          <w:sz w:val="26"/>
          <w:szCs w:val="26"/>
        </w:rPr>
        <w:t>.</w:t>
      </w:r>
      <w:r w:rsidRPr="006A2E2B">
        <w:rPr>
          <w:rFonts w:asciiTheme="minorHAnsi" w:eastAsiaTheme="minorHAnsi" w:hAnsiTheme="minorHAnsi" w:cstheme="minorHAnsi"/>
          <w:color w:val="000000" w:themeColor="text1"/>
          <w:sz w:val="26"/>
          <w:szCs w:val="26"/>
        </w:rPr>
        <w:t>J</w:t>
      </w:r>
      <w:r w:rsidR="00557106">
        <w:rPr>
          <w:rFonts w:asciiTheme="minorHAnsi" w:eastAsiaTheme="minorHAnsi" w:hAnsiTheme="minorHAnsi" w:cstheme="minorHAnsi"/>
          <w:color w:val="000000" w:themeColor="text1"/>
          <w:sz w:val="26"/>
          <w:szCs w:val="26"/>
        </w:rPr>
        <w:t>.</w:t>
      </w:r>
      <w:r w:rsidRPr="006A2E2B">
        <w:rPr>
          <w:rFonts w:asciiTheme="minorHAnsi" w:eastAsiaTheme="minorHAnsi" w:hAnsiTheme="minorHAnsi" w:cstheme="minorHAnsi"/>
          <w:color w:val="000000" w:themeColor="text1"/>
          <w:sz w:val="26"/>
          <w:szCs w:val="26"/>
        </w:rPr>
        <w:t>T</w:t>
      </w:r>
      <w:r w:rsidR="00557106">
        <w:rPr>
          <w:rFonts w:asciiTheme="minorHAnsi" w:eastAsiaTheme="minorHAnsi" w:hAnsiTheme="minorHAnsi" w:cstheme="minorHAnsi"/>
          <w:color w:val="000000" w:themeColor="text1"/>
          <w:sz w:val="26"/>
          <w:szCs w:val="26"/>
        </w:rPr>
        <w:t>.</w:t>
      </w:r>
      <w:r w:rsidRPr="006A2E2B">
        <w:rPr>
          <w:rFonts w:asciiTheme="minorHAnsi" w:eastAsiaTheme="minorHAnsi" w:hAnsiTheme="minorHAnsi" w:cstheme="minorHAnsi"/>
          <w:color w:val="000000" w:themeColor="text1"/>
          <w:sz w:val="26"/>
          <w:szCs w:val="26"/>
        </w:rPr>
        <w:t>N</w:t>
      </w:r>
      <w:r w:rsidR="00557106">
        <w:rPr>
          <w:rFonts w:asciiTheme="minorHAnsi" w:eastAsiaTheme="minorHAnsi" w:hAnsiTheme="minorHAnsi" w:cstheme="minorHAnsi"/>
          <w:color w:val="000000" w:themeColor="text1"/>
          <w:sz w:val="26"/>
          <w:szCs w:val="26"/>
        </w:rPr>
        <w:t>.</w:t>
      </w:r>
      <w:r w:rsidRPr="006A2E2B">
        <w:rPr>
          <w:rFonts w:asciiTheme="minorHAnsi" w:eastAsiaTheme="minorHAnsi" w:hAnsiTheme="minorHAnsi" w:cstheme="minorHAnsi"/>
          <w:color w:val="000000" w:themeColor="text1"/>
          <w:sz w:val="26"/>
          <w:szCs w:val="26"/>
        </w:rPr>
        <w:t>, având posibilitatea de a-și îmbogăți cunoștințele juridice, într-o manieră practică și dinamică, după cum urmează:</w:t>
      </w:r>
    </w:p>
    <w:p w14:paraId="052372DD" w14:textId="4DF5E134" w:rsidR="004330C1" w:rsidRPr="006A2E2B" w:rsidRDefault="004330C1" w:rsidP="00281400">
      <w:pPr>
        <w:pStyle w:val="ListParagraph"/>
        <w:numPr>
          <w:ilvl w:val="0"/>
          <w:numId w:val="21"/>
        </w:numPr>
        <w:spacing w:line="276" w:lineRule="auto"/>
        <w:jc w:val="both"/>
        <w:rPr>
          <w:rFonts w:asciiTheme="minorHAnsi" w:eastAsiaTheme="minorHAnsi" w:hAnsiTheme="minorHAnsi" w:cstheme="minorHAnsi"/>
          <w:color w:val="000000" w:themeColor="text1"/>
          <w:sz w:val="26"/>
          <w:szCs w:val="26"/>
        </w:rPr>
      </w:pPr>
      <w:r w:rsidRPr="006A2E2B">
        <w:rPr>
          <w:rFonts w:asciiTheme="minorHAnsi" w:eastAsiaTheme="minorHAnsi" w:hAnsiTheme="minorHAnsi" w:cstheme="minorHAnsi"/>
          <w:color w:val="000000" w:themeColor="text1"/>
          <w:sz w:val="26"/>
          <w:szCs w:val="26"/>
        </w:rPr>
        <w:t xml:space="preserve">în perioada </w:t>
      </w:r>
      <w:r w:rsidRPr="00A35EF2">
        <w:rPr>
          <w:rFonts w:asciiTheme="minorHAnsi" w:eastAsiaTheme="minorHAnsi" w:hAnsiTheme="minorHAnsi" w:cstheme="minorHAnsi"/>
          <w:color w:val="000000" w:themeColor="text1"/>
          <w:sz w:val="26"/>
          <w:szCs w:val="26"/>
        </w:rPr>
        <w:t>16 – 20</w:t>
      </w:r>
      <w:r w:rsidR="000550EF">
        <w:rPr>
          <w:rFonts w:asciiTheme="minorHAnsi" w:eastAsiaTheme="minorHAnsi" w:hAnsiTheme="minorHAnsi" w:cstheme="minorHAnsi"/>
          <w:color w:val="000000" w:themeColor="text1"/>
          <w:sz w:val="26"/>
          <w:szCs w:val="26"/>
        </w:rPr>
        <w:t xml:space="preserve"> iunie </w:t>
      </w:r>
      <w:r w:rsidRPr="006A2E2B">
        <w:rPr>
          <w:rFonts w:asciiTheme="minorHAnsi" w:eastAsiaTheme="minorHAnsi" w:hAnsiTheme="minorHAnsi" w:cstheme="minorHAnsi"/>
          <w:color w:val="000000" w:themeColor="text1"/>
          <w:sz w:val="26"/>
          <w:szCs w:val="26"/>
        </w:rPr>
        <w:t xml:space="preserve">2025, 3 auditori de justiție au participat la </w:t>
      </w:r>
      <w:r w:rsidRPr="00447DD4">
        <w:rPr>
          <w:rFonts w:asciiTheme="minorHAnsi" w:eastAsiaTheme="minorHAnsi" w:hAnsiTheme="minorHAnsi" w:cstheme="minorHAnsi"/>
          <w:color w:val="000000" w:themeColor="text1"/>
          <w:sz w:val="26"/>
          <w:szCs w:val="26"/>
        </w:rPr>
        <w:t>Summer School in Linguistics in Criminal Matters</w:t>
      </w:r>
      <w:r w:rsidRPr="00A35EF2">
        <w:rPr>
          <w:rFonts w:asciiTheme="minorHAnsi" w:eastAsiaTheme="minorHAnsi" w:hAnsiTheme="minorHAnsi" w:cstheme="minorHAnsi"/>
          <w:color w:val="000000" w:themeColor="text1"/>
          <w:sz w:val="26"/>
          <w:szCs w:val="26"/>
        </w:rPr>
        <w:t xml:space="preserve"> – SLI/2025/02, desfășurată la Napoli, Italia</w:t>
      </w:r>
      <w:r w:rsidRPr="006A2E2B">
        <w:rPr>
          <w:rFonts w:asciiTheme="minorHAnsi" w:eastAsiaTheme="minorHAnsi" w:hAnsiTheme="minorHAnsi" w:cstheme="minorHAnsi"/>
          <w:color w:val="000000" w:themeColor="text1"/>
          <w:sz w:val="26"/>
          <w:szCs w:val="26"/>
        </w:rPr>
        <w:t>;</w:t>
      </w:r>
    </w:p>
    <w:p w14:paraId="3BFA371E" w14:textId="4CC34545" w:rsidR="004330C1" w:rsidRPr="006A2E2B" w:rsidRDefault="004330C1" w:rsidP="00281400">
      <w:pPr>
        <w:pStyle w:val="ListParagraph"/>
        <w:numPr>
          <w:ilvl w:val="0"/>
          <w:numId w:val="21"/>
        </w:numPr>
        <w:spacing w:line="276" w:lineRule="auto"/>
        <w:jc w:val="both"/>
        <w:rPr>
          <w:rFonts w:asciiTheme="minorHAnsi" w:hAnsiTheme="minorHAnsi" w:cstheme="minorHAnsi"/>
          <w:color w:val="000000" w:themeColor="text1"/>
          <w:sz w:val="26"/>
          <w:szCs w:val="26"/>
        </w:rPr>
      </w:pPr>
      <w:r w:rsidRPr="006A2E2B">
        <w:rPr>
          <w:rFonts w:asciiTheme="minorHAnsi" w:eastAsiaTheme="minorHAnsi" w:hAnsiTheme="minorHAnsi" w:cstheme="minorHAnsi"/>
          <w:color w:val="000000" w:themeColor="text1"/>
          <w:sz w:val="26"/>
          <w:szCs w:val="26"/>
        </w:rPr>
        <w:lastRenderedPageBreak/>
        <w:t xml:space="preserve">în perioada </w:t>
      </w:r>
      <w:r w:rsidRPr="006A2E2B">
        <w:rPr>
          <w:rFonts w:asciiTheme="minorHAnsi" w:hAnsiTheme="minorHAnsi" w:cstheme="minorHAnsi"/>
          <w:color w:val="000000" w:themeColor="text1"/>
          <w:sz w:val="26"/>
          <w:szCs w:val="26"/>
        </w:rPr>
        <w:t>19</w:t>
      </w:r>
      <w:r w:rsidR="00557106">
        <w:rPr>
          <w:rFonts w:asciiTheme="minorHAnsi" w:hAnsiTheme="minorHAnsi" w:cstheme="minorHAnsi"/>
          <w:color w:val="000000" w:themeColor="text1"/>
          <w:sz w:val="26"/>
          <w:szCs w:val="26"/>
        </w:rPr>
        <w:t xml:space="preserve"> </w:t>
      </w:r>
      <w:r w:rsidR="002E0CC1">
        <w:rPr>
          <w:rFonts w:asciiTheme="minorHAnsi" w:hAnsiTheme="minorHAnsi" w:cstheme="minorHAnsi"/>
          <w:color w:val="000000" w:themeColor="text1"/>
          <w:sz w:val="26"/>
          <w:szCs w:val="26"/>
        </w:rPr>
        <w:t>–</w:t>
      </w:r>
      <w:r w:rsidR="00557106">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23</w:t>
      </w:r>
      <w:r w:rsidR="000550EF">
        <w:rPr>
          <w:rFonts w:asciiTheme="minorHAnsi" w:hAnsiTheme="minorHAnsi" w:cstheme="minorHAnsi"/>
          <w:color w:val="000000" w:themeColor="text1"/>
          <w:sz w:val="26"/>
          <w:szCs w:val="26"/>
        </w:rPr>
        <w:t xml:space="preserve"> mai </w:t>
      </w:r>
      <w:r w:rsidRPr="006A2E2B">
        <w:rPr>
          <w:rFonts w:asciiTheme="minorHAnsi" w:hAnsiTheme="minorHAnsi" w:cstheme="minorHAnsi"/>
          <w:color w:val="000000" w:themeColor="text1"/>
          <w:sz w:val="26"/>
          <w:szCs w:val="26"/>
        </w:rPr>
        <w:t>2025, 3</w:t>
      </w:r>
      <w:r w:rsidRPr="006A2E2B">
        <w:rPr>
          <w:rFonts w:asciiTheme="minorHAnsi" w:eastAsia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 xml:space="preserve">auditori de justiție au participat la </w:t>
      </w:r>
      <w:r w:rsidRPr="00447DD4">
        <w:rPr>
          <w:rFonts w:asciiTheme="minorHAnsi" w:hAnsiTheme="minorHAnsi" w:cstheme="minorHAnsi"/>
          <w:color w:val="000000" w:themeColor="text1"/>
          <w:sz w:val="26"/>
          <w:szCs w:val="26"/>
        </w:rPr>
        <w:t>Summer School in Linguistics Civil Matters</w:t>
      </w:r>
      <w:r w:rsidRPr="006A2E2B">
        <w:rPr>
          <w:rFonts w:asciiTheme="minorHAnsi" w:hAnsiTheme="minorHAnsi" w:cstheme="minorHAnsi"/>
          <w:color w:val="000000" w:themeColor="text1"/>
          <w:sz w:val="26"/>
          <w:szCs w:val="26"/>
        </w:rPr>
        <w:t xml:space="preserve"> – SLI/2025/01, </w:t>
      </w:r>
      <w:proofErr w:type="spellStart"/>
      <w:r w:rsidRPr="006A2E2B">
        <w:rPr>
          <w:rFonts w:asciiTheme="minorHAnsi" w:hAnsiTheme="minorHAnsi" w:cstheme="minorHAnsi"/>
          <w:color w:val="000000" w:themeColor="text1"/>
          <w:sz w:val="26"/>
          <w:szCs w:val="26"/>
          <w:lang w:val="fr-FR"/>
        </w:rPr>
        <w:t>desfășurată</w:t>
      </w:r>
      <w:proofErr w:type="spellEnd"/>
      <w:r w:rsidRPr="006A2E2B">
        <w:rPr>
          <w:rFonts w:asciiTheme="minorHAnsi" w:hAnsiTheme="minorHAnsi" w:cstheme="minorHAnsi"/>
          <w:color w:val="000000" w:themeColor="text1"/>
          <w:sz w:val="26"/>
          <w:szCs w:val="26"/>
          <w:lang w:val="fr-FR"/>
        </w:rPr>
        <w:t xml:space="preserve"> la</w:t>
      </w:r>
      <w:r w:rsidRPr="006A2E2B">
        <w:rPr>
          <w:rFonts w:asciiTheme="minorHAnsi" w:hAnsiTheme="minorHAnsi" w:cstheme="minorHAnsi"/>
          <w:color w:val="000000" w:themeColor="text1"/>
          <w:sz w:val="26"/>
          <w:szCs w:val="26"/>
        </w:rPr>
        <w:t xml:space="preserve"> Omšenie, Slovacia.</w:t>
      </w:r>
    </w:p>
    <w:p w14:paraId="5BDBCAC2" w14:textId="16B3B340" w:rsidR="004330C1" w:rsidRPr="009C1A25" w:rsidRDefault="004330C1" w:rsidP="009C1A25">
      <w:pPr>
        <w:numPr>
          <w:ilvl w:val="1"/>
          <w:numId w:val="0"/>
        </w:numPr>
        <w:spacing w:line="276" w:lineRule="auto"/>
        <w:ind w:right="43" w:firstLine="708"/>
        <w:jc w:val="both"/>
        <w:rPr>
          <w:rFonts w:asciiTheme="minorHAnsi" w:hAnsiTheme="minorHAnsi" w:cstheme="minorHAnsi"/>
          <w:b/>
          <w:color w:val="000000" w:themeColor="text1"/>
          <w:sz w:val="26"/>
          <w:szCs w:val="26"/>
        </w:rPr>
      </w:pPr>
      <w:r w:rsidRPr="006A2E2B">
        <w:rPr>
          <w:rFonts w:asciiTheme="minorHAnsi" w:hAnsiTheme="minorHAnsi" w:cstheme="minorHAnsi"/>
          <w:b/>
          <w:color w:val="000000" w:themeColor="text1"/>
          <w:sz w:val="26"/>
          <w:szCs w:val="26"/>
        </w:rPr>
        <w:t xml:space="preserve">I.5.3. </w:t>
      </w:r>
      <w:r w:rsidRPr="009C1A25">
        <w:rPr>
          <w:rFonts w:asciiTheme="minorHAnsi" w:hAnsiTheme="minorHAnsi" w:cstheme="minorHAnsi"/>
          <w:b/>
          <w:color w:val="000000" w:themeColor="text1"/>
          <w:sz w:val="26"/>
          <w:szCs w:val="26"/>
        </w:rPr>
        <w:t>Alte activități</w:t>
      </w:r>
    </w:p>
    <w:p w14:paraId="40AE4855" w14:textId="09957AD9" w:rsidR="004330C1" w:rsidRPr="006A2E2B" w:rsidRDefault="004330C1" w:rsidP="00281400">
      <w:pPr>
        <w:pStyle w:val="ListParagraph"/>
        <w:numPr>
          <w:ilvl w:val="0"/>
          <w:numId w:val="22"/>
        </w:numPr>
        <w:spacing w:line="276" w:lineRule="auto"/>
        <w:ind w:left="1068"/>
        <w:jc w:val="both"/>
        <w:rPr>
          <w:rFonts w:asciiTheme="minorHAnsi" w:hAnsiTheme="minorHAnsi" w:cstheme="minorHAnsi"/>
          <w:color w:val="000000" w:themeColor="text1"/>
          <w:sz w:val="26"/>
          <w:szCs w:val="26"/>
        </w:rPr>
      </w:pPr>
      <w:r w:rsidRPr="006A2E2B">
        <w:rPr>
          <w:rFonts w:asciiTheme="minorHAnsi" w:hAnsiTheme="minorHAnsi" w:cstheme="minorHAnsi"/>
          <w:b/>
          <w:bCs/>
          <w:color w:val="000000" w:themeColor="text1"/>
          <w:sz w:val="26"/>
          <w:szCs w:val="26"/>
        </w:rPr>
        <w:t>Programul HELP al Consiliului Europei</w:t>
      </w:r>
    </w:p>
    <w:p w14:paraId="6C9C602B" w14:textId="09418EF6" w:rsidR="004330C1" w:rsidRPr="006A2E2B" w:rsidRDefault="004330C1" w:rsidP="009E3AD8">
      <w:pPr>
        <w:spacing w:line="276" w:lineRule="auto"/>
        <w:ind w:firstLine="708"/>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 xml:space="preserve">În cadrul </w:t>
      </w:r>
      <w:r w:rsidRPr="00447DD4">
        <w:rPr>
          <w:rFonts w:asciiTheme="minorHAnsi" w:hAnsiTheme="minorHAnsi" w:cstheme="minorHAnsi"/>
          <w:color w:val="000000" w:themeColor="text1"/>
          <w:sz w:val="26"/>
          <w:szCs w:val="26"/>
        </w:rPr>
        <w:t>Programului european HELP (Human Rights Education for Legal Professionals),</w:t>
      </w:r>
      <w:r w:rsidRPr="006A2E2B">
        <w:rPr>
          <w:rFonts w:asciiTheme="minorHAnsi" w:hAnsiTheme="minorHAnsi" w:cstheme="minorHAnsi"/>
          <w:color w:val="000000" w:themeColor="text1"/>
          <w:sz w:val="26"/>
          <w:szCs w:val="26"/>
        </w:rPr>
        <w:t xml:space="preserve"> derulat sub egida Consiliului Europei, </w:t>
      </w:r>
      <w:r w:rsidRPr="000550EF">
        <w:rPr>
          <w:rFonts w:asciiTheme="minorHAnsi" w:hAnsiTheme="minorHAnsi" w:cstheme="minorHAnsi"/>
          <w:color w:val="000000" w:themeColor="text1"/>
          <w:sz w:val="26"/>
          <w:szCs w:val="26"/>
        </w:rPr>
        <w:t>Institutul Național al Magistraturii</w:t>
      </w:r>
      <w:r w:rsidRPr="006A2E2B">
        <w:rPr>
          <w:rFonts w:asciiTheme="minorHAnsi" w:hAnsiTheme="minorHAnsi" w:cstheme="minorHAnsi"/>
          <w:color w:val="000000" w:themeColor="text1"/>
          <w:sz w:val="26"/>
          <w:szCs w:val="26"/>
        </w:rPr>
        <w:t xml:space="preserve"> acționează ca partener național, facilitând accesul magistraților români la cursurile dezvoltate în cadrul programului și sprijinind integrarea formării în domeniul drepturilor omului în activitatea judiciară. I</w:t>
      </w:r>
      <w:r w:rsidR="002E0CC1">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N</w:t>
      </w:r>
      <w:r w:rsidR="002E0CC1">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M</w:t>
      </w:r>
      <w:r w:rsidR="002E0CC1">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xml:space="preserve"> intermediază participarea acestora la activitățile și evenimentele de lansare HELP, precum și derularea, în limba română, a cursurilor online dedicate judecătorilor și procurorilor.</w:t>
      </w:r>
    </w:p>
    <w:p w14:paraId="46223ABF" w14:textId="3EAE2DE0" w:rsidR="004330C1" w:rsidRPr="006A2E2B" w:rsidRDefault="004330C1" w:rsidP="009E3AD8">
      <w:pPr>
        <w:spacing w:line="276" w:lineRule="auto"/>
        <w:ind w:firstLine="708"/>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 xml:space="preserve">În cursul lunii iulie 2025, Institutul Național al Magistraturii a fost reprezentat, prin punctul focal HELP, la Conferința anuală a Rețelei HELP, eveniment organizat de Consiliul Europei în perioada </w:t>
      </w:r>
      <w:r w:rsidR="002E0CC1">
        <w:rPr>
          <w:rFonts w:asciiTheme="minorHAnsi" w:hAnsiTheme="minorHAnsi" w:cstheme="minorHAnsi"/>
          <w:color w:val="000000" w:themeColor="text1"/>
          <w:sz w:val="26"/>
          <w:szCs w:val="26"/>
        </w:rPr>
        <w:t>0</w:t>
      </w:r>
      <w:r w:rsidRPr="006A2E2B">
        <w:rPr>
          <w:rFonts w:asciiTheme="minorHAnsi" w:hAnsiTheme="minorHAnsi" w:cstheme="minorHAnsi"/>
          <w:color w:val="000000" w:themeColor="text1"/>
          <w:sz w:val="26"/>
          <w:szCs w:val="26"/>
        </w:rPr>
        <w:t>3</w:t>
      </w:r>
      <w:r w:rsidR="002E0CC1">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w:t>
      </w:r>
      <w:r w:rsidR="002E0CC1">
        <w:rPr>
          <w:rFonts w:asciiTheme="minorHAnsi" w:hAnsiTheme="minorHAnsi" w:cstheme="minorHAnsi"/>
          <w:color w:val="000000" w:themeColor="text1"/>
          <w:sz w:val="26"/>
          <w:szCs w:val="26"/>
        </w:rPr>
        <w:t xml:space="preserve"> 0</w:t>
      </w:r>
      <w:r w:rsidRPr="006A2E2B">
        <w:rPr>
          <w:rFonts w:asciiTheme="minorHAnsi" w:hAnsiTheme="minorHAnsi" w:cstheme="minorHAnsi"/>
          <w:color w:val="000000" w:themeColor="text1"/>
          <w:sz w:val="26"/>
          <w:szCs w:val="26"/>
        </w:rPr>
        <w:t>4</w:t>
      </w:r>
      <w:r w:rsidR="000550EF">
        <w:rPr>
          <w:rFonts w:asciiTheme="minorHAnsi" w:hAnsiTheme="minorHAnsi" w:cstheme="minorHAnsi"/>
          <w:color w:val="000000" w:themeColor="text1"/>
          <w:sz w:val="26"/>
          <w:szCs w:val="26"/>
        </w:rPr>
        <w:t xml:space="preserve"> iulie </w:t>
      </w:r>
      <w:r w:rsidRPr="006A2E2B">
        <w:rPr>
          <w:rFonts w:asciiTheme="minorHAnsi" w:hAnsiTheme="minorHAnsi" w:cstheme="minorHAnsi"/>
          <w:color w:val="000000" w:themeColor="text1"/>
          <w:sz w:val="26"/>
          <w:szCs w:val="26"/>
        </w:rPr>
        <w:t>2025, la Strasbourg (Franța). Participarea a oferit prilejul consolidării cooperării cu rețeaua europeană a formatorilor în domeniul drepturilor omului, promovând utilizarea platformei HELP ca instrument esențial în formarea continuă a magistraților.</w:t>
      </w:r>
    </w:p>
    <w:p w14:paraId="50249829" w14:textId="7B411514" w:rsidR="004330C1" w:rsidRDefault="004330C1" w:rsidP="009E3AD8">
      <w:pPr>
        <w:pStyle w:val="Default"/>
        <w:tabs>
          <w:tab w:val="left" w:pos="567"/>
        </w:tabs>
        <w:spacing w:line="276" w:lineRule="auto"/>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ab/>
        <w:t>De asemenea, în data de 1 octombrie 2025, I</w:t>
      </w:r>
      <w:r w:rsidR="000B517D">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N</w:t>
      </w:r>
      <w:r w:rsidR="000B517D">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M</w:t>
      </w:r>
      <w:r w:rsidR="000B517D">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xml:space="preserve"> a organizat, în colaborare cu Consiliul Europei, evenimentul online de lansare a cursului HELP </w:t>
      </w:r>
      <w:r w:rsidR="000550EF">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„Violența împotriva femeilor și violența domestică”, la care au participat aproximativ 180 de judecători și procurori români. Activitatea a urmărit sprijinirea aplicării standardelor internaționale și europene privind prevenirea, investigarea și sancționarea violenței de gen și consolidarea capacității sistemului judiciar de a proteja drepturile victimelor.</w:t>
      </w:r>
    </w:p>
    <w:p w14:paraId="0AD2977B" w14:textId="32488B6B" w:rsidR="00DD42E2" w:rsidRPr="002E39A3" w:rsidRDefault="00DD42E2" w:rsidP="009E3AD8">
      <w:pPr>
        <w:pStyle w:val="Default"/>
        <w:tabs>
          <w:tab w:val="left" w:pos="567"/>
        </w:tabs>
        <w:spacing w:line="276" w:lineRule="auto"/>
        <w:jc w:val="both"/>
        <w:rPr>
          <w:rFonts w:asciiTheme="minorHAnsi" w:hAnsiTheme="minorHAnsi" w:cstheme="minorHAnsi"/>
          <w:color w:val="auto"/>
          <w:sz w:val="26"/>
          <w:szCs w:val="26"/>
        </w:rPr>
      </w:pPr>
      <w:r>
        <w:rPr>
          <w:rFonts w:asciiTheme="minorHAnsi" w:hAnsiTheme="minorHAnsi" w:cstheme="minorHAnsi"/>
          <w:color w:val="000000" w:themeColor="text1"/>
          <w:sz w:val="26"/>
          <w:szCs w:val="26"/>
        </w:rPr>
        <w:tab/>
      </w:r>
      <w:bookmarkStart w:id="52" w:name="_Hlk220316107"/>
      <w:r w:rsidRPr="002E39A3">
        <w:rPr>
          <w:rFonts w:asciiTheme="minorHAnsi" w:hAnsiTheme="minorHAnsi" w:cstheme="minorHAnsi"/>
          <w:color w:val="auto"/>
          <w:sz w:val="26"/>
          <w:szCs w:val="26"/>
        </w:rPr>
        <w:t>În data de 25 noiembrie 2025, Consiliul Europei, în colaborare cu Institutul Național al Magistraturii și Școala Judiciară din Spania, a organizat evenimentul de lansare a cursului HELP „Protecția datelor cu caracter personal în publicarea hotărârilor judecătorești”. Cursul a fost elaborat în anul 2023 în cadrul Programului HELP al Consiliului Europei și este implementat în România în cadrul proiectului EU–CoE HELP in the E</w:t>
      </w:r>
      <w:r w:rsidR="00E7102F" w:rsidRPr="002E39A3">
        <w:rPr>
          <w:rFonts w:asciiTheme="minorHAnsi" w:hAnsiTheme="minorHAnsi" w:cstheme="minorHAnsi"/>
          <w:color w:val="auto"/>
          <w:sz w:val="26"/>
          <w:szCs w:val="26"/>
        </w:rPr>
        <w:t>.</w:t>
      </w:r>
      <w:r w:rsidRPr="002E39A3">
        <w:rPr>
          <w:rFonts w:asciiTheme="minorHAnsi" w:hAnsiTheme="minorHAnsi" w:cstheme="minorHAnsi"/>
          <w:color w:val="auto"/>
          <w:sz w:val="26"/>
          <w:szCs w:val="26"/>
        </w:rPr>
        <w:t>U</w:t>
      </w:r>
      <w:r w:rsidR="00E7102F" w:rsidRPr="002E39A3">
        <w:rPr>
          <w:rFonts w:asciiTheme="minorHAnsi" w:hAnsiTheme="minorHAnsi" w:cstheme="minorHAnsi"/>
          <w:color w:val="auto"/>
          <w:sz w:val="26"/>
          <w:szCs w:val="26"/>
        </w:rPr>
        <w:t>.</w:t>
      </w:r>
      <w:r w:rsidRPr="002E39A3">
        <w:rPr>
          <w:rFonts w:asciiTheme="minorHAnsi" w:hAnsiTheme="minorHAnsi" w:cstheme="minorHAnsi"/>
          <w:color w:val="auto"/>
          <w:sz w:val="26"/>
          <w:szCs w:val="26"/>
        </w:rPr>
        <w:t xml:space="preserve"> IV, la care I</w:t>
      </w:r>
      <w:r w:rsidR="00E7102F" w:rsidRPr="002E39A3">
        <w:rPr>
          <w:rFonts w:asciiTheme="minorHAnsi" w:hAnsiTheme="minorHAnsi" w:cstheme="minorHAnsi"/>
          <w:color w:val="auto"/>
          <w:sz w:val="26"/>
          <w:szCs w:val="26"/>
        </w:rPr>
        <w:t>.</w:t>
      </w:r>
      <w:r w:rsidRPr="002E39A3">
        <w:rPr>
          <w:rFonts w:asciiTheme="minorHAnsi" w:hAnsiTheme="minorHAnsi" w:cstheme="minorHAnsi"/>
          <w:color w:val="auto"/>
          <w:sz w:val="26"/>
          <w:szCs w:val="26"/>
        </w:rPr>
        <w:t>N</w:t>
      </w:r>
      <w:r w:rsidR="00E7102F" w:rsidRPr="002E39A3">
        <w:rPr>
          <w:rFonts w:asciiTheme="minorHAnsi" w:hAnsiTheme="minorHAnsi" w:cstheme="minorHAnsi"/>
          <w:color w:val="auto"/>
          <w:sz w:val="26"/>
          <w:szCs w:val="26"/>
        </w:rPr>
        <w:t>.</w:t>
      </w:r>
      <w:r w:rsidRPr="002E39A3">
        <w:rPr>
          <w:rFonts w:asciiTheme="minorHAnsi" w:hAnsiTheme="minorHAnsi" w:cstheme="minorHAnsi"/>
          <w:color w:val="auto"/>
          <w:sz w:val="26"/>
          <w:szCs w:val="26"/>
        </w:rPr>
        <w:t>M</w:t>
      </w:r>
      <w:r w:rsidR="00E7102F" w:rsidRPr="002E39A3">
        <w:rPr>
          <w:rFonts w:asciiTheme="minorHAnsi" w:hAnsiTheme="minorHAnsi" w:cstheme="minorHAnsi"/>
          <w:color w:val="auto"/>
          <w:sz w:val="26"/>
          <w:szCs w:val="26"/>
        </w:rPr>
        <w:t>.</w:t>
      </w:r>
      <w:r w:rsidRPr="002E39A3">
        <w:rPr>
          <w:rFonts w:asciiTheme="minorHAnsi" w:hAnsiTheme="minorHAnsi" w:cstheme="minorHAnsi"/>
          <w:color w:val="auto"/>
          <w:sz w:val="26"/>
          <w:szCs w:val="26"/>
        </w:rPr>
        <w:t xml:space="preserve"> participă în calitate de partener. La evenimentul din București au participat 20 de magistrați din România și 21 de magistraţi din Spania, care vor parcurge ulterior cursul online sub îndrumarea tutorilor HELP.</w:t>
      </w:r>
    </w:p>
    <w:bookmarkEnd w:id="52"/>
    <w:p w14:paraId="1B3B0188" w14:textId="0A2DCE27" w:rsidR="004330C1" w:rsidRPr="006A2E2B" w:rsidRDefault="004330C1" w:rsidP="00281400">
      <w:pPr>
        <w:pStyle w:val="ListParagraph"/>
        <w:numPr>
          <w:ilvl w:val="0"/>
          <w:numId w:val="22"/>
        </w:numPr>
        <w:spacing w:line="276" w:lineRule="auto"/>
        <w:ind w:left="1068"/>
        <w:jc w:val="both"/>
        <w:rPr>
          <w:rFonts w:asciiTheme="minorHAnsi" w:hAnsiTheme="minorHAnsi" w:cstheme="minorHAnsi"/>
          <w:b/>
          <w:bCs/>
          <w:color w:val="000000" w:themeColor="text1"/>
          <w:sz w:val="26"/>
          <w:szCs w:val="26"/>
        </w:rPr>
      </w:pPr>
      <w:r w:rsidRPr="006A2E2B">
        <w:rPr>
          <w:rFonts w:asciiTheme="minorHAnsi" w:hAnsiTheme="minorHAnsi" w:cstheme="minorHAnsi"/>
          <w:b/>
          <w:bCs/>
          <w:color w:val="000000" w:themeColor="text1"/>
          <w:sz w:val="26"/>
          <w:szCs w:val="26"/>
          <w:lang w:eastAsia="en-GB"/>
        </w:rPr>
        <w:t>Academia de Drept European</w:t>
      </w:r>
      <w:r w:rsidRPr="006A2E2B">
        <w:rPr>
          <w:rFonts w:asciiTheme="minorHAnsi" w:hAnsiTheme="minorHAnsi" w:cstheme="minorHAnsi"/>
          <w:b/>
          <w:bCs/>
          <w:color w:val="000000" w:themeColor="text1"/>
          <w:sz w:val="26"/>
          <w:szCs w:val="26"/>
        </w:rPr>
        <w:t xml:space="preserve"> – E</w:t>
      </w:r>
      <w:r w:rsidR="000B517D">
        <w:rPr>
          <w:rFonts w:asciiTheme="minorHAnsi" w:hAnsiTheme="minorHAnsi" w:cstheme="minorHAnsi"/>
          <w:b/>
          <w:bCs/>
          <w:color w:val="000000" w:themeColor="text1"/>
          <w:sz w:val="26"/>
          <w:szCs w:val="26"/>
        </w:rPr>
        <w:t>.</w:t>
      </w:r>
      <w:r w:rsidRPr="006A2E2B">
        <w:rPr>
          <w:rFonts w:asciiTheme="minorHAnsi" w:hAnsiTheme="minorHAnsi" w:cstheme="minorHAnsi"/>
          <w:b/>
          <w:bCs/>
          <w:color w:val="000000" w:themeColor="text1"/>
          <w:sz w:val="26"/>
          <w:szCs w:val="26"/>
        </w:rPr>
        <w:t>R</w:t>
      </w:r>
      <w:r w:rsidR="000B517D">
        <w:rPr>
          <w:rFonts w:asciiTheme="minorHAnsi" w:hAnsiTheme="minorHAnsi" w:cstheme="minorHAnsi"/>
          <w:b/>
          <w:bCs/>
          <w:color w:val="000000" w:themeColor="text1"/>
          <w:sz w:val="26"/>
          <w:szCs w:val="26"/>
        </w:rPr>
        <w:t>.</w:t>
      </w:r>
      <w:r w:rsidRPr="006A2E2B">
        <w:rPr>
          <w:rFonts w:asciiTheme="minorHAnsi" w:hAnsiTheme="minorHAnsi" w:cstheme="minorHAnsi"/>
          <w:b/>
          <w:bCs/>
          <w:color w:val="000000" w:themeColor="text1"/>
          <w:sz w:val="26"/>
          <w:szCs w:val="26"/>
        </w:rPr>
        <w:t>A</w:t>
      </w:r>
      <w:r w:rsidR="000B517D">
        <w:rPr>
          <w:rFonts w:asciiTheme="minorHAnsi" w:hAnsiTheme="minorHAnsi" w:cstheme="minorHAnsi"/>
          <w:b/>
          <w:bCs/>
          <w:color w:val="000000" w:themeColor="text1"/>
          <w:sz w:val="26"/>
          <w:szCs w:val="26"/>
        </w:rPr>
        <w:t>.</w:t>
      </w:r>
    </w:p>
    <w:p w14:paraId="41B6892F" w14:textId="776D086C" w:rsidR="004330C1" w:rsidRPr="006A2E2B" w:rsidRDefault="004330C1" w:rsidP="009E3AD8">
      <w:pPr>
        <w:spacing w:line="276" w:lineRule="auto"/>
        <w:ind w:firstLine="708"/>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Institutul Național al Magistraturii a fost implicat și în activități organizate în colaborare cu Academia de Drept European (E</w:t>
      </w:r>
      <w:r w:rsidR="000B517D">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R</w:t>
      </w:r>
      <w:r w:rsidR="000B517D">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A</w:t>
      </w:r>
      <w:r w:rsidR="000B517D">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menite să contribuie la îmbunătățirea competențelor de comunicare, formare și colaborare transnațională în spațiul juridic european.</w:t>
      </w:r>
    </w:p>
    <w:p w14:paraId="12B9B48E" w14:textId="238A9BE1" w:rsidR="004330C1" w:rsidRPr="006A2E2B" w:rsidRDefault="004330C1" w:rsidP="009E3AD8">
      <w:pPr>
        <w:spacing w:line="276" w:lineRule="auto"/>
        <w:ind w:firstLine="708"/>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În perioada 29</w:t>
      </w:r>
      <w:r w:rsidR="000B517D">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w:t>
      </w:r>
      <w:r w:rsidR="000B517D">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30</w:t>
      </w:r>
      <w:r w:rsidR="000550EF">
        <w:rPr>
          <w:rFonts w:asciiTheme="minorHAnsi" w:hAnsiTheme="minorHAnsi" w:cstheme="minorHAnsi"/>
          <w:color w:val="000000" w:themeColor="text1"/>
          <w:sz w:val="26"/>
          <w:szCs w:val="26"/>
        </w:rPr>
        <w:t xml:space="preserve"> septembrie </w:t>
      </w:r>
      <w:r w:rsidRPr="006A2E2B">
        <w:rPr>
          <w:rFonts w:asciiTheme="minorHAnsi" w:hAnsiTheme="minorHAnsi" w:cstheme="minorHAnsi"/>
          <w:color w:val="000000" w:themeColor="text1"/>
          <w:sz w:val="26"/>
          <w:szCs w:val="26"/>
        </w:rPr>
        <w:t>2025, o delegație a I</w:t>
      </w:r>
      <w:r w:rsidR="000B517D">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N</w:t>
      </w:r>
      <w:r w:rsidR="000B517D">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M</w:t>
      </w:r>
      <w:r w:rsidR="000B517D">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compusă din șeful Serviciului de informare publică și relații cu mass</w:t>
      </w:r>
      <w:r w:rsidRPr="006A2E2B">
        <w:rPr>
          <w:rFonts w:ascii="Cambria Math" w:hAnsi="Cambria Math" w:cs="Cambria Math"/>
          <w:color w:val="000000" w:themeColor="text1"/>
          <w:sz w:val="26"/>
          <w:szCs w:val="26"/>
        </w:rPr>
        <w:t>‑</w:t>
      </w:r>
      <w:r w:rsidRPr="006A2E2B">
        <w:rPr>
          <w:rFonts w:asciiTheme="minorHAnsi" w:hAnsiTheme="minorHAnsi" w:cstheme="minorHAnsi"/>
          <w:color w:val="000000" w:themeColor="text1"/>
          <w:sz w:val="26"/>
          <w:szCs w:val="26"/>
        </w:rPr>
        <w:t>media și un consilier – specialist IT din cadrul aceluiași serviciu, a participat la programul de formare privind cele mai bune practici europene în producția de podcasturi video și audio, organizat de E</w:t>
      </w:r>
      <w:r w:rsidR="007C7065">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R</w:t>
      </w:r>
      <w:r w:rsidR="007C7065">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A</w:t>
      </w:r>
      <w:r w:rsidR="007C7065">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xml:space="preserve"> la Trier (Germania). Activitatea a avut ca scop consolidarea capacităților instituționale privind realizarea materialelor multimedia destinate diseminării informațiilor juridice și formării online.</w:t>
      </w:r>
    </w:p>
    <w:p w14:paraId="1EB17414" w14:textId="55AAAEA4" w:rsidR="004330C1" w:rsidRPr="006A2E2B" w:rsidRDefault="004330C1" w:rsidP="009E3AD8">
      <w:pPr>
        <w:spacing w:line="276" w:lineRule="auto"/>
        <w:ind w:firstLine="708"/>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Ulterior, în perioada 16</w:t>
      </w:r>
      <w:r w:rsidR="007A1B1F">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w:t>
      </w:r>
      <w:r w:rsidR="007A1B1F">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17</w:t>
      </w:r>
      <w:r w:rsidR="000550EF">
        <w:rPr>
          <w:rFonts w:asciiTheme="minorHAnsi" w:hAnsiTheme="minorHAnsi" w:cstheme="minorHAnsi"/>
          <w:color w:val="000000" w:themeColor="text1"/>
          <w:sz w:val="26"/>
          <w:szCs w:val="26"/>
        </w:rPr>
        <w:t xml:space="preserve"> octombrie </w:t>
      </w:r>
      <w:r w:rsidRPr="006A2E2B">
        <w:rPr>
          <w:rFonts w:asciiTheme="minorHAnsi" w:hAnsiTheme="minorHAnsi" w:cstheme="minorHAnsi"/>
          <w:color w:val="000000" w:themeColor="text1"/>
          <w:sz w:val="26"/>
          <w:szCs w:val="26"/>
        </w:rPr>
        <w:t>2025, un formator cu normă întreagă la disciplina Dreptul Uniunii Europene și directorul adjunct al Institutului au reprezentat I</w:t>
      </w:r>
      <w:r w:rsidR="007C7065">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N</w:t>
      </w:r>
      <w:r w:rsidR="007C7065">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M</w:t>
      </w:r>
      <w:r w:rsidR="007C7065">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xml:space="preserve"> la vizita de studiu și formare pe tema dreptului european, destinată judecătorilor și procurorilor din Estonia, Letonia și Lituania (425DT21), organizată de aceeași Academie E</w:t>
      </w:r>
      <w:r w:rsidR="007C7065">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R</w:t>
      </w:r>
      <w:r w:rsidR="007C7065">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A</w:t>
      </w:r>
      <w:r w:rsidR="007C7065">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tot la Trier. Cu acest prilej, formatorul I</w:t>
      </w:r>
      <w:r w:rsidR="007C7065">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N</w:t>
      </w:r>
      <w:r w:rsidR="007C7065">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M</w:t>
      </w:r>
      <w:r w:rsidR="007C7065">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xml:space="preserve"> a prezentat organizarea și funcționarea rețelei naționale EUROQUOD, în timp </w:t>
      </w:r>
      <w:r w:rsidRPr="006A2E2B">
        <w:rPr>
          <w:rFonts w:asciiTheme="minorHAnsi" w:hAnsiTheme="minorHAnsi" w:cstheme="minorHAnsi"/>
          <w:color w:val="000000" w:themeColor="text1"/>
          <w:sz w:val="26"/>
          <w:szCs w:val="26"/>
        </w:rPr>
        <w:lastRenderedPageBreak/>
        <w:t xml:space="preserve">ce directorul adjunct a susținut o prezentare pe tema </w:t>
      </w:r>
      <w:r w:rsidR="007C7065">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Application of EU law in the national context: principles and challenges”, subliniind provocările aplicării coerente a dreptului Uniunii Europene în sistemele naționale.</w:t>
      </w:r>
    </w:p>
    <w:p w14:paraId="6CBF8301" w14:textId="48C93B5A" w:rsidR="004330C1" w:rsidRPr="006A2E2B" w:rsidRDefault="004330C1" w:rsidP="00281400">
      <w:pPr>
        <w:pStyle w:val="ListParagraph"/>
        <w:numPr>
          <w:ilvl w:val="0"/>
          <w:numId w:val="22"/>
        </w:numPr>
        <w:shd w:val="clear" w:color="auto" w:fill="FFFFFF"/>
        <w:tabs>
          <w:tab w:val="left" w:pos="284"/>
        </w:tabs>
        <w:spacing w:line="276" w:lineRule="auto"/>
        <w:ind w:left="1068"/>
        <w:jc w:val="both"/>
        <w:rPr>
          <w:rFonts w:asciiTheme="minorHAnsi" w:hAnsiTheme="minorHAnsi" w:cstheme="minorHAnsi"/>
          <w:b/>
          <w:bCs/>
          <w:color w:val="000000" w:themeColor="text1"/>
          <w:sz w:val="26"/>
          <w:szCs w:val="26"/>
        </w:rPr>
      </w:pPr>
      <w:r w:rsidRPr="006A2E2B">
        <w:rPr>
          <w:rFonts w:asciiTheme="minorHAnsi" w:hAnsiTheme="minorHAnsi" w:cstheme="minorHAnsi"/>
          <w:b/>
          <w:bCs/>
          <w:color w:val="000000" w:themeColor="text1"/>
          <w:sz w:val="26"/>
          <w:szCs w:val="26"/>
        </w:rPr>
        <w:t>Comisia Europeană</w:t>
      </w:r>
    </w:p>
    <w:p w14:paraId="6163A64E" w14:textId="5142C93D" w:rsidR="004330C1" w:rsidRPr="0053409F" w:rsidRDefault="004330C1" w:rsidP="009E3AD8">
      <w:pPr>
        <w:spacing w:line="276" w:lineRule="auto"/>
        <w:ind w:firstLine="708"/>
        <w:jc w:val="both"/>
        <w:rPr>
          <w:rFonts w:asciiTheme="minorHAnsi" w:hAnsiTheme="minorHAnsi" w:cstheme="minorHAnsi"/>
          <w:color w:val="000000" w:themeColor="text1"/>
          <w:sz w:val="26"/>
          <w:szCs w:val="26"/>
          <w:lang w:eastAsia="en-GB"/>
        </w:rPr>
      </w:pPr>
      <w:r w:rsidRPr="006A2E2B">
        <w:rPr>
          <w:rFonts w:asciiTheme="minorHAnsi" w:hAnsiTheme="minorHAnsi" w:cstheme="minorHAnsi"/>
          <w:color w:val="000000" w:themeColor="text1"/>
          <w:sz w:val="26"/>
          <w:szCs w:val="26"/>
          <w:lang w:eastAsia="en-GB"/>
        </w:rPr>
        <w:t xml:space="preserve">Pe linia cooperării directe cu Comisia Europeană, reprezentanții Institutului Național al Magistraturii au </w:t>
      </w:r>
      <w:r w:rsidR="00CE4E13">
        <w:rPr>
          <w:rFonts w:asciiTheme="minorHAnsi" w:hAnsiTheme="minorHAnsi" w:cstheme="minorHAnsi"/>
          <w:color w:val="000000" w:themeColor="text1"/>
          <w:sz w:val="26"/>
          <w:szCs w:val="26"/>
          <w:lang w:eastAsia="en-GB"/>
        </w:rPr>
        <w:t>participat</w:t>
      </w:r>
      <w:r w:rsidRPr="006A2E2B">
        <w:rPr>
          <w:rFonts w:asciiTheme="minorHAnsi" w:hAnsiTheme="minorHAnsi" w:cstheme="minorHAnsi"/>
          <w:color w:val="000000" w:themeColor="text1"/>
          <w:sz w:val="26"/>
          <w:szCs w:val="26"/>
          <w:lang w:eastAsia="en-GB"/>
        </w:rPr>
        <w:t>, în perioada 17</w:t>
      </w:r>
      <w:r w:rsidR="005A6F25">
        <w:rPr>
          <w:rFonts w:asciiTheme="minorHAnsi" w:hAnsiTheme="minorHAnsi" w:cstheme="minorHAnsi"/>
          <w:color w:val="000000" w:themeColor="text1"/>
          <w:sz w:val="26"/>
          <w:szCs w:val="26"/>
          <w:lang w:eastAsia="en-GB"/>
        </w:rPr>
        <w:t xml:space="preserve"> </w:t>
      </w:r>
      <w:r w:rsidRPr="006A2E2B">
        <w:rPr>
          <w:rFonts w:asciiTheme="minorHAnsi" w:hAnsiTheme="minorHAnsi" w:cstheme="minorHAnsi"/>
          <w:color w:val="000000" w:themeColor="text1"/>
          <w:sz w:val="26"/>
          <w:szCs w:val="26"/>
          <w:lang w:eastAsia="en-GB"/>
        </w:rPr>
        <w:t>–</w:t>
      </w:r>
      <w:r w:rsidR="005A6F25">
        <w:rPr>
          <w:rFonts w:asciiTheme="minorHAnsi" w:hAnsiTheme="minorHAnsi" w:cstheme="minorHAnsi"/>
          <w:color w:val="000000" w:themeColor="text1"/>
          <w:sz w:val="26"/>
          <w:szCs w:val="26"/>
          <w:lang w:eastAsia="en-GB"/>
        </w:rPr>
        <w:t xml:space="preserve"> </w:t>
      </w:r>
      <w:r w:rsidRPr="006A2E2B">
        <w:rPr>
          <w:rFonts w:asciiTheme="minorHAnsi" w:hAnsiTheme="minorHAnsi" w:cstheme="minorHAnsi"/>
          <w:color w:val="000000" w:themeColor="text1"/>
          <w:sz w:val="26"/>
          <w:szCs w:val="26"/>
          <w:lang w:eastAsia="en-GB"/>
        </w:rPr>
        <w:t>18</w:t>
      </w:r>
      <w:r w:rsidR="00CE4E13">
        <w:rPr>
          <w:rFonts w:asciiTheme="minorHAnsi" w:hAnsiTheme="minorHAnsi" w:cstheme="minorHAnsi"/>
          <w:color w:val="000000" w:themeColor="text1"/>
          <w:sz w:val="26"/>
          <w:szCs w:val="26"/>
          <w:lang w:eastAsia="en-GB"/>
        </w:rPr>
        <w:t xml:space="preserve"> iunie </w:t>
      </w:r>
      <w:r w:rsidRPr="006A2E2B">
        <w:rPr>
          <w:rFonts w:asciiTheme="minorHAnsi" w:hAnsiTheme="minorHAnsi" w:cstheme="minorHAnsi"/>
          <w:color w:val="000000" w:themeColor="text1"/>
          <w:sz w:val="26"/>
          <w:szCs w:val="26"/>
          <w:lang w:eastAsia="en-GB"/>
        </w:rPr>
        <w:t>2025, la întâlnirea dedicată beneficiarilor granturilor de acțiune selectați în cadrul apelurilor JUST</w:t>
      </w:r>
      <w:r w:rsidR="007A1B1F">
        <w:rPr>
          <w:rFonts w:asciiTheme="minorHAnsi" w:hAnsiTheme="minorHAnsi" w:cstheme="minorHAnsi"/>
          <w:color w:val="000000" w:themeColor="text1"/>
          <w:sz w:val="26"/>
          <w:szCs w:val="26"/>
          <w:lang w:eastAsia="en-GB"/>
        </w:rPr>
        <w:t xml:space="preserve"> </w:t>
      </w:r>
      <w:r w:rsidRPr="006A2E2B">
        <w:rPr>
          <w:rFonts w:ascii="Cambria Math" w:hAnsi="Cambria Math" w:cs="Cambria Math"/>
          <w:color w:val="000000" w:themeColor="text1"/>
          <w:sz w:val="26"/>
          <w:szCs w:val="26"/>
          <w:lang w:eastAsia="en-GB"/>
        </w:rPr>
        <w:t>‑</w:t>
      </w:r>
      <w:r w:rsidR="007A1B1F">
        <w:rPr>
          <w:rFonts w:ascii="Cambria Math" w:hAnsi="Cambria Math" w:cs="Cambria Math"/>
          <w:color w:val="000000" w:themeColor="text1"/>
          <w:sz w:val="26"/>
          <w:szCs w:val="26"/>
          <w:lang w:eastAsia="en-GB"/>
        </w:rPr>
        <w:t xml:space="preserve"> </w:t>
      </w:r>
      <w:r w:rsidRPr="006A2E2B">
        <w:rPr>
          <w:rFonts w:asciiTheme="minorHAnsi" w:hAnsiTheme="minorHAnsi" w:cstheme="minorHAnsi"/>
          <w:color w:val="000000" w:themeColor="text1"/>
          <w:sz w:val="26"/>
          <w:szCs w:val="26"/>
          <w:lang w:eastAsia="en-GB"/>
        </w:rPr>
        <w:t>2024</w:t>
      </w:r>
      <w:r w:rsidR="007A1B1F">
        <w:rPr>
          <w:rFonts w:asciiTheme="minorHAnsi" w:hAnsiTheme="minorHAnsi" w:cstheme="minorHAnsi"/>
          <w:color w:val="000000" w:themeColor="text1"/>
          <w:sz w:val="26"/>
          <w:szCs w:val="26"/>
          <w:lang w:eastAsia="en-GB"/>
        </w:rPr>
        <w:t xml:space="preserve"> </w:t>
      </w:r>
      <w:r w:rsidRPr="006A2E2B">
        <w:rPr>
          <w:rFonts w:ascii="Cambria Math" w:hAnsi="Cambria Math" w:cs="Cambria Math"/>
          <w:color w:val="000000" w:themeColor="text1"/>
          <w:sz w:val="26"/>
          <w:szCs w:val="26"/>
          <w:lang w:eastAsia="en-GB"/>
        </w:rPr>
        <w:t>‑</w:t>
      </w:r>
      <w:r w:rsidR="007A1B1F">
        <w:rPr>
          <w:rFonts w:ascii="Cambria Math" w:hAnsi="Cambria Math" w:cs="Cambria Math"/>
          <w:color w:val="000000" w:themeColor="text1"/>
          <w:sz w:val="26"/>
          <w:szCs w:val="26"/>
          <w:lang w:eastAsia="en-GB"/>
        </w:rPr>
        <w:t xml:space="preserve"> </w:t>
      </w:r>
      <w:r w:rsidRPr="006A2E2B">
        <w:rPr>
          <w:rFonts w:asciiTheme="minorHAnsi" w:hAnsiTheme="minorHAnsi" w:cstheme="minorHAnsi"/>
          <w:color w:val="000000" w:themeColor="text1"/>
          <w:sz w:val="26"/>
          <w:szCs w:val="26"/>
          <w:lang w:eastAsia="en-GB"/>
        </w:rPr>
        <w:t>JCOO, JUST</w:t>
      </w:r>
      <w:r w:rsidR="0053409F">
        <w:rPr>
          <w:rFonts w:asciiTheme="minorHAnsi" w:hAnsiTheme="minorHAnsi" w:cstheme="minorHAnsi"/>
          <w:color w:val="000000" w:themeColor="text1"/>
          <w:sz w:val="26"/>
          <w:szCs w:val="26"/>
          <w:lang w:eastAsia="en-GB"/>
        </w:rPr>
        <w:t xml:space="preserve"> </w:t>
      </w:r>
      <w:r w:rsidRPr="006A2E2B">
        <w:rPr>
          <w:rFonts w:ascii="Cambria Math" w:hAnsi="Cambria Math" w:cs="Cambria Math"/>
          <w:color w:val="000000" w:themeColor="text1"/>
          <w:sz w:val="26"/>
          <w:szCs w:val="26"/>
          <w:lang w:eastAsia="en-GB"/>
        </w:rPr>
        <w:t>‑</w:t>
      </w:r>
      <w:r w:rsidR="0053409F">
        <w:rPr>
          <w:rFonts w:ascii="Cambria Math" w:hAnsi="Cambria Math" w:cs="Cambria Math"/>
          <w:color w:val="000000" w:themeColor="text1"/>
          <w:sz w:val="26"/>
          <w:szCs w:val="26"/>
          <w:lang w:eastAsia="en-GB"/>
        </w:rPr>
        <w:t xml:space="preserve"> </w:t>
      </w:r>
      <w:r w:rsidRPr="006A2E2B">
        <w:rPr>
          <w:rFonts w:asciiTheme="minorHAnsi" w:hAnsiTheme="minorHAnsi" w:cstheme="minorHAnsi"/>
          <w:color w:val="000000" w:themeColor="text1"/>
          <w:sz w:val="26"/>
          <w:szCs w:val="26"/>
          <w:lang w:eastAsia="en-GB"/>
        </w:rPr>
        <w:t>2024</w:t>
      </w:r>
      <w:r w:rsidR="0053409F">
        <w:rPr>
          <w:rFonts w:asciiTheme="minorHAnsi" w:hAnsiTheme="minorHAnsi" w:cstheme="minorHAnsi"/>
          <w:color w:val="000000" w:themeColor="text1"/>
          <w:sz w:val="26"/>
          <w:szCs w:val="26"/>
          <w:lang w:eastAsia="en-GB"/>
        </w:rPr>
        <w:t xml:space="preserve"> </w:t>
      </w:r>
      <w:r w:rsidRPr="006A2E2B">
        <w:rPr>
          <w:rFonts w:ascii="Cambria Math" w:hAnsi="Cambria Math" w:cs="Cambria Math"/>
          <w:color w:val="000000" w:themeColor="text1"/>
          <w:sz w:val="26"/>
          <w:szCs w:val="26"/>
          <w:lang w:eastAsia="en-GB"/>
        </w:rPr>
        <w:t>‑</w:t>
      </w:r>
      <w:r w:rsidR="0053409F">
        <w:rPr>
          <w:rFonts w:ascii="Cambria Math" w:hAnsi="Cambria Math" w:cs="Cambria Math"/>
          <w:color w:val="000000" w:themeColor="text1"/>
          <w:sz w:val="26"/>
          <w:szCs w:val="26"/>
          <w:lang w:eastAsia="en-GB"/>
        </w:rPr>
        <w:t xml:space="preserve"> </w:t>
      </w:r>
      <w:r w:rsidRPr="006A2E2B">
        <w:rPr>
          <w:rFonts w:asciiTheme="minorHAnsi" w:hAnsiTheme="minorHAnsi" w:cstheme="minorHAnsi"/>
          <w:color w:val="000000" w:themeColor="text1"/>
          <w:sz w:val="26"/>
          <w:szCs w:val="26"/>
          <w:lang w:eastAsia="en-GB"/>
        </w:rPr>
        <w:t>JTRA, CERV</w:t>
      </w:r>
      <w:r w:rsidR="0053409F">
        <w:rPr>
          <w:rFonts w:asciiTheme="minorHAnsi" w:hAnsiTheme="minorHAnsi" w:cstheme="minorHAnsi"/>
          <w:color w:val="000000" w:themeColor="text1"/>
          <w:sz w:val="26"/>
          <w:szCs w:val="26"/>
          <w:lang w:eastAsia="en-GB"/>
        </w:rPr>
        <w:t xml:space="preserve"> </w:t>
      </w:r>
      <w:r w:rsidRPr="006A2E2B">
        <w:rPr>
          <w:rFonts w:ascii="Cambria Math" w:hAnsi="Cambria Math" w:cs="Cambria Math"/>
          <w:color w:val="000000" w:themeColor="text1"/>
          <w:sz w:val="26"/>
          <w:szCs w:val="26"/>
          <w:lang w:eastAsia="en-GB"/>
        </w:rPr>
        <w:t>‑</w:t>
      </w:r>
      <w:r w:rsidR="0053409F">
        <w:rPr>
          <w:rFonts w:ascii="Cambria Math" w:hAnsi="Cambria Math" w:cs="Cambria Math"/>
          <w:color w:val="000000" w:themeColor="text1"/>
          <w:sz w:val="26"/>
          <w:szCs w:val="26"/>
          <w:lang w:eastAsia="en-GB"/>
        </w:rPr>
        <w:t xml:space="preserve"> </w:t>
      </w:r>
      <w:r w:rsidRPr="006A2E2B">
        <w:rPr>
          <w:rFonts w:asciiTheme="minorHAnsi" w:hAnsiTheme="minorHAnsi" w:cstheme="minorHAnsi"/>
          <w:color w:val="000000" w:themeColor="text1"/>
          <w:sz w:val="26"/>
          <w:szCs w:val="26"/>
          <w:lang w:eastAsia="en-GB"/>
        </w:rPr>
        <w:t>2024</w:t>
      </w:r>
      <w:r w:rsidR="0053409F">
        <w:rPr>
          <w:rFonts w:asciiTheme="minorHAnsi" w:hAnsiTheme="minorHAnsi" w:cstheme="minorHAnsi"/>
          <w:color w:val="000000" w:themeColor="text1"/>
          <w:sz w:val="26"/>
          <w:szCs w:val="26"/>
          <w:lang w:eastAsia="en-GB"/>
        </w:rPr>
        <w:t xml:space="preserve"> </w:t>
      </w:r>
      <w:r w:rsidRPr="006A2E2B">
        <w:rPr>
          <w:rFonts w:ascii="Cambria Math" w:hAnsi="Cambria Math" w:cs="Cambria Math"/>
          <w:color w:val="000000" w:themeColor="text1"/>
          <w:sz w:val="26"/>
          <w:szCs w:val="26"/>
          <w:lang w:eastAsia="en-GB"/>
        </w:rPr>
        <w:t>‑</w:t>
      </w:r>
      <w:r w:rsidR="0053409F">
        <w:rPr>
          <w:rFonts w:ascii="Cambria Math" w:hAnsi="Cambria Math" w:cs="Cambria Math"/>
          <w:color w:val="000000" w:themeColor="text1"/>
          <w:sz w:val="26"/>
          <w:szCs w:val="26"/>
          <w:lang w:eastAsia="en-GB"/>
        </w:rPr>
        <w:t xml:space="preserve"> </w:t>
      </w:r>
      <w:r w:rsidRPr="006A2E2B">
        <w:rPr>
          <w:rFonts w:asciiTheme="minorHAnsi" w:hAnsiTheme="minorHAnsi" w:cstheme="minorHAnsi"/>
          <w:color w:val="000000" w:themeColor="text1"/>
          <w:sz w:val="26"/>
          <w:szCs w:val="26"/>
          <w:lang w:eastAsia="en-GB"/>
        </w:rPr>
        <w:t>DATA,</w:t>
      </w:r>
      <w:r w:rsidR="005A6F25">
        <w:rPr>
          <w:rFonts w:asciiTheme="minorHAnsi" w:hAnsiTheme="minorHAnsi" w:cstheme="minorHAnsi"/>
          <w:color w:val="000000" w:themeColor="text1"/>
          <w:sz w:val="26"/>
          <w:szCs w:val="26"/>
          <w:lang w:eastAsia="en-GB"/>
        </w:rPr>
        <w:t xml:space="preserve"> </w:t>
      </w:r>
      <w:r w:rsidRPr="006A2E2B">
        <w:rPr>
          <w:rFonts w:asciiTheme="minorHAnsi" w:hAnsiTheme="minorHAnsi" w:cstheme="minorHAnsi"/>
          <w:color w:val="000000" w:themeColor="text1"/>
          <w:sz w:val="26"/>
          <w:szCs w:val="26"/>
          <w:lang w:eastAsia="en-GB"/>
        </w:rPr>
        <w:t>CERV</w:t>
      </w:r>
      <w:r w:rsidR="0053409F">
        <w:rPr>
          <w:rFonts w:asciiTheme="minorHAnsi" w:hAnsiTheme="minorHAnsi" w:cstheme="minorHAnsi"/>
          <w:color w:val="000000" w:themeColor="text1"/>
          <w:sz w:val="26"/>
          <w:szCs w:val="26"/>
          <w:lang w:eastAsia="en-GB"/>
        </w:rPr>
        <w:t xml:space="preserve"> </w:t>
      </w:r>
      <w:r w:rsidRPr="006A2E2B">
        <w:rPr>
          <w:rFonts w:ascii="Cambria Math" w:hAnsi="Cambria Math" w:cs="Cambria Math"/>
          <w:color w:val="000000" w:themeColor="text1"/>
          <w:sz w:val="26"/>
          <w:szCs w:val="26"/>
          <w:lang w:eastAsia="en-GB"/>
        </w:rPr>
        <w:t>‑</w:t>
      </w:r>
      <w:r w:rsidR="0053409F">
        <w:rPr>
          <w:rFonts w:ascii="Cambria Math" w:hAnsi="Cambria Math" w:cs="Cambria Math"/>
          <w:color w:val="000000" w:themeColor="text1"/>
          <w:sz w:val="26"/>
          <w:szCs w:val="26"/>
          <w:lang w:eastAsia="en-GB"/>
        </w:rPr>
        <w:t xml:space="preserve"> </w:t>
      </w:r>
      <w:r w:rsidRPr="006A2E2B">
        <w:rPr>
          <w:rFonts w:asciiTheme="minorHAnsi" w:hAnsiTheme="minorHAnsi" w:cstheme="minorHAnsi"/>
          <w:color w:val="000000" w:themeColor="text1"/>
          <w:sz w:val="26"/>
          <w:szCs w:val="26"/>
          <w:lang w:eastAsia="en-GB"/>
        </w:rPr>
        <w:t>2024</w:t>
      </w:r>
      <w:r w:rsidR="0053409F">
        <w:rPr>
          <w:rFonts w:asciiTheme="minorHAnsi" w:hAnsiTheme="minorHAnsi" w:cstheme="minorHAnsi"/>
          <w:color w:val="000000" w:themeColor="text1"/>
          <w:sz w:val="26"/>
          <w:szCs w:val="26"/>
          <w:lang w:eastAsia="en-GB"/>
        </w:rPr>
        <w:t xml:space="preserve"> </w:t>
      </w:r>
      <w:r w:rsidRPr="006A2E2B">
        <w:rPr>
          <w:rFonts w:ascii="Cambria Math" w:hAnsi="Cambria Math" w:cs="Cambria Math"/>
          <w:color w:val="000000" w:themeColor="text1"/>
          <w:sz w:val="26"/>
          <w:szCs w:val="26"/>
          <w:lang w:eastAsia="en-GB"/>
        </w:rPr>
        <w:t>‑</w:t>
      </w:r>
      <w:r w:rsidR="0053409F">
        <w:rPr>
          <w:rFonts w:ascii="Cambria Math" w:hAnsi="Cambria Math" w:cs="Cambria Math"/>
          <w:color w:val="000000" w:themeColor="text1"/>
          <w:sz w:val="26"/>
          <w:szCs w:val="26"/>
          <w:lang w:eastAsia="en-GB"/>
        </w:rPr>
        <w:t xml:space="preserve"> </w:t>
      </w:r>
      <w:r w:rsidRPr="006A2E2B">
        <w:rPr>
          <w:rFonts w:asciiTheme="minorHAnsi" w:hAnsiTheme="minorHAnsi" w:cstheme="minorHAnsi"/>
          <w:color w:val="000000" w:themeColor="text1"/>
          <w:sz w:val="26"/>
          <w:szCs w:val="26"/>
          <w:lang w:eastAsia="en-GB"/>
        </w:rPr>
        <w:t>DAPHNE,</w:t>
      </w:r>
      <w:r w:rsidR="005A6F25">
        <w:rPr>
          <w:rFonts w:asciiTheme="minorHAnsi" w:hAnsiTheme="minorHAnsi" w:cstheme="minorHAnsi"/>
          <w:color w:val="000000" w:themeColor="text1"/>
          <w:sz w:val="26"/>
          <w:szCs w:val="26"/>
          <w:lang w:eastAsia="en-GB"/>
        </w:rPr>
        <w:t xml:space="preserve"> </w:t>
      </w:r>
      <w:r w:rsidRPr="006A2E2B">
        <w:rPr>
          <w:rFonts w:asciiTheme="minorHAnsi" w:hAnsiTheme="minorHAnsi" w:cstheme="minorHAnsi"/>
          <w:color w:val="000000" w:themeColor="text1"/>
          <w:sz w:val="26"/>
          <w:szCs w:val="26"/>
          <w:lang w:eastAsia="en-GB"/>
        </w:rPr>
        <w:t>CERV</w:t>
      </w:r>
      <w:r w:rsidR="0053409F">
        <w:rPr>
          <w:rFonts w:asciiTheme="minorHAnsi" w:hAnsiTheme="minorHAnsi" w:cstheme="minorHAnsi"/>
          <w:color w:val="000000" w:themeColor="text1"/>
          <w:sz w:val="26"/>
          <w:szCs w:val="26"/>
          <w:lang w:eastAsia="en-GB"/>
        </w:rPr>
        <w:t xml:space="preserve"> </w:t>
      </w:r>
      <w:r w:rsidRPr="006A2E2B">
        <w:rPr>
          <w:rFonts w:ascii="Cambria Math" w:hAnsi="Cambria Math" w:cs="Cambria Math"/>
          <w:color w:val="000000" w:themeColor="text1"/>
          <w:sz w:val="26"/>
          <w:szCs w:val="26"/>
          <w:lang w:eastAsia="en-GB"/>
        </w:rPr>
        <w:t>‑</w:t>
      </w:r>
      <w:r w:rsidR="0053409F">
        <w:rPr>
          <w:rFonts w:ascii="Cambria Math" w:hAnsi="Cambria Math" w:cs="Cambria Math"/>
          <w:color w:val="000000" w:themeColor="text1"/>
          <w:sz w:val="26"/>
          <w:szCs w:val="26"/>
          <w:lang w:eastAsia="en-GB"/>
        </w:rPr>
        <w:t xml:space="preserve"> </w:t>
      </w:r>
      <w:r w:rsidRPr="006A2E2B">
        <w:rPr>
          <w:rFonts w:asciiTheme="minorHAnsi" w:hAnsiTheme="minorHAnsi" w:cstheme="minorHAnsi"/>
          <w:color w:val="000000" w:themeColor="text1"/>
          <w:sz w:val="26"/>
          <w:szCs w:val="26"/>
          <w:lang w:eastAsia="en-GB"/>
        </w:rPr>
        <w:t>2024</w:t>
      </w:r>
      <w:r w:rsidR="0053409F">
        <w:rPr>
          <w:rFonts w:asciiTheme="minorHAnsi" w:hAnsiTheme="minorHAnsi" w:cstheme="minorHAnsi"/>
          <w:color w:val="000000" w:themeColor="text1"/>
          <w:sz w:val="26"/>
          <w:szCs w:val="26"/>
          <w:lang w:eastAsia="en-GB"/>
        </w:rPr>
        <w:t xml:space="preserve"> </w:t>
      </w:r>
      <w:r w:rsidRPr="006A2E2B">
        <w:rPr>
          <w:rFonts w:ascii="Cambria Math" w:hAnsi="Cambria Math" w:cs="Cambria Math"/>
          <w:color w:val="000000" w:themeColor="text1"/>
          <w:sz w:val="26"/>
          <w:szCs w:val="26"/>
          <w:lang w:eastAsia="en-GB"/>
        </w:rPr>
        <w:t>‑</w:t>
      </w:r>
      <w:r w:rsidR="0053409F">
        <w:rPr>
          <w:rFonts w:ascii="Cambria Math" w:hAnsi="Cambria Math" w:cs="Cambria Math"/>
          <w:color w:val="000000" w:themeColor="text1"/>
          <w:sz w:val="26"/>
          <w:szCs w:val="26"/>
          <w:lang w:eastAsia="en-GB"/>
        </w:rPr>
        <w:t xml:space="preserve"> </w:t>
      </w:r>
      <w:r w:rsidRPr="006A2E2B">
        <w:rPr>
          <w:rFonts w:asciiTheme="minorHAnsi" w:hAnsiTheme="minorHAnsi" w:cstheme="minorHAnsi"/>
          <w:color w:val="000000" w:themeColor="text1"/>
          <w:sz w:val="26"/>
          <w:szCs w:val="26"/>
          <w:lang w:eastAsia="en-GB"/>
        </w:rPr>
        <w:t>GE, CERV</w:t>
      </w:r>
      <w:r w:rsidR="0053409F">
        <w:rPr>
          <w:rFonts w:asciiTheme="minorHAnsi" w:hAnsiTheme="minorHAnsi" w:cstheme="minorHAnsi"/>
          <w:color w:val="000000" w:themeColor="text1"/>
          <w:sz w:val="26"/>
          <w:szCs w:val="26"/>
          <w:lang w:eastAsia="en-GB"/>
        </w:rPr>
        <w:t xml:space="preserve"> </w:t>
      </w:r>
      <w:r w:rsidRPr="006A2E2B">
        <w:rPr>
          <w:rFonts w:ascii="Cambria Math" w:hAnsi="Cambria Math" w:cs="Cambria Math"/>
          <w:color w:val="000000" w:themeColor="text1"/>
          <w:sz w:val="26"/>
          <w:szCs w:val="26"/>
          <w:lang w:eastAsia="en-GB"/>
        </w:rPr>
        <w:t>‑</w:t>
      </w:r>
      <w:r w:rsidR="0053409F">
        <w:rPr>
          <w:rFonts w:ascii="Cambria Math" w:hAnsi="Cambria Math" w:cs="Cambria Math"/>
          <w:color w:val="000000" w:themeColor="text1"/>
          <w:sz w:val="26"/>
          <w:szCs w:val="26"/>
          <w:lang w:eastAsia="en-GB"/>
        </w:rPr>
        <w:t xml:space="preserve"> </w:t>
      </w:r>
      <w:r w:rsidRPr="006A2E2B">
        <w:rPr>
          <w:rFonts w:asciiTheme="minorHAnsi" w:hAnsiTheme="minorHAnsi" w:cstheme="minorHAnsi"/>
          <w:color w:val="000000" w:themeColor="text1"/>
          <w:sz w:val="26"/>
          <w:szCs w:val="26"/>
          <w:lang w:eastAsia="en-GB"/>
        </w:rPr>
        <w:t>2024</w:t>
      </w:r>
      <w:r w:rsidR="0053409F">
        <w:rPr>
          <w:rFonts w:asciiTheme="minorHAnsi" w:hAnsiTheme="minorHAnsi" w:cstheme="minorHAnsi"/>
          <w:color w:val="000000" w:themeColor="text1"/>
          <w:sz w:val="26"/>
          <w:szCs w:val="26"/>
          <w:lang w:eastAsia="en-GB"/>
        </w:rPr>
        <w:t xml:space="preserve"> </w:t>
      </w:r>
      <w:r w:rsidRPr="006A2E2B">
        <w:rPr>
          <w:rFonts w:ascii="Cambria Math" w:hAnsi="Cambria Math" w:cs="Cambria Math"/>
          <w:color w:val="000000" w:themeColor="text1"/>
          <w:sz w:val="26"/>
          <w:szCs w:val="26"/>
          <w:lang w:eastAsia="en-GB"/>
        </w:rPr>
        <w:t>‑</w:t>
      </w:r>
      <w:r w:rsidR="0053409F">
        <w:rPr>
          <w:rFonts w:ascii="Cambria Math" w:hAnsi="Cambria Math" w:cs="Cambria Math"/>
          <w:color w:val="000000" w:themeColor="text1"/>
          <w:sz w:val="26"/>
          <w:szCs w:val="26"/>
          <w:lang w:eastAsia="en-GB"/>
        </w:rPr>
        <w:t xml:space="preserve"> </w:t>
      </w:r>
      <w:r w:rsidRPr="006A2E2B">
        <w:rPr>
          <w:rFonts w:asciiTheme="minorHAnsi" w:hAnsiTheme="minorHAnsi" w:cstheme="minorHAnsi"/>
          <w:color w:val="000000" w:themeColor="text1"/>
          <w:sz w:val="26"/>
          <w:szCs w:val="26"/>
          <w:lang w:eastAsia="en-GB"/>
        </w:rPr>
        <w:t>NRCP,</w:t>
      </w:r>
      <w:r w:rsidR="0053409F">
        <w:rPr>
          <w:rFonts w:asciiTheme="minorHAnsi" w:hAnsiTheme="minorHAnsi" w:cstheme="minorHAnsi"/>
          <w:color w:val="000000" w:themeColor="text1"/>
          <w:sz w:val="26"/>
          <w:szCs w:val="26"/>
          <w:lang w:eastAsia="en-GB"/>
        </w:rPr>
        <w:t xml:space="preserve"> </w:t>
      </w:r>
      <w:r w:rsidRPr="006A2E2B">
        <w:rPr>
          <w:rFonts w:asciiTheme="minorHAnsi" w:hAnsiTheme="minorHAnsi" w:cstheme="minorHAnsi"/>
          <w:color w:val="000000" w:themeColor="text1"/>
          <w:sz w:val="26"/>
          <w:szCs w:val="26"/>
          <w:lang w:eastAsia="en-GB"/>
        </w:rPr>
        <w:t>ISF</w:t>
      </w:r>
      <w:r w:rsidR="0053409F">
        <w:rPr>
          <w:rFonts w:asciiTheme="minorHAnsi" w:hAnsiTheme="minorHAnsi" w:cstheme="minorHAnsi"/>
          <w:color w:val="000000" w:themeColor="text1"/>
          <w:sz w:val="26"/>
          <w:szCs w:val="26"/>
          <w:lang w:eastAsia="en-GB"/>
        </w:rPr>
        <w:t xml:space="preserve"> </w:t>
      </w:r>
      <w:r w:rsidRPr="006A2E2B">
        <w:rPr>
          <w:rFonts w:ascii="Cambria Math" w:hAnsi="Cambria Math" w:cs="Cambria Math"/>
          <w:color w:val="000000" w:themeColor="text1"/>
          <w:sz w:val="26"/>
          <w:szCs w:val="26"/>
          <w:lang w:eastAsia="en-GB"/>
        </w:rPr>
        <w:t>‑</w:t>
      </w:r>
      <w:r w:rsidR="0053409F">
        <w:rPr>
          <w:rFonts w:ascii="Cambria Math" w:hAnsi="Cambria Math" w:cs="Cambria Math"/>
          <w:color w:val="000000" w:themeColor="text1"/>
          <w:sz w:val="26"/>
          <w:szCs w:val="26"/>
          <w:lang w:eastAsia="en-GB"/>
        </w:rPr>
        <w:t xml:space="preserve"> </w:t>
      </w:r>
      <w:r w:rsidRPr="006A2E2B">
        <w:rPr>
          <w:rFonts w:asciiTheme="minorHAnsi" w:hAnsiTheme="minorHAnsi" w:cstheme="minorHAnsi"/>
          <w:color w:val="000000" w:themeColor="text1"/>
          <w:sz w:val="26"/>
          <w:szCs w:val="26"/>
          <w:lang w:eastAsia="en-GB"/>
        </w:rPr>
        <w:t>2024</w:t>
      </w:r>
      <w:r w:rsidR="0053409F">
        <w:rPr>
          <w:rFonts w:asciiTheme="minorHAnsi" w:hAnsiTheme="minorHAnsi" w:cstheme="minorHAnsi"/>
          <w:color w:val="000000" w:themeColor="text1"/>
          <w:sz w:val="26"/>
          <w:szCs w:val="26"/>
          <w:lang w:eastAsia="en-GB"/>
        </w:rPr>
        <w:t xml:space="preserve"> </w:t>
      </w:r>
      <w:r w:rsidRPr="006A2E2B">
        <w:rPr>
          <w:rFonts w:ascii="Cambria Math" w:hAnsi="Cambria Math" w:cs="Cambria Math"/>
          <w:color w:val="000000" w:themeColor="text1"/>
          <w:sz w:val="26"/>
          <w:szCs w:val="26"/>
          <w:lang w:eastAsia="en-GB"/>
        </w:rPr>
        <w:t>‑</w:t>
      </w:r>
      <w:r w:rsidR="0053409F">
        <w:rPr>
          <w:rFonts w:ascii="Cambria Math" w:hAnsi="Cambria Math" w:cs="Cambria Math"/>
          <w:color w:val="000000" w:themeColor="text1"/>
          <w:sz w:val="26"/>
          <w:szCs w:val="26"/>
          <w:lang w:eastAsia="en-GB"/>
        </w:rPr>
        <w:t xml:space="preserve">  </w:t>
      </w:r>
      <w:r w:rsidRPr="006A2E2B">
        <w:rPr>
          <w:rFonts w:asciiTheme="minorHAnsi" w:hAnsiTheme="minorHAnsi" w:cstheme="minorHAnsi"/>
          <w:color w:val="000000" w:themeColor="text1"/>
          <w:sz w:val="26"/>
          <w:szCs w:val="26"/>
          <w:lang w:eastAsia="en-GB"/>
        </w:rPr>
        <w:t>TF2</w:t>
      </w:r>
      <w:r w:rsidR="0053409F">
        <w:rPr>
          <w:rFonts w:asciiTheme="minorHAnsi" w:hAnsiTheme="minorHAnsi" w:cstheme="minorHAnsi"/>
          <w:color w:val="000000" w:themeColor="text1"/>
          <w:sz w:val="26"/>
          <w:szCs w:val="26"/>
          <w:lang w:eastAsia="en-GB"/>
        </w:rPr>
        <w:t xml:space="preserve"> </w:t>
      </w:r>
      <w:r w:rsidRPr="006A2E2B">
        <w:rPr>
          <w:rFonts w:ascii="Cambria Math" w:hAnsi="Cambria Math" w:cs="Cambria Math"/>
          <w:color w:val="000000" w:themeColor="text1"/>
          <w:sz w:val="26"/>
          <w:szCs w:val="26"/>
          <w:lang w:eastAsia="en-GB"/>
        </w:rPr>
        <w:t>‑</w:t>
      </w:r>
      <w:r w:rsidR="0053409F">
        <w:rPr>
          <w:rFonts w:ascii="Cambria Math" w:hAnsi="Cambria Math" w:cs="Cambria Math"/>
          <w:color w:val="000000" w:themeColor="text1"/>
          <w:sz w:val="26"/>
          <w:szCs w:val="26"/>
          <w:lang w:eastAsia="en-GB"/>
        </w:rPr>
        <w:t xml:space="preserve"> </w:t>
      </w:r>
      <w:r w:rsidRPr="006A2E2B">
        <w:rPr>
          <w:rFonts w:asciiTheme="minorHAnsi" w:hAnsiTheme="minorHAnsi" w:cstheme="minorHAnsi"/>
          <w:color w:val="000000" w:themeColor="text1"/>
          <w:sz w:val="26"/>
          <w:szCs w:val="26"/>
          <w:lang w:eastAsia="en-GB"/>
        </w:rPr>
        <w:t>AG</w:t>
      </w:r>
      <w:r w:rsidR="0053409F">
        <w:rPr>
          <w:rFonts w:asciiTheme="minorHAnsi" w:hAnsiTheme="minorHAnsi" w:cstheme="minorHAnsi"/>
          <w:color w:val="000000" w:themeColor="text1"/>
          <w:sz w:val="26"/>
          <w:szCs w:val="26"/>
          <w:lang w:eastAsia="en-GB"/>
        </w:rPr>
        <w:t xml:space="preserve"> </w:t>
      </w:r>
      <w:r w:rsidRPr="006A2E2B">
        <w:rPr>
          <w:rFonts w:ascii="Cambria Math" w:hAnsi="Cambria Math" w:cs="Cambria Math"/>
          <w:color w:val="000000" w:themeColor="text1"/>
          <w:sz w:val="26"/>
          <w:szCs w:val="26"/>
          <w:lang w:eastAsia="en-GB"/>
        </w:rPr>
        <w:t>‑</w:t>
      </w:r>
      <w:r w:rsidR="0053409F">
        <w:rPr>
          <w:rFonts w:ascii="Cambria Math" w:hAnsi="Cambria Math" w:cs="Cambria Math"/>
          <w:color w:val="000000" w:themeColor="text1"/>
          <w:sz w:val="26"/>
          <w:szCs w:val="26"/>
          <w:lang w:eastAsia="en-GB"/>
        </w:rPr>
        <w:t xml:space="preserve"> </w:t>
      </w:r>
      <w:r w:rsidRPr="006A2E2B">
        <w:rPr>
          <w:rFonts w:asciiTheme="minorHAnsi" w:hAnsiTheme="minorHAnsi" w:cstheme="minorHAnsi"/>
          <w:color w:val="000000" w:themeColor="text1"/>
          <w:sz w:val="26"/>
          <w:szCs w:val="26"/>
          <w:lang w:eastAsia="en-GB"/>
        </w:rPr>
        <w:t>CORRUPT și a altor apeluri operaționale lansate în anul 2024. Evenimentul, desfășurat la Bruxelles, a oferit contextul unui dialog direct între beneficiari și reprezentanții Direcției Generale Justiție a Comisiei Europene privind bunele practici de implementare a proiectelor și raportarea rezultatelor. I</w:t>
      </w:r>
      <w:r w:rsidR="00797301">
        <w:rPr>
          <w:rFonts w:asciiTheme="minorHAnsi" w:hAnsiTheme="minorHAnsi" w:cstheme="minorHAnsi"/>
          <w:color w:val="000000" w:themeColor="text1"/>
          <w:sz w:val="26"/>
          <w:szCs w:val="26"/>
          <w:lang w:eastAsia="en-GB"/>
        </w:rPr>
        <w:t>.</w:t>
      </w:r>
      <w:r w:rsidRPr="006A2E2B">
        <w:rPr>
          <w:rFonts w:asciiTheme="minorHAnsi" w:hAnsiTheme="minorHAnsi" w:cstheme="minorHAnsi"/>
          <w:color w:val="000000" w:themeColor="text1"/>
          <w:sz w:val="26"/>
          <w:szCs w:val="26"/>
          <w:lang w:eastAsia="en-GB"/>
        </w:rPr>
        <w:t>N</w:t>
      </w:r>
      <w:r w:rsidR="00797301">
        <w:rPr>
          <w:rFonts w:asciiTheme="minorHAnsi" w:hAnsiTheme="minorHAnsi" w:cstheme="minorHAnsi"/>
          <w:color w:val="000000" w:themeColor="text1"/>
          <w:sz w:val="26"/>
          <w:szCs w:val="26"/>
          <w:lang w:eastAsia="en-GB"/>
        </w:rPr>
        <w:t>.</w:t>
      </w:r>
      <w:r w:rsidRPr="006A2E2B">
        <w:rPr>
          <w:rFonts w:asciiTheme="minorHAnsi" w:hAnsiTheme="minorHAnsi" w:cstheme="minorHAnsi"/>
          <w:color w:val="000000" w:themeColor="text1"/>
          <w:sz w:val="26"/>
          <w:szCs w:val="26"/>
          <w:lang w:eastAsia="en-GB"/>
        </w:rPr>
        <w:t>M</w:t>
      </w:r>
      <w:r w:rsidR="00797301">
        <w:rPr>
          <w:rFonts w:asciiTheme="minorHAnsi" w:hAnsiTheme="minorHAnsi" w:cstheme="minorHAnsi"/>
          <w:color w:val="000000" w:themeColor="text1"/>
          <w:sz w:val="26"/>
          <w:szCs w:val="26"/>
          <w:lang w:eastAsia="en-GB"/>
        </w:rPr>
        <w:t>.</w:t>
      </w:r>
      <w:r w:rsidRPr="006A2E2B">
        <w:rPr>
          <w:rFonts w:asciiTheme="minorHAnsi" w:hAnsiTheme="minorHAnsi" w:cstheme="minorHAnsi"/>
          <w:color w:val="000000" w:themeColor="text1"/>
          <w:sz w:val="26"/>
          <w:szCs w:val="26"/>
          <w:lang w:eastAsia="en-GB"/>
        </w:rPr>
        <w:t xml:space="preserve"> a fost reprezentat de directorul adjunct responsabil cu formarea inițială, în calitate de manager al proiectului „101189956 – CiviLink</w:t>
      </w:r>
      <w:r w:rsidRPr="006A2E2B">
        <w:rPr>
          <w:rFonts w:ascii="Cambria Math" w:hAnsi="Cambria Math" w:cs="Cambria Math"/>
          <w:color w:val="000000" w:themeColor="text1"/>
          <w:sz w:val="26"/>
          <w:szCs w:val="26"/>
          <w:lang w:eastAsia="en-GB"/>
        </w:rPr>
        <w:t>‑</w:t>
      </w:r>
      <w:r w:rsidRPr="006A2E2B">
        <w:rPr>
          <w:rFonts w:asciiTheme="minorHAnsi" w:hAnsiTheme="minorHAnsi" w:cstheme="minorHAnsi"/>
          <w:color w:val="000000" w:themeColor="text1"/>
          <w:sz w:val="26"/>
          <w:szCs w:val="26"/>
          <w:lang w:eastAsia="en-GB"/>
        </w:rPr>
        <w:t>Connecting Borders through e</w:t>
      </w:r>
      <w:r w:rsidRPr="006A2E2B">
        <w:rPr>
          <w:rFonts w:ascii="Cambria Math" w:hAnsi="Cambria Math" w:cs="Cambria Math"/>
          <w:color w:val="000000" w:themeColor="text1"/>
          <w:sz w:val="26"/>
          <w:szCs w:val="26"/>
          <w:lang w:eastAsia="en-GB"/>
        </w:rPr>
        <w:t>‑</w:t>
      </w:r>
      <w:r w:rsidRPr="006A2E2B">
        <w:rPr>
          <w:rFonts w:asciiTheme="minorHAnsi" w:hAnsiTheme="minorHAnsi" w:cstheme="minorHAnsi"/>
          <w:color w:val="000000" w:themeColor="text1"/>
          <w:sz w:val="26"/>
          <w:szCs w:val="26"/>
          <w:lang w:eastAsia="en-GB"/>
        </w:rPr>
        <w:t>CODEX in Judicial Training”, și de coordonatorul WP1 în cadrul aceluiași proiect.</w:t>
      </w:r>
    </w:p>
    <w:p w14:paraId="7EBA34AC" w14:textId="24399C31" w:rsidR="004330C1" w:rsidRPr="006A2E2B" w:rsidRDefault="004330C1" w:rsidP="00281400">
      <w:pPr>
        <w:pStyle w:val="ListParagraph"/>
        <w:numPr>
          <w:ilvl w:val="0"/>
          <w:numId w:val="22"/>
        </w:numPr>
        <w:spacing w:line="276" w:lineRule="auto"/>
        <w:ind w:left="1068"/>
        <w:jc w:val="both"/>
        <w:rPr>
          <w:rFonts w:asciiTheme="minorHAnsi" w:hAnsiTheme="minorHAnsi" w:cstheme="minorHAnsi"/>
          <w:b/>
          <w:bCs/>
          <w:color w:val="000000" w:themeColor="text1"/>
          <w:sz w:val="26"/>
          <w:szCs w:val="26"/>
        </w:rPr>
      </w:pPr>
      <w:r w:rsidRPr="006A2E2B">
        <w:rPr>
          <w:rFonts w:asciiTheme="minorHAnsi" w:hAnsiTheme="minorHAnsi" w:cstheme="minorHAnsi"/>
          <w:b/>
          <w:bCs/>
          <w:color w:val="000000" w:themeColor="text1"/>
          <w:sz w:val="26"/>
          <w:szCs w:val="26"/>
        </w:rPr>
        <w:t>Curtea de Justiţie a Uniunii Europene</w:t>
      </w:r>
      <w:r w:rsidRPr="006A2E2B">
        <w:rPr>
          <w:rFonts w:asciiTheme="minorHAnsi" w:hAnsiTheme="minorHAnsi" w:cstheme="minorHAnsi"/>
          <w:color w:val="000000" w:themeColor="text1"/>
          <w:sz w:val="26"/>
          <w:szCs w:val="26"/>
        </w:rPr>
        <w:t xml:space="preserve"> </w:t>
      </w:r>
      <w:r w:rsidR="00797301">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xml:space="preserve"> </w:t>
      </w:r>
      <w:r w:rsidRPr="006A2E2B">
        <w:rPr>
          <w:rFonts w:asciiTheme="minorHAnsi" w:hAnsiTheme="minorHAnsi" w:cstheme="minorHAnsi"/>
          <w:b/>
          <w:bCs/>
          <w:color w:val="000000" w:themeColor="text1"/>
          <w:sz w:val="26"/>
          <w:szCs w:val="26"/>
          <w:lang w:eastAsia="en-GB"/>
        </w:rPr>
        <w:t>C</w:t>
      </w:r>
      <w:r w:rsidR="00797301">
        <w:rPr>
          <w:rFonts w:asciiTheme="minorHAnsi" w:hAnsiTheme="minorHAnsi" w:cstheme="minorHAnsi"/>
          <w:b/>
          <w:bCs/>
          <w:color w:val="000000" w:themeColor="text1"/>
          <w:sz w:val="26"/>
          <w:szCs w:val="26"/>
          <w:lang w:eastAsia="en-GB"/>
        </w:rPr>
        <w:t>.</w:t>
      </w:r>
      <w:r w:rsidRPr="006A2E2B">
        <w:rPr>
          <w:rFonts w:asciiTheme="minorHAnsi" w:hAnsiTheme="minorHAnsi" w:cstheme="minorHAnsi"/>
          <w:b/>
          <w:bCs/>
          <w:color w:val="000000" w:themeColor="text1"/>
          <w:sz w:val="26"/>
          <w:szCs w:val="26"/>
          <w:lang w:eastAsia="en-GB"/>
        </w:rPr>
        <w:t>J</w:t>
      </w:r>
      <w:r w:rsidR="00797301">
        <w:rPr>
          <w:rFonts w:asciiTheme="minorHAnsi" w:hAnsiTheme="minorHAnsi" w:cstheme="minorHAnsi"/>
          <w:b/>
          <w:bCs/>
          <w:color w:val="000000" w:themeColor="text1"/>
          <w:sz w:val="26"/>
          <w:szCs w:val="26"/>
          <w:lang w:eastAsia="en-GB"/>
        </w:rPr>
        <w:t>.</w:t>
      </w:r>
      <w:r w:rsidRPr="006A2E2B">
        <w:rPr>
          <w:rFonts w:asciiTheme="minorHAnsi" w:hAnsiTheme="minorHAnsi" w:cstheme="minorHAnsi"/>
          <w:b/>
          <w:bCs/>
          <w:color w:val="000000" w:themeColor="text1"/>
          <w:sz w:val="26"/>
          <w:szCs w:val="26"/>
          <w:lang w:eastAsia="en-GB"/>
        </w:rPr>
        <w:t>U</w:t>
      </w:r>
      <w:r w:rsidR="00797301">
        <w:rPr>
          <w:rFonts w:asciiTheme="minorHAnsi" w:hAnsiTheme="minorHAnsi" w:cstheme="minorHAnsi"/>
          <w:b/>
          <w:bCs/>
          <w:color w:val="000000" w:themeColor="text1"/>
          <w:sz w:val="26"/>
          <w:szCs w:val="26"/>
          <w:lang w:eastAsia="en-GB"/>
        </w:rPr>
        <w:t>.</w:t>
      </w:r>
      <w:r w:rsidRPr="006A2E2B">
        <w:rPr>
          <w:rFonts w:asciiTheme="minorHAnsi" w:hAnsiTheme="minorHAnsi" w:cstheme="minorHAnsi"/>
          <w:b/>
          <w:bCs/>
          <w:color w:val="000000" w:themeColor="text1"/>
          <w:sz w:val="26"/>
          <w:szCs w:val="26"/>
          <w:lang w:eastAsia="en-GB"/>
        </w:rPr>
        <w:t>E</w:t>
      </w:r>
      <w:bookmarkStart w:id="53" w:name="_Hlk210991399"/>
      <w:r w:rsidR="00797301">
        <w:rPr>
          <w:rFonts w:asciiTheme="minorHAnsi" w:hAnsiTheme="minorHAnsi" w:cstheme="minorHAnsi"/>
          <w:b/>
          <w:bCs/>
          <w:color w:val="000000" w:themeColor="text1"/>
          <w:sz w:val="26"/>
          <w:szCs w:val="26"/>
          <w:lang w:eastAsia="en-GB"/>
        </w:rPr>
        <w:t>.</w:t>
      </w:r>
    </w:p>
    <w:p w14:paraId="2E19DE5D" w14:textId="77777777" w:rsidR="00CE4E13" w:rsidRDefault="004330C1" w:rsidP="00CE4E13">
      <w:pPr>
        <w:spacing w:line="276" w:lineRule="auto"/>
        <w:ind w:firstLine="708"/>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Cooperarea cu Curtea de Justiție a Uniunii Europene a inclus două activități distincte, vizând consolidarea legăturilor dintre C</w:t>
      </w:r>
      <w:r w:rsidR="00797301">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J</w:t>
      </w:r>
      <w:r w:rsidR="00797301">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U</w:t>
      </w:r>
      <w:r w:rsidR="00797301">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E</w:t>
      </w:r>
      <w:r w:rsidR="00797301">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xml:space="preserve"> și partenerii din statele membre implicați în formarea magistraților</w:t>
      </w:r>
      <w:r w:rsidR="00CE4E13">
        <w:rPr>
          <w:rFonts w:asciiTheme="minorHAnsi" w:hAnsiTheme="minorHAnsi" w:cstheme="minorHAnsi"/>
          <w:color w:val="000000" w:themeColor="text1"/>
          <w:sz w:val="26"/>
          <w:szCs w:val="26"/>
        </w:rPr>
        <w:t>.</w:t>
      </w:r>
    </w:p>
    <w:p w14:paraId="002EFD22" w14:textId="75309294" w:rsidR="004330C1" w:rsidRPr="006A2E2B" w:rsidRDefault="004330C1" w:rsidP="00CE4E13">
      <w:pPr>
        <w:spacing w:line="276" w:lineRule="auto"/>
        <w:ind w:firstLine="708"/>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În perioada 15</w:t>
      </w:r>
      <w:r w:rsidR="00797301">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w:t>
      </w:r>
      <w:r w:rsidR="00797301">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17</w:t>
      </w:r>
      <w:r w:rsidR="00CE4E13">
        <w:rPr>
          <w:rFonts w:asciiTheme="minorHAnsi" w:hAnsiTheme="minorHAnsi" w:cstheme="minorHAnsi"/>
          <w:color w:val="000000" w:themeColor="text1"/>
          <w:sz w:val="26"/>
          <w:szCs w:val="26"/>
        </w:rPr>
        <w:t xml:space="preserve"> septembrie </w:t>
      </w:r>
      <w:r w:rsidRPr="006A2E2B">
        <w:rPr>
          <w:rFonts w:asciiTheme="minorHAnsi" w:hAnsiTheme="minorHAnsi" w:cstheme="minorHAnsi"/>
          <w:color w:val="000000" w:themeColor="text1"/>
          <w:sz w:val="26"/>
          <w:szCs w:val="26"/>
        </w:rPr>
        <w:t>2025, o delegație a I</w:t>
      </w:r>
      <w:r w:rsidR="00797301">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N</w:t>
      </w:r>
      <w:r w:rsidR="00797301">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M</w:t>
      </w:r>
      <w:r w:rsidR="00797301">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xml:space="preserve"> formată din șeful Serviciului Relații Internaționale, doi formatori cu normă întreagă și trei judecători – laureați ai competiției THEMIS – a efectuat o vizită de lucru la sediul Curții de Justiție a Uniunii Europene din Luxemburg. Vizita a urmărit familiarizarea participanților cu jurisprudența și procedurile Curții, precum și întărirea colaborării interinstituționale în domeniul formării judiciare europene.</w:t>
      </w:r>
    </w:p>
    <w:p w14:paraId="2AE0B84E" w14:textId="505AE7E8" w:rsidR="004330C1" w:rsidRPr="002E39A3" w:rsidRDefault="004330C1" w:rsidP="002F6DF0">
      <w:pPr>
        <w:spacing w:line="276" w:lineRule="auto"/>
        <w:ind w:firstLine="708"/>
        <w:jc w:val="both"/>
        <w:rPr>
          <w:rFonts w:asciiTheme="minorHAnsi" w:hAnsiTheme="minorHAnsi" w:cstheme="minorHAnsi"/>
          <w:sz w:val="26"/>
          <w:szCs w:val="26"/>
        </w:rPr>
      </w:pPr>
      <w:r w:rsidRPr="006A2E2B">
        <w:rPr>
          <w:rFonts w:asciiTheme="minorHAnsi" w:hAnsiTheme="minorHAnsi" w:cstheme="minorHAnsi"/>
          <w:color w:val="000000" w:themeColor="text1"/>
          <w:sz w:val="26"/>
          <w:szCs w:val="26"/>
        </w:rPr>
        <w:t>Ulterior, în perioada 22</w:t>
      </w:r>
      <w:r w:rsidR="00FF0FBE">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w:t>
      </w:r>
      <w:r w:rsidR="00FF0FBE">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26</w:t>
      </w:r>
      <w:r w:rsidR="00CE4E13">
        <w:rPr>
          <w:rFonts w:asciiTheme="minorHAnsi" w:hAnsiTheme="minorHAnsi" w:cstheme="minorHAnsi"/>
          <w:color w:val="000000" w:themeColor="text1"/>
          <w:sz w:val="26"/>
          <w:szCs w:val="26"/>
        </w:rPr>
        <w:t xml:space="preserve"> septembrie </w:t>
      </w:r>
      <w:r w:rsidRPr="006A2E2B">
        <w:rPr>
          <w:rFonts w:asciiTheme="minorHAnsi" w:hAnsiTheme="minorHAnsi" w:cstheme="minorHAnsi"/>
          <w:color w:val="000000" w:themeColor="text1"/>
          <w:sz w:val="26"/>
          <w:szCs w:val="26"/>
        </w:rPr>
        <w:t>2025, auditorii care au câștigat Marea Finală THEMIS 2024, ca parte a premiului oferit de E</w:t>
      </w:r>
      <w:r w:rsidR="00FF0FBE">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J</w:t>
      </w:r>
      <w:r w:rsidR="00FF0FBE">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T</w:t>
      </w:r>
      <w:r w:rsidR="00FF0FBE">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N</w:t>
      </w:r>
      <w:r w:rsidR="00FF0FBE">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au efectuat o vizită de studiu la C</w:t>
      </w:r>
      <w:r w:rsidR="00FF0FBE">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J</w:t>
      </w:r>
      <w:r w:rsidR="00FF0FBE">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U</w:t>
      </w:r>
      <w:r w:rsidR="00FF0FBE">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E</w:t>
      </w:r>
      <w:r w:rsidR="00FF0FBE">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Aceștia au fost primiți de Președintele Curții, Koen Lenaerts, de judecătorul român la C</w:t>
      </w:r>
      <w:r w:rsidR="00FF0FBE">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J</w:t>
      </w:r>
      <w:r w:rsidR="00FF0FBE">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U</w:t>
      </w:r>
      <w:r w:rsidR="00FF0FBE">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E</w:t>
      </w:r>
      <w:r w:rsidR="00FF0FBE">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doamna Octavia Spineanu</w:t>
      </w:r>
      <w:r w:rsidRPr="006A2E2B">
        <w:rPr>
          <w:rFonts w:asciiTheme="minorHAnsi" w:hAnsiTheme="minorHAnsi" w:cstheme="minorHAnsi"/>
          <w:color w:val="000000" w:themeColor="text1"/>
          <w:sz w:val="26"/>
          <w:szCs w:val="26"/>
        </w:rPr>
        <w:noBreakHyphen/>
        <w:t xml:space="preserve">Matei, precum și de judecătorii români la Tribunalul Uniunii Europene, doamna Mirela Stancu și domnul Ion Gâlea. Evenimentul a contribuit la promovarea tinerilor profesioniști ai justiției române și la crearea de noi oportunități de învățare prin contactul direct cu </w:t>
      </w:r>
      <w:r w:rsidRPr="002E39A3">
        <w:rPr>
          <w:rFonts w:asciiTheme="minorHAnsi" w:hAnsiTheme="minorHAnsi" w:cstheme="minorHAnsi"/>
          <w:sz w:val="26"/>
          <w:szCs w:val="26"/>
        </w:rPr>
        <w:t>instituțiile europene.</w:t>
      </w:r>
      <w:bookmarkEnd w:id="53"/>
    </w:p>
    <w:p w14:paraId="18FBA49A" w14:textId="50EAF6A6" w:rsidR="00DA1E74" w:rsidRPr="002E39A3" w:rsidRDefault="00DA1E74" w:rsidP="00DA1E74">
      <w:pPr>
        <w:spacing w:line="276" w:lineRule="auto"/>
        <w:ind w:firstLine="708"/>
        <w:jc w:val="both"/>
        <w:rPr>
          <w:rFonts w:asciiTheme="minorHAnsi" w:hAnsiTheme="minorHAnsi" w:cstheme="minorHAnsi"/>
          <w:sz w:val="26"/>
          <w:szCs w:val="26"/>
        </w:rPr>
      </w:pPr>
      <w:r w:rsidRPr="002E39A3">
        <w:rPr>
          <w:rFonts w:asciiTheme="minorHAnsi" w:hAnsiTheme="minorHAnsi" w:cstheme="minorHAnsi"/>
          <w:sz w:val="26"/>
          <w:szCs w:val="26"/>
        </w:rPr>
        <w:t xml:space="preserve">De asemenea, la data de 6 noiembrie 2025 s-a desfășurat conferința extracurriculară </w:t>
      </w:r>
      <w:r w:rsidRPr="002E39A3">
        <w:rPr>
          <w:rFonts w:asciiTheme="minorHAnsi" w:hAnsiTheme="minorHAnsi" w:cstheme="minorHAnsi"/>
          <w:bCs/>
          <w:sz w:val="26"/>
          <w:szCs w:val="26"/>
        </w:rPr>
        <w:t>„În dialog cu doamna Octavia Spineanu-Matei, judecătorul român la Curtea de Justiție a Uniunii Europene</w:t>
      </w:r>
      <w:r w:rsidRPr="002E39A3">
        <w:rPr>
          <w:rFonts w:asciiTheme="minorHAnsi" w:hAnsiTheme="minorHAnsi" w:cstheme="minorHAnsi"/>
          <w:b/>
          <w:bCs/>
          <w:sz w:val="26"/>
          <w:szCs w:val="26"/>
        </w:rPr>
        <w:t>”</w:t>
      </w:r>
      <w:r w:rsidRPr="002E39A3">
        <w:rPr>
          <w:rFonts w:asciiTheme="minorHAnsi" w:hAnsiTheme="minorHAnsi" w:cstheme="minorHAnsi"/>
          <w:sz w:val="26"/>
          <w:szCs w:val="26"/>
        </w:rPr>
        <w:t>. Conferința a avut loc la invitația Institului Național al Magistraturii, în vederea dobândirii, de către auditorii de justiție, a unei înțelegeri a rolului pe care dreptul U</w:t>
      </w:r>
      <w:r w:rsidR="00ED7658" w:rsidRPr="002E39A3">
        <w:rPr>
          <w:rFonts w:asciiTheme="minorHAnsi" w:hAnsiTheme="minorHAnsi" w:cstheme="minorHAnsi"/>
          <w:sz w:val="26"/>
          <w:szCs w:val="26"/>
        </w:rPr>
        <w:t>.</w:t>
      </w:r>
      <w:r w:rsidRPr="002E39A3">
        <w:rPr>
          <w:rFonts w:asciiTheme="minorHAnsi" w:hAnsiTheme="minorHAnsi" w:cstheme="minorHAnsi"/>
          <w:sz w:val="26"/>
          <w:szCs w:val="26"/>
        </w:rPr>
        <w:t>E</w:t>
      </w:r>
      <w:r w:rsidR="00ED7658" w:rsidRPr="002E39A3">
        <w:rPr>
          <w:rFonts w:asciiTheme="minorHAnsi" w:hAnsiTheme="minorHAnsi" w:cstheme="minorHAnsi"/>
          <w:sz w:val="26"/>
          <w:szCs w:val="26"/>
        </w:rPr>
        <w:t>.</w:t>
      </w:r>
      <w:r w:rsidRPr="002E39A3">
        <w:rPr>
          <w:rFonts w:asciiTheme="minorHAnsi" w:hAnsiTheme="minorHAnsi" w:cstheme="minorHAnsi"/>
          <w:sz w:val="26"/>
          <w:szCs w:val="26"/>
        </w:rPr>
        <w:t xml:space="preserve"> îl are în practica judiciară națională, precum și a dialogului dintre C</w:t>
      </w:r>
      <w:r w:rsidR="00ED7658" w:rsidRPr="002E39A3">
        <w:rPr>
          <w:rFonts w:asciiTheme="minorHAnsi" w:hAnsiTheme="minorHAnsi" w:cstheme="minorHAnsi"/>
          <w:sz w:val="26"/>
          <w:szCs w:val="26"/>
        </w:rPr>
        <w:t>.</w:t>
      </w:r>
      <w:r w:rsidRPr="002E39A3">
        <w:rPr>
          <w:rFonts w:asciiTheme="minorHAnsi" w:hAnsiTheme="minorHAnsi" w:cstheme="minorHAnsi"/>
          <w:sz w:val="26"/>
          <w:szCs w:val="26"/>
        </w:rPr>
        <w:t>J</w:t>
      </w:r>
      <w:r w:rsidR="00ED7658" w:rsidRPr="002E39A3">
        <w:rPr>
          <w:rFonts w:asciiTheme="minorHAnsi" w:hAnsiTheme="minorHAnsi" w:cstheme="minorHAnsi"/>
          <w:sz w:val="26"/>
          <w:szCs w:val="26"/>
        </w:rPr>
        <w:t>.</w:t>
      </w:r>
      <w:r w:rsidRPr="002E39A3">
        <w:rPr>
          <w:rFonts w:asciiTheme="minorHAnsi" w:hAnsiTheme="minorHAnsi" w:cstheme="minorHAnsi"/>
          <w:sz w:val="26"/>
          <w:szCs w:val="26"/>
        </w:rPr>
        <w:t>U</w:t>
      </w:r>
      <w:r w:rsidR="00ED7658" w:rsidRPr="002E39A3">
        <w:rPr>
          <w:rFonts w:asciiTheme="minorHAnsi" w:hAnsiTheme="minorHAnsi" w:cstheme="minorHAnsi"/>
          <w:sz w:val="26"/>
          <w:szCs w:val="26"/>
        </w:rPr>
        <w:t>.</w:t>
      </w:r>
      <w:r w:rsidRPr="002E39A3">
        <w:rPr>
          <w:rFonts w:asciiTheme="minorHAnsi" w:hAnsiTheme="minorHAnsi" w:cstheme="minorHAnsi"/>
          <w:sz w:val="26"/>
          <w:szCs w:val="26"/>
        </w:rPr>
        <w:t>E</w:t>
      </w:r>
      <w:r w:rsidR="00ED7658" w:rsidRPr="002E39A3">
        <w:rPr>
          <w:rFonts w:asciiTheme="minorHAnsi" w:hAnsiTheme="minorHAnsi" w:cstheme="minorHAnsi"/>
          <w:sz w:val="26"/>
          <w:szCs w:val="26"/>
        </w:rPr>
        <w:t>.</w:t>
      </w:r>
      <w:r w:rsidRPr="002E39A3">
        <w:rPr>
          <w:rFonts w:asciiTheme="minorHAnsi" w:hAnsiTheme="minorHAnsi" w:cstheme="minorHAnsi"/>
          <w:sz w:val="26"/>
          <w:szCs w:val="26"/>
        </w:rPr>
        <w:t xml:space="preserve"> și instanțele naționale.</w:t>
      </w:r>
    </w:p>
    <w:p w14:paraId="718B8C79" w14:textId="7A341DE8" w:rsidR="004330C1" w:rsidRPr="006A2E2B" w:rsidRDefault="004330C1" w:rsidP="002F6DF0">
      <w:pPr>
        <w:pStyle w:val="ListParagraph"/>
        <w:numPr>
          <w:ilvl w:val="0"/>
          <w:numId w:val="22"/>
        </w:numPr>
        <w:spacing w:line="276" w:lineRule="auto"/>
        <w:ind w:left="1068"/>
        <w:jc w:val="both"/>
        <w:rPr>
          <w:rFonts w:asciiTheme="minorHAnsi" w:hAnsiTheme="minorHAnsi" w:cstheme="minorHAnsi"/>
          <w:color w:val="000000" w:themeColor="text1"/>
          <w:sz w:val="26"/>
          <w:szCs w:val="26"/>
        </w:rPr>
      </w:pPr>
      <w:r w:rsidRPr="006A2E2B">
        <w:rPr>
          <w:rFonts w:asciiTheme="minorHAnsi" w:hAnsiTheme="minorHAnsi" w:cstheme="minorHAnsi"/>
          <w:b/>
          <w:bCs/>
          <w:color w:val="000000" w:themeColor="text1"/>
          <w:sz w:val="26"/>
          <w:szCs w:val="26"/>
        </w:rPr>
        <w:t>Participări la alte evenimente internaţionale</w:t>
      </w:r>
    </w:p>
    <w:p w14:paraId="1198FF49" w14:textId="77777777" w:rsidR="004330C1" w:rsidRPr="006A2E2B" w:rsidRDefault="004330C1" w:rsidP="009E3AD8">
      <w:pPr>
        <w:spacing w:line="276" w:lineRule="auto"/>
        <w:ind w:firstLine="708"/>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Pe parcursul anului 2025, reprezentanții Institutului Național al Magistraturii au participat la diverse evenimente internaționale, în vederea consolidării cooperării instituționale și a schimbului de bune practici în domeniul formării judiciare.</w:t>
      </w:r>
    </w:p>
    <w:p w14:paraId="35865AC7" w14:textId="1B039C5E" w:rsidR="004330C1" w:rsidRPr="006A2E2B" w:rsidRDefault="004330C1" w:rsidP="009E3AD8">
      <w:pPr>
        <w:spacing w:line="276" w:lineRule="auto"/>
        <w:ind w:firstLine="708"/>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În perioada 22</w:t>
      </w:r>
      <w:r w:rsidR="00FE0901">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w:t>
      </w:r>
      <w:r w:rsidR="00FE0901">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25</w:t>
      </w:r>
      <w:r w:rsidR="001E384F">
        <w:rPr>
          <w:rFonts w:asciiTheme="minorHAnsi" w:hAnsiTheme="minorHAnsi" w:cstheme="minorHAnsi"/>
          <w:color w:val="000000" w:themeColor="text1"/>
          <w:sz w:val="26"/>
          <w:szCs w:val="26"/>
        </w:rPr>
        <w:t xml:space="preserve"> ianuarie </w:t>
      </w:r>
      <w:r w:rsidRPr="006A2E2B">
        <w:rPr>
          <w:rFonts w:asciiTheme="minorHAnsi" w:hAnsiTheme="minorHAnsi" w:cstheme="minorHAnsi"/>
          <w:color w:val="000000" w:themeColor="text1"/>
          <w:sz w:val="26"/>
          <w:szCs w:val="26"/>
        </w:rPr>
        <w:t>2025, directorul I</w:t>
      </w:r>
      <w:r w:rsidR="00FE0901">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N</w:t>
      </w:r>
      <w:r w:rsidR="00FE0901">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M</w:t>
      </w:r>
      <w:r w:rsidR="00FE0901">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xml:space="preserve"> a participat la vizita instituțională organizată de Consiliul Superior al Magistraturii din Republica Moldova, la Chișinău, vizită menită să întărească dialogul bilateral privind formarea profesională a magistraților și schimbul de experiențe în implementarea strategiilor de modernizare judiciară.</w:t>
      </w:r>
    </w:p>
    <w:p w14:paraId="2A8AC13A" w14:textId="2226E8FD" w:rsidR="004330C1" w:rsidRPr="006A2E2B" w:rsidRDefault="004330C1" w:rsidP="009E3AD8">
      <w:pPr>
        <w:spacing w:line="276" w:lineRule="auto"/>
        <w:ind w:firstLine="708"/>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lastRenderedPageBreak/>
        <w:t>De asemenea, în data de 23 ianuarie 2025, directorul adjunct responsabil cu formarea inițială a reprezentat I</w:t>
      </w:r>
      <w:r w:rsidR="00E01752">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N</w:t>
      </w:r>
      <w:r w:rsidR="00E01752">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M</w:t>
      </w:r>
      <w:r w:rsidR="00E01752">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xml:space="preserve"> la ceremonia de depunere a jurământului celei de</w:t>
      </w:r>
      <w:r w:rsidRPr="006A2E2B">
        <w:rPr>
          <w:rFonts w:ascii="Cambria Math" w:hAnsi="Cambria Math" w:cs="Cambria Math"/>
          <w:color w:val="000000" w:themeColor="text1"/>
          <w:sz w:val="26"/>
          <w:szCs w:val="26"/>
        </w:rPr>
        <w:t>‑</w:t>
      </w:r>
      <w:r w:rsidRPr="006A2E2B">
        <w:rPr>
          <w:rFonts w:asciiTheme="minorHAnsi" w:hAnsiTheme="minorHAnsi" w:cstheme="minorHAnsi"/>
          <w:color w:val="000000" w:themeColor="text1"/>
          <w:sz w:val="26"/>
          <w:szCs w:val="26"/>
        </w:rPr>
        <w:t>a 73</w:t>
      </w:r>
      <w:r w:rsidRPr="006A2E2B">
        <w:rPr>
          <w:rFonts w:ascii="Cambria Math" w:hAnsi="Cambria Math" w:cs="Cambria Math"/>
          <w:color w:val="000000" w:themeColor="text1"/>
          <w:sz w:val="26"/>
          <w:szCs w:val="26"/>
        </w:rPr>
        <w:t>‑</w:t>
      </w:r>
      <w:r w:rsidRPr="006A2E2B">
        <w:rPr>
          <w:rFonts w:asciiTheme="minorHAnsi" w:hAnsiTheme="minorHAnsi" w:cstheme="minorHAnsi"/>
          <w:color w:val="000000" w:themeColor="text1"/>
          <w:sz w:val="26"/>
          <w:szCs w:val="26"/>
        </w:rPr>
        <w:t>a clase de judecători, organizată de Școala Judiciară din Spania (Escuela Judicial) la Barcelona, prilej simbolic de reafirmare a cooperării dintre instituțiile de formare ale sistemelor judiciare europene.</w:t>
      </w:r>
    </w:p>
    <w:p w14:paraId="76C5D72A" w14:textId="2AD4D037" w:rsidR="004330C1" w:rsidRPr="009C1A25" w:rsidRDefault="004330C1" w:rsidP="009C1A25">
      <w:pPr>
        <w:numPr>
          <w:ilvl w:val="1"/>
          <w:numId w:val="0"/>
        </w:numPr>
        <w:spacing w:line="276" w:lineRule="auto"/>
        <w:ind w:right="43" w:firstLine="708"/>
        <w:jc w:val="both"/>
        <w:rPr>
          <w:rFonts w:asciiTheme="minorHAnsi" w:hAnsiTheme="minorHAnsi" w:cstheme="minorHAnsi"/>
          <w:b/>
          <w:color w:val="000000" w:themeColor="text1"/>
          <w:sz w:val="26"/>
          <w:szCs w:val="26"/>
        </w:rPr>
      </w:pPr>
      <w:r w:rsidRPr="006A2E2B">
        <w:rPr>
          <w:rFonts w:asciiTheme="minorHAnsi" w:hAnsiTheme="minorHAnsi" w:cstheme="minorHAnsi"/>
          <w:b/>
          <w:color w:val="000000" w:themeColor="text1"/>
          <w:sz w:val="26"/>
          <w:szCs w:val="26"/>
        </w:rPr>
        <w:t xml:space="preserve">I.5.4. </w:t>
      </w:r>
      <w:r w:rsidRPr="009C1A25">
        <w:rPr>
          <w:rFonts w:asciiTheme="minorHAnsi" w:hAnsiTheme="minorHAnsi" w:cstheme="minorHAnsi"/>
          <w:b/>
          <w:color w:val="000000" w:themeColor="text1"/>
          <w:sz w:val="26"/>
          <w:szCs w:val="26"/>
        </w:rPr>
        <w:t>Activități în cadrul proiectelor finanțate de Uniunea Europeană</w:t>
      </w:r>
    </w:p>
    <w:p w14:paraId="06CCA035" w14:textId="5635B920" w:rsidR="004330C1" w:rsidRPr="006A2E2B" w:rsidRDefault="004330C1" w:rsidP="00281400">
      <w:pPr>
        <w:pStyle w:val="ListParagraph"/>
        <w:numPr>
          <w:ilvl w:val="0"/>
          <w:numId w:val="44"/>
        </w:numPr>
        <w:shd w:val="clear" w:color="auto" w:fill="FFFFFF"/>
        <w:tabs>
          <w:tab w:val="left" w:pos="720"/>
        </w:tabs>
        <w:spacing w:line="276" w:lineRule="auto"/>
        <w:ind w:left="1170" w:hanging="450"/>
        <w:jc w:val="both"/>
        <w:rPr>
          <w:rFonts w:asciiTheme="minorHAnsi" w:hAnsiTheme="minorHAnsi" w:cstheme="minorHAnsi"/>
          <w:b/>
          <w:bCs/>
          <w:color w:val="000000" w:themeColor="text1"/>
          <w:sz w:val="26"/>
          <w:szCs w:val="26"/>
        </w:rPr>
      </w:pPr>
      <w:r w:rsidRPr="006A2E2B">
        <w:rPr>
          <w:rFonts w:asciiTheme="minorHAnsi" w:hAnsiTheme="minorHAnsi" w:cstheme="minorHAnsi"/>
          <w:b/>
          <w:bCs/>
          <w:color w:val="000000" w:themeColor="text1"/>
          <w:sz w:val="26"/>
          <w:szCs w:val="26"/>
        </w:rPr>
        <w:t>JUST-2024-JTRA -  Comisia Europeană</w:t>
      </w:r>
      <w:r w:rsidRPr="009C1A25">
        <w:rPr>
          <w:rFonts w:asciiTheme="minorHAnsi" w:hAnsiTheme="minorHAnsi" w:cstheme="minorHAnsi"/>
          <w:b/>
          <w:bCs/>
          <w:color w:val="000000" w:themeColor="text1"/>
          <w:sz w:val="26"/>
          <w:szCs w:val="26"/>
        </w:rPr>
        <w:t xml:space="preserve"> </w:t>
      </w:r>
    </w:p>
    <w:p w14:paraId="732ABC43" w14:textId="74926FB4" w:rsidR="004330C1" w:rsidRPr="006A2E2B" w:rsidRDefault="004330C1" w:rsidP="009C1A25">
      <w:pPr>
        <w:spacing w:line="276" w:lineRule="auto"/>
        <w:ind w:firstLine="720"/>
        <w:jc w:val="both"/>
        <w:rPr>
          <w:rFonts w:asciiTheme="minorHAnsi" w:hAnsiTheme="minorHAnsi" w:cstheme="minorHAnsi"/>
          <w:color w:val="000000" w:themeColor="text1"/>
          <w:sz w:val="26"/>
          <w:szCs w:val="26"/>
          <w:lang w:eastAsia="en-GB"/>
        </w:rPr>
      </w:pPr>
      <w:r w:rsidRPr="006A2E2B">
        <w:rPr>
          <w:rFonts w:asciiTheme="minorHAnsi" w:hAnsiTheme="minorHAnsi" w:cstheme="minorHAnsi"/>
          <w:color w:val="000000" w:themeColor="text1"/>
          <w:sz w:val="26"/>
          <w:szCs w:val="26"/>
          <w:lang w:eastAsia="en-GB"/>
        </w:rPr>
        <w:t>În luna ianuarie 2025</w:t>
      </w:r>
      <w:r w:rsidR="001E384F">
        <w:rPr>
          <w:rFonts w:asciiTheme="minorHAnsi" w:hAnsiTheme="minorHAnsi" w:cstheme="minorHAnsi"/>
          <w:color w:val="000000" w:themeColor="text1"/>
          <w:sz w:val="26"/>
          <w:szCs w:val="26"/>
          <w:lang w:eastAsia="en-GB"/>
        </w:rPr>
        <w:t>,</w:t>
      </w:r>
      <w:r w:rsidRPr="006A2E2B">
        <w:rPr>
          <w:rFonts w:asciiTheme="minorHAnsi" w:hAnsiTheme="minorHAnsi" w:cstheme="minorHAnsi"/>
          <w:color w:val="000000" w:themeColor="text1"/>
          <w:sz w:val="26"/>
          <w:szCs w:val="26"/>
          <w:lang w:eastAsia="en-GB"/>
        </w:rPr>
        <w:t xml:space="preserve"> Institutul Național al Magistraturii, în calitate de lider de proiect, a început derularea Proiectului transnațional „CiviLink: Connecting Borders through e-CODEX Judicial Training”, finanţat de Comisia Europeană în cadrul Programului JUST-2024-JTRA, ce are ca obiectiv consolidarea capacităților digitale ale profesioniștilor din domeniul justiției în aplicarea prevederilor Regulamentului (U.E.) 2020/1783 al Parlamentului European și al Consiliului din 25 noiembrie 2020 privind cooperarea între instanțele statelor membre în domeniul obținerii de probe în materie civilă sau comercială și ale Regulamentului (U.E.) 2020/1784 al Parlamentului European și al Consiliului din 25 noiembrie 2020 privind notificarea sau comunicarea în statele membre a actelor judiciare și extrajudiciare în materie civilă sau comercială, prin accesarea instrumentelor digitale de cooperare transfrontalieră (e-CODEX) și prin observarea aplicării corecte a legislației Uniunii Europene în domeniul protecției datelor în cadrul procedurilor judiciare. </w:t>
      </w:r>
    </w:p>
    <w:p w14:paraId="49853A38" w14:textId="7220B486" w:rsidR="004330C1" w:rsidRPr="006A2E2B" w:rsidRDefault="004330C1" w:rsidP="000A6E4D">
      <w:pPr>
        <w:spacing w:line="276" w:lineRule="auto"/>
        <w:ind w:left="90" w:firstLine="618"/>
        <w:jc w:val="both"/>
        <w:rPr>
          <w:rFonts w:asciiTheme="minorHAnsi" w:hAnsiTheme="minorHAnsi" w:cstheme="minorHAnsi"/>
          <w:color w:val="000000" w:themeColor="text1"/>
          <w:sz w:val="26"/>
          <w:szCs w:val="26"/>
          <w:lang w:eastAsia="en-GB"/>
        </w:rPr>
      </w:pPr>
      <w:r w:rsidRPr="006A2E2B">
        <w:rPr>
          <w:rFonts w:asciiTheme="minorHAnsi" w:hAnsiTheme="minorHAnsi" w:cstheme="minorHAnsi"/>
          <w:color w:val="000000" w:themeColor="text1"/>
          <w:sz w:val="26"/>
          <w:szCs w:val="26"/>
          <w:lang w:eastAsia="en-GB"/>
        </w:rPr>
        <w:t>Proiectul</w:t>
      </w:r>
      <w:r w:rsidR="005E7E58">
        <w:rPr>
          <w:rFonts w:asciiTheme="minorHAnsi" w:hAnsiTheme="minorHAnsi" w:cstheme="minorHAnsi"/>
          <w:color w:val="000000" w:themeColor="text1"/>
          <w:sz w:val="26"/>
          <w:szCs w:val="26"/>
          <w:lang w:eastAsia="en-GB"/>
        </w:rPr>
        <w:t>,</w:t>
      </w:r>
      <w:r w:rsidRPr="006A2E2B">
        <w:rPr>
          <w:rFonts w:asciiTheme="minorHAnsi" w:hAnsiTheme="minorHAnsi" w:cstheme="minorHAnsi"/>
          <w:color w:val="000000" w:themeColor="text1"/>
          <w:sz w:val="26"/>
          <w:szCs w:val="26"/>
          <w:lang w:eastAsia="en-GB"/>
        </w:rPr>
        <w:t xml:space="preserve"> care are o durată de implementare de 23 de luni (ianuarie 2025</w:t>
      </w:r>
      <w:r w:rsidR="0060341F">
        <w:rPr>
          <w:rFonts w:asciiTheme="minorHAnsi" w:hAnsiTheme="minorHAnsi" w:cstheme="minorHAnsi"/>
          <w:color w:val="000000" w:themeColor="text1"/>
          <w:sz w:val="26"/>
          <w:szCs w:val="26"/>
          <w:lang w:eastAsia="en-GB"/>
        </w:rPr>
        <w:t xml:space="preserve"> </w:t>
      </w:r>
      <w:r w:rsidRPr="006A2E2B">
        <w:rPr>
          <w:rFonts w:asciiTheme="minorHAnsi" w:hAnsiTheme="minorHAnsi" w:cstheme="minorHAnsi"/>
          <w:color w:val="000000" w:themeColor="text1"/>
          <w:sz w:val="26"/>
          <w:szCs w:val="26"/>
          <w:lang w:eastAsia="en-GB"/>
        </w:rPr>
        <w:t>- noiembrie 2026)</w:t>
      </w:r>
      <w:r w:rsidR="005E7E58">
        <w:rPr>
          <w:rFonts w:asciiTheme="minorHAnsi" w:hAnsiTheme="minorHAnsi" w:cstheme="minorHAnsi"/>
          <w:color w:val="000000" w:themeColor="text1"/>
          <w:sz w:val="26"/>
          <w:szCs w:val="26"/>
          <w:lang w:eastAsia="en-GB"/>
        </w:rPr>
        <w:t>,</w:t>
      </w:r>
      <w:r w:rsidRPr="006A2E2B">
        <w:rPr>
          <w:rFonts w:asciiTheme="minorHAnsi" w:hAnsiTheme="minorHAnsi" w:cstheme="minorHAnsi"/>
          <w:color w:val="000000" w:themeColor="text1"/>
          <w:sz w:val="26"/>
          <w:szCs w:val="26"/>
          <w:lang w:eastAsia="en-GB"/>
        </w:rPr>
        <w:t xml:space="preserve"> va fi implementat în parteneriat cu Școala Națională de Grefieri şi cu instituția de formare judiciară a judecătorilor şi grefierilor din Bulgaria, respectiv cu instituţiile responsabile de formarea judecătorilor din Portugalia, Spania, Italia şi Polonia. De asemenea, în proiect este implicată, în calitate de partener asociat, Rețeaua Europeană de Formare Judiciară (E.J.T.N.).</w:t>
      </w:r>
    </w:p>
    <w:p w14:paraId="17175522" w14:textId="77777777" w:rsidR="004330C1" w:rsidRPr="006A2E2B" w:rsidRDefault="004330C1" w:rsidP="000A6E4D">
      <w:pPr>
        <w:spacing w:line="276" w:lineRule="auto"/>
        <w:ind w:left="90" w:firstLine="618"/>
        <w:jc w:val="both"/>
        <w:rPr>
          <w:rFonts w:asciiTheme="minorHAnsi" w:hAnsiTheme="minorHAnsi" w:cstheme="minorHAnsi"/>
          <w:color w:val="000000" w:themeColor="text1"/>
          <w:sz w:val="26"/>
          <w:szCs w:val="26"/>
          <w:lang w:eastAsia="en-GB"/>
        </w:rPr>
      </w:pPr>
      <w:r w:rsidRPr="006A2E2B">
        <w:rPr>
          <w:rFonts w:asciiTheme="minorHAnsi" w:hAnsiTheme="minorHAnsi" w:cstheme="minorHAnsi"/>
          <w:color w:val="000000" w:themeColor="text1"/>
          <w:sz w:val="26"/>
          <w:szCs w:val="26"/>
          <w:lang w:eastAsia="en-GB"/>
        </w:rPr>
        <w:t xml:space="preserve">Pe parcursul celor doi ani de implementare vor fi organizate şase activități de formare de tip blended learning, la care vor participa 180 de judecători şi grefieri europeni, precum şi o conferință finală, la care vor participa 80 de judecători, grefieri, formatori şi membri ai reţelelor europene de cooperare în materie civilă şi comercială. Fiecare dintre cele şase activități de formare va fi organizată sub forma unui seminar transnaţional şi interprofesional, precedat de webinar, care va servi drept introducere generală în cadrul juridic şi funcționalitățile e-CODEX, cu accent pe terminologia juridică specifică domeniului cooperării judiciare în materie civilă. </w:t>
      </w:r>
    </w:p>
    <w:p w14:paraId="3C105603" w14:textId="77777777" w:rsidR="000F2FEC" w:rsidRPr="002E39A3" w:rsidRDefault="004330C1" w:rsidP="000F2FEC">
      <w:pPr>
        <w:spacing w:line="276" w:lineRule="auto"/>
        <w:ind w:firstLine="708"/>
        <w:jc w:val="both"/>
        <w:rPr>
          <w:rFonts w:asciiTheme="minorHAnsi" w:hAnsiTheme="minorHAnsi" w:cstheme="minorHAnsi"/>
          <w:sz w:val="26"/>
          <w:szCs w:val="26"/>
          <w:lang w:eastAsia="en-GB"/>
        </w:rPr>
      </w:pPr>
      <w:r w:rsidRPr="002E39A3">
        <w:rPr>
          <w:rFonts w:asciiTheme="minorHAnsi" w:hAnsiTheme="minorHAnsi" w:cstheme="minorHAnsi"/>
          <w:sz w:val="26"/>
          <w:szCs w:val="26"/>
          <w:lang w:eastAsia="en-GB"/>
        </w:rPr>
        <w:t xml:space="preserve">Astfel, în data de 8 octombrie 2025 a fost organizat primul webinar pentru participanţii la primul seminar transnaţional care </w:t>
      </w:r>
      <w:r w:rsidR="000F2FEC" w:rsidRPr="002E39A3">
        <w:rPr>
          <w:rFonts w:asciiTheme="minorHAnsi" w:hAnsiTheme="minorHAnsi" w:cstheme="minorHAnsi"/>
          <w:sz w:val="26"/>
          <w:szCs w:val="26"/>
          <w:lang w:eastAsia="en-GB"/>
        </w:rPr>
        <w:t xml:space="preserve">a fost organizat, la Bucureşti în perioada 30 – 31 octombrie 2025, pentru 30 de judecători şi grefieri (12 judecători şi 6 grefieri din Romania, 2 judecători şi 2 grefieri din Bulgaria, 2 judecători din Italia, 2 judecători din Spania, 2 judecători din Polonia şi 2 judecători din Portugalia). </w:t>
      </w:r>
    </w:p>
    <w:p w14:paraId="59C07D84" w14:textId="16EF3415" w:rsidR="000F2FEC" w:rsidRPr="002E39A3" w:rsidRDefault="000F2FEC" w:rsidP="000F2FEC">
      <w:pPr>
        <w:spacing w:line="276" w:lineRule="auto"/>
        <w:ind w:firstLine="708"/>
        <w:jc w:val="both"/>
        <w:rPr>
          <w:rFonts w:asciiTheme="minorHAnsi" w:hAnsiTheme="minorHAnsi" w:cstheme="minorHAnsi"/>
          <w:sz w:val="26"/>
          <w:szCs w:val="26"/>
          <w:lang w:eastAsia="en-GB"/>
        </w:rPr>
      </w:pPr>
      <w:r w:rsidRPr="002E39A3">
        <w:rPr>
          <w:rFonts w:asciiTheme="minorHAnsi" w:hAnsiTheme="minorHAnsi" w:cstheme="minorHAnsi"/>
          <w:sz w:val="26"/>
          <w:szCs w:val="26"/>
          <w:lang w:eastAsia="en-GB"/>
        </w:rPr>
        <w:t xml:space="preserve">În continuare, în data de </w:t>
      </w:r>
      <w:r w:rsidR="002E39A3" w:rsidRPr="002E39A3">
        <w:rPr>
          <w:rFonts w:asciiTheme="minorHAnsi" w:hAnsiTheme="minorHAnsi" w:cstheme="minorHAnsi"/>
          <w:sz w:val="26"/>
          <w:szCs w:val="26"/>
          <w:lang w:eastAsia="en-GB"/>
        </w:rPr>
        <w:t>0</w:t>
      </w:r>
      <w:r w:rsidRPr="002E39A3">
        <w:rPr>
          <w:rFonts w:asciiTheme="minorHAnsi" w:hAnsiTheme="minorHAnsi" w:cstheme="minorHAnsi"/>
          <w:sz w:val="26"/>
          <w:szCs w:val="26"/>
          <w:lang w:eastAsia="en-GB"/>
        </w:rPr>
        <w:t>5 noiembrie 2025 a fost organizat cel de-al doilea webinar pentru participanţii la cel de-al doilea seminar transnaţional organizat în Barcelona, Spania, în perioada 20</w:t>
      </w:r>
      <w:r w:rsidR="0052702E" w:rsidRPr="002E39A3">
        <w:rPr>
          <w:rFonts w:asciiTheme="minorHAnsi" w:hAnsiTheme="minorHAnsi" w:cstheme="minorHAnsi"/>
          <w:sz w:val="26"/>
          <w:szCs w:val="26"/>
          <w:lang w:eastAsia="en-GB"/>
        </w:rPr>
        <w:t xml:space="preserve"> </w:t>
      </w:r>
      <w:r w:rsidRPr="002E39A3">
        <w:rPr>
          <w:rFonts w:asciiTheme="minorHAnsi" w:hAnsiTheme="minorHAnsi" w:cstheme="minorHAnsi"/>
          <w:sz w:val="26"/>
          <w:szCs w:val="26"/>
          <w:lang w:eastAsia="en-GB"/>
        </w:rPr>
        <w:t>-21 noiembrie 2026, pentru 30 de judecători şi grefieri (4 judecători şi 6 grefieri din Romania, 10 judecători din Spania, 2 judecători şi 2 grefieri din Bulgaria, 2 judecători din Italia, 2 judecători din Polonia şi 2 judecători din Portugalia).</w:t>
      </w:r>
    </w:p>
    <w:p w14:paraId="64695E3B" w14:textId="48E71275" w:rsidR="004330C1" w:rsidRPr="006A2E2B" w:rsidRDefault="004330C1" w:rsidP="000F2FEC">
      <w:pPr>
        <w:spacing w:line="276" w:lineRule="auto"/>
        <w:ind w:left="90" w:firstLine="618"/>
        <w:jc w:val="both"/>
        <w:rPr>
          <w:rFonts w:asciiTheme="minorHAnsi" w:hAnsiTheme="minorHAnsi" w:cstheme="minorHAnsi"/>
          <w:color w:val="000000" w:themeColor="text1"/>
          <w:sz w:val="26"/>
          <w:szCs w:val="26"/>
          <w:lang w:eastAsia="en-GB"/>
        </w:rPr>
      </w:pPr>
      <w:r w:rsidRPr="006A2E2B">
        <w:rPr>
          <w:rFonts w:asciiTheme="minorHAnsi" w:hAnsiTheme="minorHAnsi" w:cstheme="minorHAnsi"/>
          <w:color w:val="000000" w:themeColor="text1"/>
          <w:sz w:val="26"/>
          <w:szCs w:val="26"/>
          <w:lang w:eastAsia="en-GB"/>
        </w:rPr>
        <w:t xml:space="preserve">Seminarele transnaţionale vor avea un caracter preponderent practic şi vor aborda informații practice privind implementarea e-CODEX în procesele de lucru zilnice. Seminarele vor oferi, de asemenea, posibilitatea unui schimb de bune practici în utilizarea e-CODEX, precum şi </w:t>
      </w:r>
      <w:r w:rsidRPr="006A2E2B">
        <w:rPr>
          <w:rFonts w:asciiTheme="minorHAnsi" w:hAnsiTheme="minorHAnsi" w:cstheme="minorHAnsi"/>
          <w:color w:val="000000" w:themeColor="text1"/>
          <w:sz w:val="26"/>
          <w:szCs w:val="26"/>
          <w:lang w:eastAsia="en-GB"/>
        </w:rPr>
        <w:lastRenderedPageBreak/>
        <w:t>familiarizarea participanţilor cu evoluţiile recente în aplicarea celor două regulamente, a modalităţii de utilizare a procedurii hotărârii preliminare în legătură cu e-CODEX, cu riscurile și garanțiile legate de standardele U.E. de protecție a datelor în utilizarea instrumentelor electronice. Şase podcasturi vor completa cunoştinţele dobândite în cadrul seminarelor, oferind o platformă de reflecție, discuții și explorare suplimentară a subiectelor abordate.</w:t>
      </w:r>
    </w:p>
    <w:p w14:paraId="6FC3AE8D" w14:textId="2A80EA98" w:rsidR="004330C1" w:rsidRPr="009C1A25" w:rsidRDefault="004330C1" w:rsidP="00281400">
      <w:pPr>
        <w:pStyle w:val="ListParagraph"/>
        <w:numPr>
          <w:ilvl w:val="0"/>
          <w:numId w:val="44"/>
        </w:numPr>
        <w:shd w:val="clear" w:color="auto" w:fill="FFFFFF"/>
        <w:tabs>
          <w:tab w:val="left" w:pos="720"/>
        </w:tabs>
        <w:spacing w:line="276" w:lineRule="auto"/>
        <w:ind w:left="1170" w:hanging="450"/>
        <w:jc w:val="both"/>
        <w:rPr>
          <w:rFonts w:asciiTheme="minorHAnsi" w:hAnsiTheme="minorHAnsi" w:cstheme="minorHAnsi"/>
          <w:b/>
          <w:bCs/>
          <w:color w:val="000000" w:themeColor="text1"/>
          <w:sz w:val="26"/>
          <w:szCs w:val="26"/>
        </w:rPr>
      </w:pPr>
      <w:r w:rsidRPr="006A2E2B">
        <w:rPr>
          <w:rFonts w:asciiTheme="minorHAnsi" w:hAnsiTheme="minorHAnsi" w:cstheme="minorHAnsi"/>
          <w:b/>
          <w:bCs/>
          <w:color w:val="000000" w:themeColor="text1"/>
          <w:sz w:val="26"/>
          <w:szCs w:val="26"/>
        </w:rPr>
        <w:t>JUST fAIr</w:t>
      </w:r>
      <w:r w:rsidRPr="009C1A25">
        <w:rPr>
          <w:rFonts w:asciiTheme="minorHAnsi" w:hAnsiTheme="minorHAnsi" w:cstheme="minorHAnsi"/>
          <w:b/>
          <w:bCs/>
          <w:color w:val="000000" w:themeColor="text1"/>
          <w:sz w:val="26"/>
          <w:szCs w:val="26"/>
        </w:rPr>
        <w:t xml:space="preserve"> - Şcoala Naţională de Magistratură din Franţa (E</w:t>
      </w:r>
      <w:r w:rsidR="0008636B" w:rsidRPr="009C1A25">
        <w:rPr>
          <w:rFonts w:asciiTheme="minorHAnsi" w:hAnsiTheme="minorHAnsi" w:cstheme="minorHAnsi"/>
          <w:b/>
          <w:bCs/>
          <w:color w:val="000000" w:themeColor="text1"/>
          <w:sz w:val="26"/>
          <w:szCs w:val="26"/>
        </w:rPr>
        <w:t>.</w:t>
      </w:r>
      <w:r w:rsidRPr="009C1A25">
        <w:rPr>
          <w:rFonts w:asciiTheme="minorHAnsi" w:hAnsiTheme="minorHAnsi" w:cstheme="minorHAnsi"/>
          <w:b/>
          <w:bCs/>
          <w:color w:val="000000" w:themeColor="text1"/>
          <w:sz w:val="26"/>
          <w:szCs w:val="26"/>
        </w:rPr>
        <w:t>N</w:t>
      </w:r>
      <w:r w:rsidR="0008636B" w:rsidRPr="009C1A25">
        <w:rPr>
          <w:rFonts w:asciiTheme="minorHAnsi" w:hAnsiTheme="minorHAnsi" w:cstheme="minorHAnsi"/>
          <w:b/>
          <w:bCs/>
          <w:color w:val="000000" w:themeColor="text1"/>
          <w:sz w:val="26"/>
          <w:szCs w:val="26"/>
        </w:rPr>
        <w:t>.</w:t>
      </w:r>
      <w:r w:rsidRPr="009C1A25">
        <w:rPr>
          <w:rFonts w:asciiTheme="minorHAnsi" w:hAnsiTheme="minorHAnsi" w:cstheme="minorHAnsi"/>
          <w:b/>
          <w:bCs/>
          <w:color w:val="000000" w:themeColor="text1"/>
          <w:sz w:val="26"/>
          <w:szCs w:val="26"/>
        </w:rPr>
        <w:t>M</w:t>
      </w:r>
      <w:r w:rsidR="0008636B" w:rsidRPr="009C1A25">
        <w:rPr>
          <w:rFonts w:asciiTheme="minorHAnsi" w:hAnsiTheme="minorHAnsi" w:cstheme="minorHAnsi"/>
          <w:b/>
          <w:bCs/>
          <w:color w:val="000000" w:themeColor="text1"/>
          <w:sz w:val="26"/>
          <w:szCs w:val="26"/>
        </w:rPr>
        <w:t>.</w:t>
      </w:r>
      <w:r w:rsidRPr="009C1A25">
        <w:rPr>
          <w:rFonts w:asciiTheme="minorHAnsi" w:hAnsiTheme="minorHAnsi" w:cstheme="minorHAnsi"/>
          <w:b/>
          <w:bCs/>
          <w:color w:val="000000" w:themeColor="text1"/>
          <w:sz w:val="26"/>
          <w:szCs w:val="26"/>
        </w:rPr>
        <w:t>)</w:t>
      </w:r>
    </w:p>
    <w:p w14:paraId="1220DB4F" w14:textId="00D8786C" w:rsidR="004330C1" w:rsidRDefault="004330C1" w:rsidP="009E3AD8">
      <w:pPr>
        <w:tabs>
          <w:tab w:val="left" w:pos="284"/>
        </w:tabs>
        <w:spacing w:line="276" w:lineRule="auto"/>
        <w:ind w:left="-142" w:firstLine="232"/>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ab/>
      </w:r>
      <w:r w:rsidRPr="006A2E2B">
        <w:rPr>
          <w:rFonts w:asciiTheme="minorHAnsi" w:hAnsiTheme="minorHAnsi" w:cstheme="minorHAnsi"/>
          <w:color w:val="000000" w:themeColor="text1"/>
          <w:sz w:val="26"/>
          <w:szCs w:val="26"/>
        </w:rPr>
        <w:tab/>
        <w:t>Pe 16 ianuarie 2025, Institutul a fost reprezentat, prin punctele de contact ale Serviciului relații internaționale, la prima reuniune a Comitetului Director al proiectului „JUST fAIr – Training European Justice professionals in the use of AI: a key challenge for fundamental rights”. Proiectul, inițiat și promovat de Școala Națională de Magistratură din Franța (E</w:t>
      </w:r>
      <w:r w:rsidR="00264AC7">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N</w:t>
      </w:r>
      <w:r w:rsidR="00264AC7">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M</w:t>
      </w:r>
      <w:r w:rsidR="00264AC7">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este finanțat printr-un grant al Comisiei Europene și are ca scop pregătirea profesioniștilor din justiție europeni pentru utilizarea responsabilă a inteligenței artificiale, în contextul respectării drepturilor fundamentale. I</w:t>
      </w:r>
      <w:r w:rsidR="00264AC7">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N</w:t>
      </w:r>
      <w:r w:rsidR="00264AC7">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M</w:t>
      </w:r>
      <w:r w:rsidR="00264AC7">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xml:space="preserve"> participă în calitate de partener, consolidând astfel cooperarea transnațională în domeniul noilor tehnologii aplicate în sistemele judiciare.</w:t>
      </w:r>
    </w:p>
    <w:p w14:paraId="42F0F092" w14:textId="1D18C8B1" w:rsidR="00E351A6" w:rsidRPr="002E39A3" w:rsidRDefault="00E351A6" w:rsidP="00E351A6">
      <w:pPr>
        <w:spacing w:line="276" w:lineRule="auto"/>
        <w:ind w:firstLine="708"/>
        <w:jc w:val="both"/>
        <w:rPr>
          <w:rFonts w:asciiTheme="minorHAnsi" w:hAnsiTheme="minorHAnsi" w:cstheme="minorHAnsi"/>
          <w:sz w:val="26"/>
          <w:szCs w:val="26"/>
          <w:lang w:eastAsia="en-GB"/>
        </w:rPr>
      </w:pPr>
      <w:r w:rsidRPr="002E39A3">
        <w:rPr>
          <w:rFonts w:asciiTheme="minorHAnsi" w:hAnsiTheme="minorHAnsi" w:cstheme="minorHAnsi"/>
          <w:sz w:val="26"/>
          <w:szCs w:val="26"/>
          <w:lang w:eastAsia="en-GB"/>
        </w:rPr>
        <w:t>În continuare, ca parte integrantă din primele două cicluri de formare, vor fi lansate două podcasturi dedicat</w:t>
      </w:r>
      <w:r w:rsidR="0052702E" w:rsidRPr="002E39A3">
        <w:rPr>
          <w:rFonts w:asciiTheme="minorHAnsi" w:hAnsiTheme="minorHAnsi" w:cstheme="minorHAnsi"/>
          <w:sz w:val="26"/>
          <w:szCs w:val="26"/>
          <w:lang w:eastAsia="en-GB"/>
        </w:rPr>
        <w:t>e</w:t>
      </w:r>
      <w:r w:rsidRPr="002E39A3">
        <w:rPr>
          <w:rFonts w:asciiTheme="minorHAnsi" w:hAnsiTheme="minorHAnsi" w:cstheme="minorHAnsi"/>
          <w:sz w:val="26"/>
          <w:szCs w:val="26"/>
          <w:lang w:eastAsia="en-GB"/>
        </w:rPr>
        <w:t xml:space="preserve"> reflecțiilor din cadrul seminarelor transaţionale.</w:t>
      </w:r>
    </w:p>
    <w:p w14:paraId="7C8127A9" w14:textId="24CBC947" w:rsidR="004330C1" w:rsidRPr="006A2E2B" w:rsidRDefault="004330C1" w:rsidP="00281400">
      <w:pPr>
        <w:pStyle w:val="ListParagraph"/>
        <w:numPr>
          <w:ilvl w:val="0"/>
          <w:numId w:val="44"/>
        </w:numPr>
        <w:shd w:val="clear" w:color="auto" w:fill="FFFFFF"/>
        <w:tabs>
          <w:tab w:val="left" w:pos="720"/>
        </w:tabs>
        <w:spacing w:line="276" w:lineRule="auto"/>
        <w:ind w:left="1170" w:hanging="450"/>
        <w:jc w:val="both"/>
        <w:rPr>
          <w:rFonts w:asciiTheme="minorHAnsi" w:hAnsiTheme="minorHAnsi" w:cstheme="minorHAnsi"/>
          <w:b/>
          <w:bCs/>
          <w:color w:val="000000" w:themeColor="text1"/>
          <w:sz w:val="26"/>
          <w:szCs w:val="26"/>
        </w:rPr>
      </w:pPr>
      <w:r w:rsidRPr="006A2E2B">
        <w:rPr>
          <w:rFonts w:asciiTheme="minorHAnsi" w:hAnsiTheme="minorHAnsi" w:cstheme="minorHAnsi"/>
          <w:b/>
          <w:bCs/>
          <w:color w:val="000000" w:themeColor="text1"/>
          <w:sz w:val="26"/>
          <w:szCs w:val="26"/>
        </w:rPr>
        <w:t>Activităţi din sfera relaţiilor externe organizate sau găzduite de I</w:t>
      </w:r>
      <w:r w:rsidR="00264AC7">
        <w:rPr>
          <w:rFonts w:asciiTheme="minorHAnsi" w:hAnsiTheme="minorHAnsi" w:cstheme="minorHAnsi"/>
          <w:b/>
          <w:bCs/>
          <w:color w:val="000000" w:themeColor="text1"/>
          <w:sz w:val="26"/>
          <w:szCs w:val="26"/>
        </w:rPr>
        <w:t>.</w:t>
      </w:r>
      <w:r w:rsidRPr="006A2E2B">
        <w:rPr>
          <w:rFonts w:asciiTheme="minorHAnsi" w:hAnsiTheme="minorHAnsi" w:cstheme="minorHAnsi"/>
          <w:b/>
          <w:bCs/>
          <w:color w:val="000000" w:themeColor="text1"/>
          <w:sz w:val="26"/>
          <w:szCs w:val="26"/>
        </w:rPr>
        <w:t>N</w:t>
      </w:r>
      <w:r w:rsidR="00264AC7">
        <w:rPr>
          <w:rFonts w:asciiTheme="minorHAnsi" w:hAnsiTheme="minorHAnsi" w:cstheme="minorHAnsi"/>
          <w:b/>
          <w:bCs/>
          <w:color w:val="000000" w:themeColor="text1"/>
          <w:sz w:val="26"/>
          <w:szCs w:val="26"/>
        </w:rPr>
        <w:t>.</w:t>
      </w:r>
      <w:r w:rsidRPr="006A2E2B">
        <w:rPr>
          <w:rFonts w:asciiTheme="minorHAnsi" w:hAnsiTheme="minorHAnsi" w:cstheme="minorHAnsi"/>
          <w:b/>
          <w:bCs/>
          <w:color w:val="000000" w:themeColor="text1"/>
          <w:sz w:val="26"/>
          <w:szCs w:val="26"/>
        </w:rPr>
        <w:t>M</w:t>
      </w:r>
      <w:r w:rsidR="00264AC7">
        <w:rPr>
          <w:rFonts w:asciiTheme="minorHAnsi" w:hAnsiTheme="minorHAnsi" w:cstheme="minorHAnsi"/>
          <w:b/>
          <w:bCs/>
          <w:color w:val="000000" w:themeColor="text1"/>
          <w:sz w:val="26"/>
          <w:szCs w:val="26"/>
        </w:rPr>
        <w:t>.</w:t>
      </w:r>
    </w:p>
    <w:p w14:paraId="5A4CFF81" w14:textId="7B182758" w:rsidR="004330C1" w:rsidRPr="006A2E2B" w:rsidRDefault="004857D6" w:rsidP="009E3AD8">
      <w:pPr>
        <w:spacing w:line="276" w:lineRule="auto"/>
        <w:ind w:firstLine="708"/>
        <w:jc w:val="both"/>
        <w:rPr>
          <w:rFonts w:asciiTheme="minorHAnsi" w:hAnsiTheme="minorHAnsi" w:cstheme="minorHAnsi"/>
          <w:color w:val="000000" w:themeColor="text1"/>
          <w:sz w:val="26"/>
          <w:szCs w:val="26"/>
        </w:rPr>
      </w:pPr>
      <w:r>
        <w:rPr>
          <w:rFonts w:asciiTheme="minorHAnsi" w:hAnsiTheme="minorHAnsi" w:cstheme="minorHAnsi"/>
          <w:color w:val="000000" w:themeColor="text1"/>
          <w:sz w:val="26"/>
          <w:szCs w:val="26"/>
        </w:rPr>
        <w:t xml:space="preserve">I.N.M. </w:t>
      </w:r>
      <w:r w:rsidR="004330C1" w:rsidRPr="006A2E2B">
        <w:rPr>
          <w:rFonts w:asciiTheme="minorHAnsi" w:hAnsiTheme="minorHAnsi" w:cstheme="minorHAnsi"/>
          <w:color w:val="000000" w:themeColor="text1"/>
          <w:sz w:val="26"/>
          <w:szCs w:val="26"/>
        </w:rPr>
        <w:t>și-a menținut și în anul 2025 un rol activ în organizarea și găzduirea unor evenimente de formare destinate magistraților naționali și participanților din alte state, contribuind astfel la promovarea cooperării internaționale și a schimbului de bune practici.</w:t>
      </w:r>
    </w:p>
    <w:p w14:paraId="56F2F033" w14:textId="66B2A42F" w:rsidR="004330C1" w:rsidRPr="006A2E2B" w:rsidRDefault="004330C1" w:rsidP="009E3AD8">
      <w:pPr>
        <w:spacing w:line="276" w:lineRule="auto"/>
        <w:ind w:left="-142" w:firstLine="850"/>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În perioada 27</w:t>
      </w:r>
      <w:r w:rsidR="006D3107">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w:t>
      </w:r>
      <w:r w:rsidR="006D3107">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29</w:t>
      </w:r>
      <w:r w:rsidR="00C25AA4">
        <w:rPr>
          <w:rFonts w:asciiTheme="minorHAnsi" w:hAnsiTheme="minorHAnsi" w:cstheme="minorHAnsi"/>
          <w:color w:val="000000" w:themeColor="text1"/>
          <w:sz w:val="26"/>
          <w:szCs w:val="26"/>
        </w:rPr>
        <w:t xml:space="preserve"> ianuarie </w:t>
      </w:r>
      <w:r w:rsidRPr="006A2E2B">
        <w:rPr>
          <w:rFonts w:asciiTheme="minorHAnsi" w:hAnsiTheme="minorHAnsi" w:cstheme="minorHAnsi"/>
          <w:color w:val="000000" w:themeColor="text1"/>
          <w:sz w:val="26"/>
          <w:szCs w:val="26"/>
        </w:rPr>
        <w:t>2025, I</w:t>
      </w:r>
      <w:r w:rsidR="006D3107">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N</w:t>
      </w:r>
      <w:r w:rsidR="006D3107">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M</w:t>
      </w:r>
      <w:r w:rsidR="006D3107">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xml:space="preserve"> a găzduit workshop-ul intitulat „Accesul la justiție în materie de mediu și legislația U</w:t>
      </w:r>
      <w:r w:rsidR="004857D6">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E</w:t>
      </w:r>
      <w:r w:rsidR="004857D6">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xml:space="preserve"> privind protecția naturii”, organizat în cadrul Programului „Cooperare cu judecătorii naționali în domeniul dreptului mediului”, finanțat de Uniunea Europeană și implementat de Academia de Drept European (E</w:t>
      </w:r>
      <w:r w:rsidR="006D3107">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R</w:t>
      </w:r>
      <w:r w:rsidR="006D3107">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A</w:t>
      </w:r>
      <w:r w:rsidR="006D3107">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Workshop-ul a reunit 23 de judecători și procurori naționali, având ca obiectiv aprofundarea cunoștințelor privind accesul la justiție în domeniul ecologic și aplicarea legislației europene de mediu.</w:t>
      </w:r>
    </w:p>
    <w:p w14:paraId="40F5BA6E" w14:textId="2BCB1DCA" w:rsidR="004330C1" w:rsidRPr="006A2E2B" w:rsidRDefault="004330C1" w:rsidP="009E3AD8">
      <w:pPr>
        <w:spacing w:line="276" w:lineRule="auto"/>
        <w:ind w:left="-142" w:firstLine="850"/>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Ulterior, în perioada 20</w:t>
      </w:r>
      <w:r w:rsidR="00073092">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w:t>
      </w:r>
      <w:r w:rsidR="00073092">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21</w:t>
      </w:r>
      <w:r w:rsidR="00C25AA4">
        <w:rPr>
          <w:rFonts w:asciiTheme="minorHAnsi" w:hAnsiTheme="minorHAnsi" w:cstheme="minorHAnsi"/>
          <w:color w:val="000000" w:themeColor="text1"/>
          <w:sz w:val="26"/>
          <w:szCs w:val="26"/>
        </w:rPr>
        <w:t xml:space="preserve"> februarie </w:t>
      </w:r>
      <w:r w:rsidRPr="006A2E2B">
        <w:rPr>
          <w:rFonts w:asciiTheme="minorHAnsi" w:hAnsiTheme="minorHAnsi" w:cstheme="minorHAnsi"/>
          <w:color w:val="000000" w:themeColor="text1"/>
          <w:sz w:val="26"/>
          <w:szCs w:val="26"/>
        </w:rPr>
        <w:t>2025, Institutul a găzduit seminariul „Digitalisation and Artificial Intelligence in Criminal Justice Internet: basics, e-evidence, videoconferencing and AI”, parte a Programului „Judicial training to prepare criminal justice professionals to #digitalisation and #AI”, finanțat de Uniunea Europeană și implementat tot de E</w:t>
      </w:r>
      <w:r w:rsidR="00073092">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R</w:t>
      </w:r>
      <w:r w:rsidR="00073092">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A</w:t>
      </w:r>
      <w:r w:rsidR="00073092">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La acest seminar au participat 35 de profesioniști din domeniul justiției europene, dintre care 14 magistrați din România, aprofundând aspectele legate de utilizarea tehnologiilor digitale și inteligenței artificiale în sistemul de justiție penală.</w:t>
      </w:r>
    </w:p>
    <w:p w14:paraId="2DFDE900" w14:textId="7E5CE2B2" w:rsidR="004330C1" w:rsidRPr="006A2E2B" w:rsidRDefault="004330C1" w:rsidP="009E3AD8">
      <w:pPr>
        <w:spacing w:line="276" w:lineRule="auto"/>
        <w:ind w:left="-142" w:firstLine="850"/>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În perioada 12</w:t>
      </w:r>
      <w:r w:rsidR="00835BC1">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w:t>
      </w:r>
      <w:r w:rsidR="00835BC1">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13</w:t>
      </w:r>
      <w:r w:rsidR="00C25AA4">
        <w:rPr>
          <w:rFonts w:asciiTheme="minorHAnsi" w:hAnsiTheme="minorHAnsi" w:cstheme="minorHAnsi"/>
          <w:color w:val="000000" w:themeColor="text1"/>
          <w:sz w:val="26"/>
          <w:szCs w:val="26"/>
        </w:rPr>
        <w:t xml:space="preserve"> mai </w:t>
      </w:r>
      <w:r w:rsidRPr="006A2E2B">
        <w:rPr>
          <w:rFonts w:asciiTheme="minorHAnsi" w:hAnsiTheme="minorHAnsi" w:cstheme="minorHAnsi"/>
          <w:color w:val="000000" w:themeColor="text1"/>
          <w:sz w:val="26"/>
          <w:szCs w:val="26"/>
        </w:rPr>
        <w:t>2025, I</w:t>
      </w:r>
      <w:r w:rsidR="00835BC1">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N</w:t>
      </w:r>
      <w:r w:rsidR="00835BC1">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M</w:t>
      </w:r>
      <w:r w:rsidR="00835BC1">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xml:space="preserve"> a găzduit seminarul „Jurisdiction and applicable law in civil and commercial matters with an overview on communication via e-Codex”, organizat de Sub-grupul de lucru „Drept civil” al Rețelei Europene de Formare Judiciară (E</w:t>
      </w:r>
      <w:r w:rsidR="00835BC1">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J</w:t>
      </w:r>
      <w:r w:rsidR="00835BC1">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T</w:t>
      </w:r>
      <w:r w:rsidR="00835BC1">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N</w:t>
      </w:r>
      <w:r w:rsidR="00835BC1">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Evenimentul a reunit 37 de magistrați din 17 state europene și a beneficiat de contribuția judecătorilor români și a experților europeni, recunoscuți pentru expertiza lor în domeniul jurisdicției și aplicării dreptului european.</w:t>
      </w:r>
    </w:p>
    <w:p w14:paraId="00E07314" w14:textId="20BA24CF" w:rsidR="004330C1" w:rsidRDefault="004330C1" w:rsidP="009E3AD8">
      <w:pPr>
        <w:spacing w:line="276" w:lineRule="auto"/>
        <w:ind w:left="-142" w:firstLine="850"/>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De asemenea, în perioada 19</w:t>
      </w:r>
      <w:r w:rsidR="00835BC1">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w:t>
      </w:r>
      <w:r w:rsidR="00835BC1">
        <w:rPr>
          <w:rFonts w:asciiTheme="minorHAnsi" w:hAnsiTheme="minorHAnsi" w:cstheme="minorHAnsi"/>
          <w:color w:val="000000" w:themeColor="text1"/>
          <w:sz w:val="26"/>
          <w:szCs w:val="26"/>
        </w:rPr>
        <w:t xml:space="preserve"> </w:t>
      </w:r>
      <w:r w:rsidRPr="006A2E2B">
        <w:rPr>
          <w:rFonts w:asciiTheme="minorHAnsi" w:hAnsiTheme="minorHAnsi" w:cstheme="minorHAnsi"/>
          <w:color w:val="000000" w:themeColor="text1"/>
          <w:sz w:val="26"/>
          <w:szCs w:val="26"/>
        </w:rPr>
        <w:t>21</w:t>
      </w:r>
      <w:r w:rsidR="00C25AA4">
        <w:rPr>
          <w:rFonts w:asciiTheme="minorHAnsi" w:hAnsiTheme="minorHAnsi" w:cstheme="minorHAnsi"/>
          <w:color w:val="000000" w:themeColor="text1"/>
          <w:sz w:val="26"/>
          <w:szCs w:val="26"/>
        </w:rPr>
        <w:t xml:space="preserve"> mai </w:t>
      </w:r>
      <w:r w:rsidRPr="006A2E2B">
        <w:rPr>
          <w:rFonts w:asciiTheme="minorHAnsi" w:hAnsiTheme="minorHAnsi" w:cstheme="minorHAnsi"/>
          <w:color w:val="000000" w:themeColor="text1"/>
          <w:sz w:val="26"/>
          <w:szCs w:val="26"/>
        </w:rPr>
        <w:t xml:space="preserve">2025, </w:t>
      </w:r>
      <w:r w:rsidR="004857D6">
        <w:rPr>
          <w:rFonts w:asciiTheme="minorHAnsi" w:hAnsiTheme="minorHAnsi" w:cstheme="minorHAnsi"/>
          <w:color w:val="000000" w:themeColor="text1"/>
          <w:sz w:val="26"/>
          <w:szCs w:val="26"/>
        </w:rPr>
        <w:t>I.N.M.</w:t>
      </w:r>
      <w:r w:rsidRPr="006A2E2B">
        <w:rPr>
          <w:rFonts w:asciiTheme="minorHAnsi" w:hAnsiTheme="minorHAnsi" w:cstheme="minorHAnsi"/>
          <w:color w:val="000000" w:themeColor="text1"/>
          <w:sz w:val="26"/>
          <w:szCs w:val="26"/>
        </w:rPr>
        <w:t xml:space="preserve"> a găzduit, la București, seminarul „Legal English. Commercial Matters”, organizat în cadrul Catalogului Plus al Rețelei Europene de Formare Judiciară (E</w:t>
      </w:r>
      <w:r w:rsidR="005E4C48">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J</w:t>
      </w:r>
      <w:r w:rsidR="005E4C48">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T</w:t>
      </w:r>
      <w:r w:rsidR="005E4C48">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N</w:t>
      </w:r>
      <w:r w:rsidR="005E4C48">
        <w:rPr>
          <w:rFonts w:asciiTheme="minorHAnsi" w:hAnsiTheme="minorHAnsi" w:cstheme="minorHAnsi"/>
          <w:color w:val="000000" w:themeColor="text1"/>
          <w:sz w:val="26"/>
          <w:szCs w:val="26"/>
        </w:rPr>
        <w:t>.</w:t>
      </w:r>
      <w:r w:rsidRPr="006A2E2B">
        <w:rPr>
          <w:rFonts w:asciiTheme="minorHAnsi" w:hAnsiTheme="minorHAnsi" w:cstheme="minorHAnsi"/>
          <w:color w:val="000000" w:themeColor="text1"/>
          <w:sz w:val="26"/>
          <w:szCs w:val="26"/>
        </w:rPr>
        <w:t xml:space="preserve">). Evenimentul a reunit 19 magistrați din România, Polonia, Franța, Spania, Grecia, </w:t>
      </w:r>
      <w:r w:rsidRPr="006A2E2B">
        <w:rPr>
          <w:rFonts w:asciiTheme="minorHAnsi" w:hAnsiTheme="minorHAnsi" w:cstheme="minorHAnsi"/>
          <w:color w:val="000000" w:themeColor="text1"/>
          <w:sz w:val="26"/>
          <w:szCs w:val="26"/>
        </w:rPr>
        <w:lastRenderedPageBreak/>
        <w:t xml:space="preserve">Cehia și Bulgaria și a avut ca obiectiv dezvoltarea competențelor lingvistice profesionale în domeniul dreptului civil și comercial, prin utilizarea terminologiei juridice în limba engleză. </w:t>
      </w:r>
    </w:p>
    <w:p w14:paraId="7699D2DE" w14:textId="274A7C94" w:rsidR="00E351A6" w:rsidRPr="002E39A3" w:rsidRDefault="00E351A6" w:rsidP="00E351A6">
      <w:pPr>
        <w:spacing w:line="276" w:lineRule="auto"/>
        <w:ind w:firstLine="708"/>
        <w:jc w:val="both"/>
        <w:rPr>
          <w:rFonts w:asciiTheme="minorHAnsi" w:hAnsiTheme="minorHAnsi" w:cstheme="minorHAnsi"/>
          <w:sz w:val="26"/>
          <w:szCs w:val="26"/>
        </w:rPr>
      </w:pPr>
      <w:r w:rsidRPr="002E39A3">
        <w:rPr>
          <w:rFonts w:asciiTheme="minorHAnsi" w:hAnsiTheme="minorHAnsi" w:cstheme="minorHAnsi"/>
          <w:sz w:val="26"/>
          <w:szCs w:val="26"/>
        </w:rPr>
        <w:t>Totodată, în perioada 10</w:t>
      </w:r>
      <w:r w:rsidR="0052702E" w:rsidRPr="002E39A3">
        <w:rPr>
          <w:rFonts w:asciiTheme="minorHAnsi" w:hAnsiTheme="minorHAnsi" w:cstheme="minorHAnsi"/>
          <w:sz w:val="26"/>
          <w:szCs w:val="26"/>
        </w:rPr>
        <w:t xml:space="preserve"> </w:t>
      </w:r>
      <w:r w:rsidRPr="002E39A3">
        <w:rPr>
          <w:rFonts w:asciiTheme="minorHAnsi" w:hAnsiTheme="minorHAnsi" w:cstheme="minorHAnsi"/>
          <w:sz w:val="26"/>
          <w:szCs w:val="26"/>
        </w:rPr>
        <w:t>–</w:t>
      </w:r>
      <w:r w:rsidR="0052702E" w:rsidRPr="002E39A3">
        <w:rPr>
          <w:rFonts w:asciiTheme="minorHAnsi" w:hAnsiTheme="minorHAnsi" w:cstheme="minorHAnsi"/>
          <w:sz w:val="26"/>
          <w:szCs w:val="26"/>
        </w:rPr>
        <w:t xml:space="preserve"> </w:t>
      </w:r>
      <w:r w:rsidRPr="002E39A3">
        <w:rPr>
          <w:rFonts w:asciiTheme="minorHAnsi" w:hAnsiTheme="minorHAnsi" w:cstheme="minorHAnsi"/>
          <w:sz w:val="26"/>
          <w:szCs w:val="26"/>
        </w:rPr>
        <w:t>12 noiembrie 2025, România a găzduit o vizită de studiu în cadrul proiectului „Asistență în domeniul justiției – Consolidarea capacității instituționale a Institutului Național al Justiției din Republica Moldova", la care au participat 34 de reprezentanți ai sistemului judiciar</w:t>
      </w:r>
      <w:r w:rsidR="002E39A3" w:rsidRPr="002E39A3">
        <w:rPr>
          <w:rFonts w:asciiTheme="minorHAnsi" w:hAnsiTheme="minorHAnsi" w:cstheme="minorHAnsi"/>
          <w:sz w:val="26"/>
          <w:szCs w:val="26"/>
        </w:rPr>
        <w:t xml:space="preserve"> din Republica Moldova</w:t>
      </w:r>
      <w:r w:rsidRPr="002E39A3">
        <w:rPr>
          <w:rFonts w:asciiTheme="minorHAnsi" w:hAnsiTheme="minorHAnsi" w:cstheme="minorHAnsi"/>
          <w:sz w:val="26"/>
          <w:szCs w:val="26"/>
        </w:rPr>
        <w:t>. Proiectul este implementat în parteneriat de Institutul Național al Magistraturii (I</w:t>
      </w:r>
      <w:r w:rsidR="00ED7658" w:rsidRPr="002E39A3">
        <w:rPr>
          <w:rFonts w:asciiTheme="minorHAnsi" w:hAnsiTheme="minorHAnsi" w:cstheme="minorHAnsi"/>
          <w:sz w:val="26"/>
          <w:szCs w:val="26"/>
        </w:rPr>
        <w:t>.</w:t>
      </w:r>
      <w:r w:rsidRPr="002E39A3">
        <w:rPr>
          <w:rFonts w:asciiTheme="minorHAnsi" w:hAnsiTheme="minorHAnsi" w:cstheme="minorHAnsi"/>
          <w:sz w:val="26"/>
          <w:szCs w:val="26"/>
        </w:rPr>
        <w:t>N</w:t>
      </w:r>
      <w:r w:rsidR="00ED7658" w:rsidRPr="002E39A3">
        <w:rPr>
          <w:rFonts w:asciiTheme="minorHAnsi" w:hAnsiTheme="minorHAnsi" w:cstheme="minorHAnsi"/>
          <w:sz w:val="26"/>
          <w:szCs w:val="26"/>
        </w:rPr>
        <w:t>.</w:t>
      </w:r>
      <w:r w:rsidRPr="002E39A3">
        <w:rPr>
          <w:rFonts w:asciiTheme="minorHAnsi" w:hAnsiTheme="minorHAnsi" w:cstheme="minorHAnsi"/>
          <w:sz w:val="26"/>
          <w:szCs w:val="26"/>
        </w:rPr>
        <w:t>M</w:t>
      </w:r>
      <w:r w:rsidR="00ED7658" w:rsidRPr="002E39A3">
        <w:rPr>
          <w:rFonts w:asciiTheme="minorHAnsi" w:hAnsiTheme="minorHAnsi" w:cstheme="minorHAnsi"/>
          <w:sz w:val="26"/>
          <w:szCs w:val="26"/>
        </w:rPr>
        <w:t>.</w:t>
      </w:r>
      <w:r w:rsidRPr="002E39A3">
        <w:rPr>
          <w:rFonts w:asciiTheme="minorHAnsi" w:hAnsiTheme="minorHAnsi" w:cstheme="minorHAnsi"/>
          <w:sz w:val="26"/>
          <w:szCs w:val="26"/>
        </w:rPr>
        <w:t>), Institutul Național al Justiției (I</w:t>
      </w:r>
      <w:r w:rsidR="00ED7658" w:rsidRPr="002E39A3">
        <w:rPr>
          <w:rFonts w:asciiTheme="minorHAnsi" w:hAnsiTheme="minorHAnsi" w:cstheme="minorHAnsi"/>
          <w:sz w:val="26"/>
          <w:szCs w:val="26"/>
        </w:rPr>
        <w:t>.</w:t>
      </w:r>
      <w:r w:rsidRPr="002E39A3">
        <w:rPr>
          <w:rFonts w:asciiTheme="minorHAnsi" w:hAnsiTheme="minorHAnsi" w:cstheme="minorHAnsi"/>
          <w:sz w:val="26"/>
          <w:szCs w:val="26"/>
        </w:rPr>
        <w:t>N</w:t>
      </w:r>
      <w:r w:rsidR="00ED7658" w:rsidRPr="002E39A3">
        <w:rPr>
          <w:rFonts w:asciiTheme="minorHAnsi" w:hAnsiTheme="minorHAnsi" w:cstheme="minorHAnsi"/>
          <w:sz w:val="26"/>
          <w:szCs w:val="26"/>
        </w:rPr>
        <w:t>.</w:t>
      </w:r>
      <w:r w:rsidRPr="002E39A3">
        <w:rPr>
          <w:rFonts w:asciiTheme="minorHAnsi" w:hAnsiTheme="minorHAnsi" w:cstheme="minorHAnsi"/>
          <w:sz w:val="26"/>
          <w:szCs w:val="26"/>
        </w:rPr>
        <w:t>J</w:t>
      </w:r>
      <w:r w:rsidR="00ED7658" w:rsidRPr="002E39A3">
        <w:rPr>
          <w:rFonts w:asciiTheme="minorHAnsi" w:hAnsiTheme="minorHAnsi" w:cstheme="minorHAnsi"/>
          <w:sz w:val="26"/>
          <w:szCs w:val="26"/>
        </w:rPr>
        <w:t>.</w:t>
      </w:r>
      <w:r w:rsidRPr="002E39A3">
        <w:rPr>
          <w:rFonts w:asciiTheme="minorHAnsi" w:hAnsiTheme="minorHAnsi" w:cstheme="minorHAnsi"/>
          <w:sz w:val="26"/>
          <w:szCs w:val="26"/>
        </w:rPr>
        <w:t>) și Agenția de Cooperare Internațională pentru Dezvoltare (RoAid), sub egida Ministerului Afacerilor Externe. Delegația a reunit 4 formatori ai I</w:t>
      </w:r>
      <w:r w:rsidR="00ED7658" w:rsidRPr="002E39A3">
        <w:rPr>
          <w:rFonts w:asciiTheme="minorHAnsi" w:hAnsiTheme="minorHAnsi" w:cstheme="minorHAnsi"/>
          <w:sz w:val="26"/>
          <w:szCs w:val="26"/>
        </w:rPr>
        <w:t>.</w:t>
      </w:r>
      <w:r w:rsidRPr="002E39A3">
        <w:rPr>
          <w:rFonts w:asciiTheme="minorHAnsi" w:hAnsiTheme="minorHAnsi" w:cstheme="minorHAnsi"/>
          <w:sz w:val="26"/>
          <w:szCs w:val="26"/>
        </w:rPr>
        <w:t>N</w:t>
      </w:r>
      <w:r w:rsidR="00ED7658" w:rsidRPr="002E39A3">
        <w:rPr>
          <w:rFonts w:asciiTheme="minorHAnsi" w:hAnsiTheme="minorHAnsi" w:cstheme="minorHAnsi"/>
          <w:sz w:val="26"/>
          <w:szCs w:val="26"/>
        </w:rPr>
        <w:t>.</w:t>
      </w:r>
      <w:r w:rsidRPr="002E39A3">
        <w:rPr>
          <w:rFonts w:asciiTheme="minorHAnsi" w:hAnsiTheme="minorHAnsi" w:cstheme="minorHAnsi"/>
          <w:sz w:val="26"/>
          <w:szCs w:val="26"/>
        </w:rPr>
        <w:t>J</w:t>
      </w:r>
      <w:r w:rsidR="00ED7658" w:rsidRPr="002E39A3">
        <w:rPr>
          <w:rFonts w:asciiTheme="minorHAnsi" w:hAnsiTheme="minorHAnsi" w:cstheme="minorHAnsi"/>
          <w:sz w:val="26"/>
          <w:szCs w:val="26"/>
        </w:rPr>
        <w:t>.</w:t>
      </w:r>
      <w:r w:rsidRPr="002E39A3">
        <w:rPr>
          <w:rFonts w:asciiTheme="minorHAnsi" w:hAnsiTheme="minorHAnsi" w:cstheme="minorHAnsi"/>
          <w:sz w:val="26"/>
          <w:szCs w:val="26"/>
        </w:rPr>
        <w:t>, 12 audienți candidați la funcția de judecător și 18 audienți candidați la funcția de procuror, care au participat la activități desfășurate la sediul I</w:t>
      </w:r>
      <w:r w:rsidR="00ED7658" w:rsidRPr="002E39A3">
        <w:rPr>
          <w:rFonts w:asciiTheme="minorHAnsi" w:hAnsiTheme="minorHAnsi" w:cstheme="minorHAnsi"/>
          <w:sz w:val="26"/>
          <w:szCs w:val="26"/>
        </w:rPr>
        <w:t>.</w:t>
      </w:r>
      <w:r w:rsidRPr="002E39A3">
        <w:rPr>
          <w:rFonts w:asciiTheme="minorHAnsi" w:hAnsiTheme="minorHAnsi" w:cstheme="minorHAnsi"/>
          <w:sz w:val="26"/>
          <w:szCs w:val="26"/>
        </w:rPr>
        <w:t>N</w:t>
      </w:r>
      <w:r w:rsidR="00ED7658" w:rsidRPr="002E39A3">
        <w:rPr>
          <w:rFonts w:asciiTheme="minorHAnsi" w:hAnsiTheme="minorHAnsi" w:cstheme="minorHAnsi"/>
          <w:sz w:val="26"/>
          <w:szCs w:val="26"/>
        </w:rPr>
        <w:t>.</w:t>
      </w:r>
      <w:r w:rsidRPr="002E39A3">
        <w:rPr>
          <w:rFonts w:asciiTheme="minorHAnsi" w:hAnsiTheme="minorHAnsi" w:cstheme="minorHAnsi"/>
          <w:sz w:val="26"/>
          <w:szCs w:val="26"/>
        </w:rPr>
        <w:t>M</w:t>
      </w:r>
      <w:r w:rsidR="00ED7658" w:rsidRPr="002E39A3">
        <w:rPr>
          <w:rFonts w:asciiTheme="minorHAnsi" w:hAnsiTheme="minorHAnsi" w:cstheme="minorHAnsi"/>
          <w:sz w:val="26"/>
          <w:szCs w:val="26"/>
        </w:rPr>
        <w:t>.</w:t>
      </w:r>
      <w:r w:rsidRPr="002E39A3">
        <w:rPr>
          <w:rFonts w:asciiTheme="minorHAnsi" w:hAnsiTheme="minorHAnsi" w:cstheme="minorHAnsi"/>
          <w:sz w:val="26"/>
          <w:szCs w:val="26"/>
        </w:rPr>
        <w:t>, la Judecătoriile Sectoarelor 1, 4 și 5, precum și la Parchetele de pe lângă Judecătoriile Sectoarelor 1, 3 și 4.</w:t>
      </w:r>
    </w:p>
    <w:p w14:paraId="77F6EDD9" w14:textId="77777777" w:rsidR="004330C1" w:rsidRPr="002E39A3" w:rsidRDefault="004330C1" w:rsidP="00281400">
      <w:pPr>
        <w:pStyle w:val="ListParagraph"/>
        <w:numPr>
          <w:ilvl w:val="0"/>
          <w:numId w:val="44"/>
        </w:numPr>
        <w:shd w:val="clear" w:color="auto" w:fill="FFFFFF"/>
        <w:tabs>
          <w:tab w:val="left" w:pos="709"/>
        </w:tabs>
        <w:spacing w:line="276" w:lineRule="auto"/>
        <w:ind w:left="1170" w:hanging="450"/>
        <w:jc w:val="both"/>
        <w:rPr>
          <w:rFonts w:asciiTheme="minorHAnsi" w:hAnsiTheme="minorHAnsi" w:cstheme="minorHAnsi"/>
          <w:b/>
          <w:bCs/>
          <w:sz w:val="26"/>
          <w:szCs w:val="26"/>
        </w:rPr>
      </w:pPr>
      <w:r w:rsidRPr="002E39A3">
        <w:rPr>
          <w:rFonts w:asciiTheme="minorHAnsi" w:hAnsiTheme="minorHAnsi" w:cstheme="minorHAnsi"/>
          <w:b/>
          <w:bCs/>
          <w:sz w:val="26"/>
          <w:szCs w:val="26"/>
        </w:rPr>
        <w:t>Alte activităţi internaţionale</w:t>
      </w:r>
    </w:p>
    <w:p w14:paraId="0A181482" w14:textId="043AAADE" w:rsidR="004330C1" w:rsidRPr="006A2E2B" w:rsidRDefault="004330C1" w:rsidP="009E3AD8">
      <w:pPr>
        <w:spacing w:line="276" w:lineRule="auto"/>
        <w:ind w:firstLine="708"/>
        <w:jc w:val="both"/>
        <w:rPr>
          <w:rFonts w:asciiTheme="minorHAnsi" w:hAnsiTheme="minorHAnsi" w:cstheme="minorHAnsi"/>
          <w:color w:val="000000" w:themeColor="text1"/>
          <w:sz w:val="26"/>
          <w:szCs w:val="26"/>
        </w:rPr>
      </w:pPr>
      <w:r w:rsidRPr="006A2E2B">
        <w:rPr>
          <w:rFonts w:asciiTheme="minorHAnsi" w:hAnsiTheme="minorHAnsi" w:cstheme="minorHAnsi"/>
          <w:color w:val="000000" w:themeColor="text1"/>
          <w:sz w:val="26"/>
          <w:szCs w:val="26"/>
        </w:rPr>
        <w:t>Într</w:t>
      </w:r>
      <w:r w:rsidRPr="006A2E2B">
        <w:rPr>
          <w:rFonts w:ascii="Cambria Math" w:hAnsi="Cambria Math" w:cs="Cambria Math"/>
          <w:color w:val="000000" w:themeColor="text1"/>
          <w:sz w:val="26"/>
          <w:szCs w:val="26"/>
        </w:rPr>
        <w:t>‑</w:t>
      </w:r>
      <w:r w:rsidRPr="006A2E2B">
        <w:rPr>
          <w:rFonts w:asciiTheme="minorHAnsi" w:hAnsiTheme="minorHAnsi" w:cstheme="minorHAnsi"/>
          <w:color w:val="000000" w:themeColor="text1"/>
          <w:sz w:val="26"/>
          <w:szCs w:val="26"/>
        </w:rPr>
        <w:t>un efort de adaptare continuă la tehnologiile moderne, formatori ai I</w:t>
      </w:r>
      <w:r w:rsidR="0025754A">
        <w:rPr>
          <w:rFonts w:asciiTheme="minorHAnsi" w:hAnsiTheme="minorHAnsi" w:cstheme="minorHAnsi"/>
          <w:color w:val="000000" w:themeColor="text1"/>
          <w:sz w:val="26"/>
          <w:szCs w:val="26"/>
        </w:rPr>
        <w:t xml:space="preserve">.N.M. </w:t>
      </w:r>
      <w:r w:rsidRPr="006A2E2B">
        <w:rPr>
          <w:rFonts w:asciiTheme="minorHAnsi" w:hAnsiTheme="minorHAnsi" w:cstheme="minorHAnsi"/>
          <w:color w:val="000000" w:themeColor="text1"/>
          <w:sz w:val="26"/>
          <w:szCs w:val="26"/>
        </w:rPr>
        <w:t>au participat în data de 27 martie 2025 la o sesiune de formare dedicată utilizării platformei E-CODEX﻿, organizată în format online. Această formare a vizat dezvoltarea competențelor necesare facilitării instruirii și utilizării eficiente a platformelor digitale în activitatea judiciară.</w:t>
      </w:r>
    </w:p>
    <w:p w14:paraId="64D91012" w14:textId="77777777" w:rsidR="00D40F2A" w:rsidRPr="000F0D8B" w:rsidRDefault="00D40F2A" w:rsidP="009E3AD8">
      <w:pPr>
        <w:spacing w:line="276" w:lineRule="auto"/>
        <w:ind w:firstLine="720"/>
        <w:jc w:val="both"/>
        <w:rPr>
          <w:rFonts w:asciiTheme="minorHAnsi" w:hAnsiTheme="minorHAnsi" w:cstheme="minorHAnsi"/>
          <w:b/>
          <w:sz w:val="26"/>
          <w:szCs w:val="26"/>
        </w:rPr>
      </w:pPr>
      <w:r w:rsidRPr="000F0D8B">
        <w:rPr>
          <w:rFonts w:asciiTheme="minorHAnsi" w:hAnsiTheme="minorHAnsi" w:cstheme="minorHAnsi"/>
          <w:b/>
          <w:sz w:val="26"/>
          <w:szCs w:val="26"/>
        </w:rPr>
        <w:t>Școala Națională de Grefieri</w:t>
      </w:r>
    </w:p>
    <w:p w14:paraId="764A6E6F" w14:textId="22D5F3B0" w:rsidR="00D40F2A" w:rsidRPr="000F0D8B" w:rsidRDefault="00D40F2A" w:rsidP="009E3AD8">
      <w:pPr>
        <w:kinsoku w:val="0"/>
        <w:overflowPunct w:val="0"/>
        <w:spacing w:line="276" w:lineRule="auto"/>
        <w:ind w:left="644" w:firstLine="76"/>
        <w:contextualSpacing/>
        <w:jc w:val="both"/>
        <w:textAlignment w:val="baseline"/>
        <w:rPr>
          <w:rFonts w:asciiTheme="minorHAnsi" w:hAnsiTheme="minorHAnsi" w:cstheme="minorHAnsi"/>
          <w:sz w:val="26"/>
          <w:szCs w:val="26"/>
        </w:rPr>
      </w:pPr>
      <w:r w:rsidRPr="000F0D8B">
        <w:rPr>
          <w:rFonts w:asciiTheme="minorHAnsi" w:hAnsiTheme="minorHAnsi" w:cstheme="minorHAnsi"/>
          <w:b/>
          <w:bCs/>
          <w:sz w:val="26"/>
          <w:szCs w:val="26"/>
        </w:rPr>
        <w:t>E</w:t>
      </w:r>
      <w:r w:rsidR="00B74275" w:rsidRPr="000F0D8B">
        <w:rPr>
          <w:rFonts w:asciiTheme="minorHAnsi" w:hAnsiTheme="minorHAnsi" w:cstheme="minorHAnsi"/>
          <w:b/>
          <w:bCs/>
          <w:sz w:val="26"/>
          <w:szCs w:val="26"/>
        </w:rPr>
        <w:t>.</w:t>
      </w:r>
      <w:r w:rsidRPr="000F0D8B">
        <w:rPr>
          <w:rFonts w:asciiTheme="minorHAnsi" w:hAnsiTheme="minorHAnsi" w:cstheme="minorHAnsi"/>
          <w:b/>
          <w:bCs/>
          <w:sz w:val="26"/>
          <w:szCs w:val="26"/>
        </w:rPr>
        <w:t>J</w:t>
      </w:r>
      <w:r w:rsidR="00B74275" w:rsidRPr="000F0D8B">
        <w:rPr>
          <w:rFonts w:asciiTheme="minorHAnsi" w:hAnsiTheme="minorHAnsi" w:cstheme="minorHAnsi"/>
          <w:b/>
          <w:bCs/>
          <w:sz w:val="26"/>
          <w:szCs w:val="26"/>
        </w:rPr>
        <w:t>.</w:t>
      </w:r>
      <w:r w:rsidRPr="000F0D8B">
        <w:rPr>
          <w:rFonts w:asciiTheme="minorHAnsi" w:hAnsiTheme="minorHAnsi" w:cstheme="minorHAnsi"/>
          <w:b/>
          <w:bCs/>
          <w:sz w:val="26"/>
          <w:szCs w:val="26"/>
        </w:rPr>
        <w:t>T</w:t>
      </w:r>
      <w:r w:rsidR="00B74275" w:rsidRPr="000F0D8B">
        <w:rPr>
          <w:rFonts w:asciiTheme="minorHAnsi" w:hAnsiTheme="minorHAnsi" w:cstheme="minorHAnsi"/>
          <w:b/>
          <w:bCs/>
          <w:sz w:val="26"/>
          <w:szCs w:val="26"/>
        </w:rPr>
        <w:t>.</w:t>
      </w:r>
      <w:r w:rsidRPr="000F0D8B">
        <w:rPr>
          <w:rFonts w:asciiTheme="minorHAnsi" w:hAnsiTheme="minorHAnsi" w:cstheme="minorHAnsi"/>
          <w:b/>
          <w:bCs/>
          <w:sz w:val="26"/>
          <w:szCs w:val="26"/>
        </w:rPr>
        <w:t>N</w:t>
      </w:r>
      <w:r w:rsidR="00B74275" w:rsidRPr="000F0D8B">
        <w:rPr>
          <w:rFonts w:asciiTheme="minorHAnsi" w:hAnsiTheme="minorHAnsi" w:cstheme="minorHAnsi"/>
          <w:b/>
          <w:bCs/>
          <w:sz w:val="26"/>
          <w:szCs w:val="26"/>
        </w:rPr>
        <w:t>.</w:t>
      </w:r>
    </w:p>
    <w:p w14:paraId="207B87BF" w14:textId="551CCFBE" w:rsidR="00D40F2A" w:rsidRPr="000F0D8B" w:rsidRDefault="00D40F2A" w:rsidP="009E3AD8">
      <w:pPr>
        <w:spacing w:line="276" w:lineRule="auto"/>
        <w:ind w:firstLine="720"/>
        <w:jc w:val="both"/>
        <w:rPr>
          <w:rFonts w:asciiTheme="minorHAnsi" w:eastAsia="Calibri" w:hAnsiTheme="minorHAnsi" w:cstheme="minorHAnsi"/>
          <w:iCs/>
          <w:sz w:val="26"/>
          <w:szCs w:val="26"/>
        </w:rPr>
      </w:pPr>
      <w:r w:rsidRPr="000F0D8B">
        <w:rPr>
          <w:rFonts w:asciiTheme="minorHAnsi" w:eastAsia="Calibri" w:hAnsiTheme="minorHAnsi" w:cstheme="minorHAnsi"/>
          <w:iCs/>
          <w:sz w:val="26"/>
          <w:szCs w:val="26"/>
        </w:rPr>
        <w:t>Rețeaua Europeană de Formare Judiciară (E</w:t>
      </w:r>
      <w:r w:rsidR="00B74275"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J</w:t>
      </w:r>
      <w:r w:rsidR="00B74275"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T</w:t>
      </w:r>
      <w:r w:rsidR="00B74275"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N</w:t>
      </w:r>
      <w:r w:rsidR="00B74275"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este o organizație înființată încă din anul 2000 la nivel european, care promovează și asigură formarea judiciară și schimbul de cunoștințe pentru un număr important de judecători, procurori și formatori, în principal în domeniul dreptului Uniunii Europene.</w:t>
      </w:r>
    </w:p>
    <w:p w14:paraId="089A323C" w14:textId="3F5DB621" w:rsidR="00D40F2A" w:rsidRPr="000F0D8B" w:rsidRDefault="00D40F2A" w:rsidP="001C423C">
      <w:pPr>
        <w:spacing w:line="276" w:lineRule="auto"/>
        <w:ind w:firstLine="720"/>
        <w:jc w:val="both"/>
        <w:rPr>
          <w:rFonts w:asciiTheme="minorHAnsi" w:eastAsia="Calibri" w:hAnsiTheme="minorHAnsi" w:cstheme="minorHAnsi"/>
          <w:iCs/>
          <w:sz w:val="26"/>
          <w:szCs w:val="26"/>
        </w:rPr>
      </w:pPr>
      <w:r w:rsidRPr="000F0D8B">
        <w:rPr>
          <w:rFonts w:asciiTheme="minorHAnsi" w:eastAsia="Calibri" w:hAnsiTheme="minorHAnsi" w:cstheme="minorHAnsi"/>
          <w:iCs/>
          <w:sz w:val="26"/>
          <w:szCs w:val="26"/>
        </w:rPr>
        <w:t>Începând cu anul 2021, prin Strategia 2021</w:t>
      </w:r>
      <w:r w:rsidR="00B74275" w:rsidRPr="000F0D8B">
        <w:rPr>
          <w:rFonts w:asciiTheme="minorHAnsi" w:eastAsia="Calibri" w:hAnsiTheme="minorHAnsi" w:cstheme="minorHAnsi"/>
          <w:iCs/>
          <w:sz w:val="26"/>
          <w:szCs w:val="26"/>
        </w:rPr>
        <w:t xml:space="preserve"> </w:t>
      </w:r>
      <w:r w:rsidRPr="000F0D8B">
        <w:rPr>
          <w:rFonts w:asciiTheme="minorHAnsi" w:eastAsia="Calibri" w:hAnsiTheme="minorHAnsi" w:cstheme="minorHAnsi"/>
          <w:iCs/>
          <w:sz w:val="26"/>
          <w:szCs w:val="26"/>
        </w:rPr>
        <w:t>-</w:t>
      </w:r>
      <w:r w:rsidR="00B74275" w:rsidRPr="000F0D8B">
        <w:rPr>
          <w:rFonts w:asciiTheme="minorHAnsi" w:eastAsia="Calibri" w:hAnsiTheme="minorHAnsi" w:cstheme="minorHAnsi"/>
          <w:iCs/>
          <w:sz w:val="26"/>
          <w:szCs w:val="26"/>
        </w:rPr>
        <w:t xml:space="preserve"> </w:t>
      </w:r>
      <w:r w:rsidRPr="000F0D8B">
        <w:rPr>
          <w:rFonts w:asciiTheme="minorHAnsi" w:eastAsia="Calibri" w:hAnsiTheme="minorHAnsi" w:cstheme="minorHAnsi"/>
          <w:iCs/>
          <w:sz w:val="26"/>
          <w:szCs w:val="26"/>
        </w:rPr>
        <w:t>2027 a E</w:t>
      </w:r>
      <w:r w:rsidR="00B74275"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J</w:t>
      </w:r>
      <w:r w:rsidR="00B74275"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T</w:t>
      </w:r>
      <w:r w:rsidR="00B74275"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N</w:t>
      </w:r>
      <w:r w:rsidR="00B74275"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xml:space="preserve"> s-a prevăzut noua axă de dezvoltare, în sensul extinderii formării la nivel european a personalului auxiliar din instanțe și parchete.</w:t>
      </w:r>
      <w:r w:rsidR="001C423C">
        <w:rPr>
          <w:rFonts w:asciiTheme="minorHAnsi" w:eastAsia="Calibri" w:hAnsiTheme="minorHAnsi" w:cstheme="minorHAnsi"/>
          <w:iCs/>
          <w:sz w:val="26"/>
          <w:szCs w:val="26"/>
        </w:rPr>
        <w:t xml:space="preserve"> </w:t>
      </w:r>
      <w:r w:rsidRPr="000F0D8B">
        <w:rPr>
          <w:rFonts w:asciiTheme="minorHAnsi" w:eastAsia="Calibri" w:hAnsiTheme="minorHAnsi" w:cstheme="minorHAnsi"/>
          <w:iCs/>
          <w:sz w:val="26"/>
          <w:szCs w:val="26"/>
        </w:rPr>
        <w:t>Cu ocazia Adunării Generale a E</w:t>
      </w:r>
      <w:r w:rsidR="00B74275"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J</w:t>
      </w:r>
      <w:r w:rsidR="00B74275"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T</w:t>
      </w:r>
      <w:r w:rsidR="00B74275"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N</w:t>
      </w:r>
      <w:r w:rsidR="00B74275"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xml:space="preserve"> din 17 - 18</w:t>
      </w:r>
      <w:r w:rsidRPr="000F0D8B">
        <w:rPr>
          <w:rFonts w:asciiTheme="minorHAnsi" w:hAnsiTheme="minorHAnsi" w:cstheme="minorHAnsi"/>
          <w:sz w:val="26"/>
          <w:szCs w:val="26"/>
        </w:rPr>
        <w:t xml:space="preserve"> iunie </w:t>
      </w:r>
      <w:r w:rsidRPr="000F0D8B">
        <w:rPr>
          <w:rFonts w:asciiTheme="minorHAnsi" w:eastAsia="Calibri" w:hAnsiTheme="minorHAnsi" w:cstheme="minorHAnsi"/>
          <w:iCs/>
          <w:sz w:val="26"/>
          <w:szCs w:val="26"/>
        </w:rPr>
        <w:t>2021, Școala Națională de Grefieri a dobândit statutul de membru asociat al acestei rețele.</w:t>
      </w:r>
    </w:p>
    <w:p w14:paraId="1E85EAB6" w14:textId="06C200FB" w:rsidR="00D40F2A" w:rsidRPr="000F0D8B" w:rsidRDefault="00D40F2A" w:rsidP="009E3AD8">
      <w:pPr>
        <w:spacing w:line="276" w:lineRule="auto"/>
        <w:ind w:firstLine="720"/>
        <w:jc w:val="both"/>
        <w:rPr>
          <w:rFonts w:asciiTheme="minorHAnsi" w:eastAsia="Calibri" w:hAnsiTheme="minorHAnsi" w:cstheme="minorHAnsi"/>
          <w:iCs/>
          <w:sz w:val="26"/>
          <w:szCs w:val="26"/>
        </w:rPr>
      </w:pPr>
      <w:r w:rsidRPr="000F0D8B">
        <w:rPr>
          <w:rFonts w:asciiTheme="minorHAnsi" w:eastAsia="Calibri" w:hAnsiTheme="minorHAnsi" w:cstheme="minorHAnsi"/>
          <w:iCs/>
          <w:sz w:val="26"/>
          <w:szCs w:val="26"/>
        </w:rPr>
        <w:t xml:space="preserve">Dobândirea de către </w:t>
      </w:r>
      <w:r w:rsidR="006B6C08" w:rsidRPr="000F0D8B">
        <w:rPr>
          <w:rFonts w:asciiTheme="minorHAnsi" w:eastAsia="Calibri" w:hAnsiTheme="minorHAnsi" w:cstheme="minorHAnsi"/>
          <w:iCs/>
          <w:sz w:val="26"/>
          <w:szCs w:val="26"/>
        </w:rPr>
        <w:t xml:space="preserve">Școala </w:t>
      </w:r>
      <w:r w:rsidRPr="000F0D8B">
        <w:rPr>
          <w:rFonts w:asciiTheme="minorHAnsi" w:eastAsia="Calibri" w:hAnsiTheme="minorHAnsi" w:cstheme="minorHAnsi"/>
          <w:iCs/>
          <w:sz w:val="26"/>
          <w:szCs w:val="26"/>
        </w:rPr>
        <w:t>N</w:t>
      </w:r>
      <w:r w:rsidR="006B6C08" w:rsidRPr="000F0D8B">
        <w:rPr>
          <w:rFonts w:asciiTheme="minorHAnsi" w:eastAsia="Calibri" w:hAnsiTheme="minorHAnsi" w:cstheme="minorHAnsi"/>
          <w:iCs/>
          <w:sz w:val="26"/>
          <w:szCs w:val="26"/>
        </w:rPr>
        <w:t xml:space="preserve">ațională de </w:t>
      </w:r>
      <w:r w:rsidRPr="000F0D8B">
        <w:rPr>
          <w:rFonts w:asciiTheme="minorHAnsi" w:eastAsia="Calibri" w:hAnsiTheme="minorHAnsi" w:cstheme="minorHAnsi"/>
          <w:iCs/>
          <w:sz w:val="26"/>
          <w:szCs w:val="26"/>
        </w:rPr>
        <w:t>G</w:t>
      </w:r>
      <w:r w:rsidR="006B6C08" w:rsidRPr="000F0D8B">
        <w:rPr>
          <w:rFonts w:asciiTheme="minorHAnsi" w:eastAsia="Calibri" w:hAnsiTheme="minorHAnsi" w:cstheme="minorHAnsi"/>
          <w:iCs/>
          <w:sz w:val="26"/>
          <w:szCs w:val="26"/>
        </w:rPr>
        <w:t>refieri</w:t>
      </w:r>
      <w:r w:rsidRPr="000F0D8B">
        <w:rPr>
          <w:rFonts w:asciiTheme="minorHAnsi" w:eastAsia="Calibri" w:hAnsiTheme="minorHAnsi" w:cstheme="minorHAnsi"/>
          <w:iCs/>
          <w:sz w:val="26"/>
          <w:szCs w:val="26"/>
        </w:rPr>
        <w:t xml:space="preserve"> a statutului de membru asociat al E</w:t>
      </w:r>
      <w:r w:rsidR="007755BC"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J</w:t>
      </w:r>
      <w:r w:rsidR="007755BC"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T</w:t>
      </w:r>
      <w:r w:rsidR="007755BC"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N</w:t>
      </w:r>
      <w:r w:rsidR="007755BC"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xml:space="preserve"> a permis accesarea programelor internaționale de formare ale rețelei de către personalul auxiliar din instanțe și parchete, ceea ce a reprezentat un pas însemnat înainte în domeniul formării acestor profesioniști ai dreptului din țara noastră, a căror importantă contribuție la înfăptuirea unui act de justiție de calitate este de necontestat.</w:t>
      </w:r>
    </w:p>
    <w:p w14:paraId="128A0377" w14:textId="2CB2A487" w:rsidR="00D40F2A" w:rsidRPr="000F0D8B" w:rsidRDefault="00D40F2A" w:rsidP="009E3AD8">
      <w:pPr>
        <w:spacing w:line="276" w:lineRule="auto"/>
        <w:ind w:firstLine="720"/>
        <w:jc w:val="both"/>
        <w:rPr>
          <w:rFonts w:asciiTheme="minorHAnsi" w:eastAsia="Calibri" w:hAnsiTheme="minorHAnsi" w:cstheme="minorHAnsi"/>
          <w:iCs/>
          <w:sz w:val="26"/>
          <w:szCs w:val="26"/>
        </w:rPr>
      </w:pPr>
      <w:r w:rsidRPr="000F0D8B">
        <w:rPr>
          <w:rFonts w:asciiTheme="minorHAnsi" w:eastAsia="Calibri" w:hAnsiTheme="minorHAnsi" w:cstheme="minorHAnsi"/>
          <w:iCs/>
          <w:sz w:val="26"/>
          <w:szCs w:val="26"/>
        </w:rPr>
        <w:t>Participarea grefierilor români la evenimentele de formare judiciară organizate de către E</w:t>
      </w:r>
      <w:r w:rsidR="000F788F"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J</w:t>
      </w:r>
      <w:r w:rsidR="000F788F"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T</w:t>
      </w:r>
      <w:r w:rsidR="000F788F"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N</w:t>
      </w:r>
      <w:r w:rsidR="000F788F"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xml:space="preserve"> reprezintă un pilon important al formării acestora în mai multe domenii, precum cooperarea internațională în materie civilă și penală și dreptul Uniunii Europene. Totodată, schimbul de informații privind atribuțiile de zi cu zi ale grefierilor din spațiul european, procedurile judiciare existente la nivelul fiecărui stat membru reprezintă o oportunitate pentru grefierii români să se familiarizeze cu diferitele sisteme de drept în scopul îmbunătățirii rezultate</w:t>
      </w:r>
      <w:r w:rsidR="00CA1DA5">
        <w:rPr>
          <w:rFonts w:asciiTheme="minorHAnsi" w:eastAsia="Calibri" w:hAnsiTheme="minorHAnsi" w:cstheme="minorHAnsi"/>
          <w:iCs/>
          <w:sz w:val="26"/>
          <w:szCs w:val="26"/>
        </w:rPr>
        <w:t>lor</w:t>
      </w:r>
      <w:r w:rsidRPr="000F0D8B">
        <w:rPr>
          <w:rFonts w:asciiTheme="minorHAnsi" w:eastAsia="Calibri" w:hAnsiTheme="minorHAnsi" w:cstheme="minorHAnsi"/>
          <w:iCs/>
          <w:sz w:val="26"/>
          <w:szCs w:val="26"/>
        </w:rPr>
        <w:t>.</w:t>
      </w:r>
    </w:p>
    <w:p w14:paraId="53B39A4F" w14:textId="3CA65DE5" w:rsidR="00D40F2A" w:rsidRPr="000F0D8B" w:rsidRDefault="00D40F2A" w:rsidP="009E3AD8">
      <w:pPr>
        <w:spacing w:line="276" w:lineRule="auto"/>
        <w:ind w:firstLine="720"/>
        <w:jc w:val="both"/>
        <w:rPr>
          <w:rFonts w:asciiTheme="minorHAnsi" w:eastAsia="Calibri" w:hAnsiTheme="minorHAnsi" w:cstheme="minorHAnsi"/>
          <w:iCs/>
          <w:sz w:val="26"/>
          <w:szCs w:val="26"/>
        </w:rPr>
      </w:pPr>
      <w:r w:rsidRPr="000F0D8B">
        <w:rPr>
          <w:rFonts w:asciiTheme="minorHAnsi" w:eastAsia="Calibri" w:hAnsiTheme="minorHAnsi" w:cstheme="minorHAnsi"/>
          <w:iCs/>
          <w:sz w:val="26"/>
          <w:szCs w:val="26"/>
        </w:rPr>
        <w:t xml:space="preserve">Pentru a-și atinge aceste obiective, </w:t>
      </w:r>
      <w:r w:rsidR="00F540C3">
        <w:rPr>
          <w:rFonts w:asciiTheme="minorHAnsi" w:eastAsia="Calibri" w:hAnsiTheme="minorHAnsi" w:cstheme="minorHAnsi"/>
          <w:iCs/>
          <w:sz w:val="26"/>
          <w:szCs w:val="26"/>
        </w:rPr>
        <w:t xml:space="preserve">S.N.G. </w:t>
      </w:r>
      <w:r w:rsidRPr="000F0D8B">
        <w:rPr>
          <w:rFonts w:asciiTheme="minorHAnsi" w:eastAsia="Calibri" w:hAnsiTheme="minorHAnsi" w:cstheme="minorHAnsi"/>
          <w:iCs/>
          <w:sz w:val="26"/>
          <w:szCs w:val="26"/>
        </w:rPr>
        <w:t xml:space="preserve">a fost reprezentată în cursul anului 2025 la Adunarea Generală a Rețelei Europene de Formare Judiciară găzduită, sub </w:t>
      </w:r>
      <w:r w:rsidR="00F540C3">
        <w:rPr>
          <w:rFonts w:asciiTheme="minorHAnsi" w:eastAsia="Calibri" w:hAnsiTheme="minorHAnsi" w:cstheme="minorHAnsi"/>
          <w:iCs/>
          <w:sz w:val="26"/>
          <w:szCs w:val="26"/>
        </w:rPr>
        <w:t>p</w:t>
      </w:r>
      <w:r w:rsidRPr="000F0D8B">
        <w:rPr>
          <w:rFonts w:asciiTheme="minorHAnsi" w:eastAsia="Calibri" w:hAnsiTheme="minorHAnsi" w:cstheme="minorHAnsi"/>
          <w:iCs/>
          <w:sz w:val="26"/>
          <w:szCs w:val="26"/>
        </w:rPr>
        <w:t xml:space="preserve">reședinția poloneză a Consiliului Uniunii Europene, de către Școala Națională de Magistratură și Ministerul Public din Polonia, ce a avut loc la Gdańsk, Polonia, în perioada 11 </w:t>
      </w:r>
      <w:r w:rsidR="004B1EB0">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xml:space="preserve"> 12</w:t>
      </w:r>
      <w:r w:rsidR="004B1EB0">
        <w:rPr>
          <w:rFonts w:asciiTheme="minorHAnsi" w:eastAsia="Calibri" w:hAnsiTheme="minorHAnsi" w:cstheme="minorHAnsi"/>
          <w:iCs/>
          <w:sz w:val="26"/>
          <w:szCs w:val="26"/>
        </w:rPr>
        <w:t xml:space="preserve"> iunie </w:t>
      </w:r>
      <w:r w:rsidRPr="000F0D8B">
        <w:rPr>
          <w:rFonts w:asciiTheme="minorHAnsi" w:eastAsia="Calibri" w:hAnsiTheme="minorHAnsi" w:cstheme="minorHAnsi"/>
          <w:iCs/>
          <w:sz w:val="26"/>
          <w:szCs w:val="26"/>
        </w:rPr>
        <w:t>2025.</w:t>
      </w:r>
    </w:p>
    <w:p w14:paraId="2C33BDBD" w14:textId="3B87C4C0" w:rsidR="00D40F2A" w:rsidRPr="000F0D8B" w:rsidRDefault="00D40F2A" w:rsidP="009E3AD8">
      <w:pPr>
        <w:spacing w:line="276" w:lineRule="auto"/>
        <w:ind w:firstLine="720"/>
        <w:jc w:val="both"/>
        <w:rPr>
          <w:rFonts w:asciiTheme="minorHAnsi" w:eastAsia="Calibri" w:hAnsiTheme="minorHAnsi" w:cstheme="minorHAnsi"/>
          <w:iCs/>
          <w:sz w:val="26"/>
          <w:szCs w:val="26"/>
        </w:rPr>
      </w:pPr>
      <w:r w:rsidRPr="000F0D8B">
        <w:rPr>
          <w:rFonts w:asciiTheme="minorHAnsi" w:eastAsia="Calibri" w:hAnsiTheme="minorHAnsi" w:cstheme="minorHAnsi"/>
          <w:iCs/>
          <w:sz w:val="26"/>
          <w:szCs w:val="26"/>
        </w:rPr>
        <w:t>În cadrul întâlnirii au fost abordate aspecte legate de votarea amendamentelor la Statutul E</w:t>
      </w:r>
      <w:r w:rsidR="00050EA4"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J</w:t>
      </w:r>
      <w:r w:rsidR="00050EA4"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T</w:t>
      </w:r>
      <w:r w:rsidR="00050EA4"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N</w:t>
      </w:r>
      <w:r w:rsidR="00050EA4"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xml:space="preserve">, care vizează, inclusiv, modificări ale statutului membrilor asociați. De asemenea, au fost </w:t>
      </w:r>
      <w:r w:rsidRPr="000F0D8B">
        <w:rPr>
          <w:rFonts w:asciiTheme="minorHAnsi" w:eastAsia="Calibri" w:hAnsiTheme="minorHAnsi" w:cstheme="minorHAnsi"/>
          <w:iCs/>
          <w:sz w:val="26"/>
          <w:szCs w:val="26"/>
        </w:rPr>
        <w:lastRenderedPageBreak/>
        <w:t>discutate aspecte privind alegerea diferitelor structuri de conducere ale rețelei, precum Secretarul General al E</w:t>
      </w:r>
      <w:r w:rsidR="00050EA4"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J</w:t>
      </w:r>
      <w:r w:rsidR="00050EA4"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T</w:t>
      </w:r>
      <w:r w:rsidR="00050EA4"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N</w:t>
      </w:r>
      <w:r w:rsidR="00050EA4"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Comitetul de coordonare și grupurile de lucru, precum și stabilirea taxelor de membru și membru asociat, alături de aprobarea bugetului pentru anul 2026.</w:t>
      </w:r>
    </w:p>
    <w:p w14:paraId="5802CADC" w14:textId="2CF1C028" w:rsidR="00D40F2A" w:rsidRPr="000F0D8B" w:rsidRDefault="00D40F2A" w:rsidP="009E3AD8">
      <w:pPr>
        <w:spacing w:line="276" w:lineRule="auto"/>
        <w:ind w:firstLine="720"/>
        <w:jc w:val="both"/>
        <w:rPr>
          <w:rFonts w:asciiTheme="minorHAnsi" w:eastAsia="Calibri" w:hAnsiTheme="minorHAnsi" w:cstheme="minorHAnsi"/>
          <w:iCs/>
          <w:sz w:val="26"/>
          <w:szCs w:val="26"/>
        </w:rPr>
      </w:pPr>
      <w:r w:rsidRPr="000F0D8B">
        <w:rPr>
          <w:rFonts w:asciiTheme="minorHAnsi" w:eastAsia="Calibri" w:hAnsiTheme="minorHAnsi" w:cstheme="minorHAnsi"/>
          <w:iCs/>
          <w:sz w:val="26"/>
          <w:szCs w:val="26"/>
        </w:rPr>
        <w:t xml:space="preserve">Totodată, cu ocazia participării la Adunarea Generală, </w:t>
      </w:r>
      <w:r w:rsidR="00F540C3">
        <w:rPr>
          <w:rFonts w:asciiTheme="minorHAnsi" w:eastAsia="Calibri" w:hAnsiTheme="minorHAnsi" w:cstheme="minorHAnsi"/>
          <w:iCs/>
          <w:sz w:val="26"/>
          <w:szCs w:val="26"/>
        </w:rPr>
        <w:t xml:space="preserve">S.N.G. </w:t>
      </w:r>
      <w:r w:rsidRPr="000F0D8B">
        <w:rPr>
          <w:rFonts w:asciiTheme="minorHAnsi" w:eastAsia="Calibri" w:hAnsiTheme="minorHAnsi" w:cstheme="minorHAnsi"/>
          <w:iCs/>
          <w:sz w:val="26"/>
          <w:szCs w:val="26"/>
        </w:rPr>
        <w:t>și-a anunțat candidatura pentru a participa activ, în următorii ani, la lucrările grupurilor de lucru organizate în cadrul E</w:t>
      </w:r>
      <w:r w:rsidR="00722044"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J</w:t>
      </w:r>
      <w:r w:rsidR="00722044"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T</w:t>
      </w:r>
      <w:r w:rsidR="00722044"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N</w:t>
      </w:r>
      <w:r w:rsidR="00722044"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respectiv:</w:t>
      </w:r>
    </w:p>
    <w:p w14:paraId="7E2D3388" w14:textId="77777777" w:rsidR="00D40F2A" w:rsidRPr="000F0D8B" w:rsidRDefault="00D40F2A" w:rsidP="009E3AD8">
      <w:pPr>
        <w:spacing w:line="276" w:lineRule="auto"/>
        <w:ind w:firstLine="426"/>
        <w:jc w:val="both"/>
        <w:rPr>
          <w:rFonts w:asciiTheme="minorHAnsi" w:eastAsia="Calibri" w:hAnsiTheme="minorHAnsi" w:cstheme="minorHAnsi"/>
          <w:iCs/>
          <w:sz w:val="26"/>
          <w:szCs w:val="26"/>
        </w:rPr>
      </w:pPr>
      <w:r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ab/>
        <w:t>WG Exchange Programme – grup de lucru privind schimbul de grefieri între statele membre;</w:t>
      </w:r>
    </w:p>
    <w:p w14:paraId="271EF1E7" w14:textId="60059EB0" w:rsidR="00D40F2A" w:rsidRPr="000F0D8B" w:rsidRDefault="00D40F2A" w:rsidP="009E3AD8">
      <w:pPr>
        <w:spacing w:line="276" w:lineRule="auto"/>
        <w:ind w:firstLine="426"/>
        <w:jc w:val="both"/>
        <w:rPr>
          <w:rFonts w:asciiTheme="minorHAnsi" w:eastAsia="Calibri" w:hAnsiTheme="minorHAnsi" w:cstheme="minorHAnsi"/>
          <w:iCs/>
          <w:sz w:val="26"/>
          <w:szCs w:val="26"/>
        </w:rPr>
      </w:pPr>
      <w:r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ab/>
        <w:t>WG Programmes – grup de lucru privind programele de formare derulate de către E</w:t>
      </w:r>
      <w:r w:rsidR="00722044"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J</w:t>
      </w:r>
      <w:r w:rsidR="00722044"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T</w:t>
      </w:r>
      <w:r w:rsidR="00722044"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N</w:t>
      </w:r>
      <w:r w:rsidR="00722044"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w:t>
      </w:r>
    </w:p>
    <w:p w14:paraId="6932EA61" w14:textId="77777777" w:rsidR="00D40F2A" w:rsidRPr="000F0D8B" w:rsidRDefault="00D40F2A" w:rsidP="009E3AD8">
      <w:pPr>
        <w:spacing w:line="276" w:lineRule="auto"/>
        <w:ind w:firstLine="426"/>
        <w:jc w:val="both"/>
        <w:rPr>
          <w:rFonts w:asciiTheme="minorHAnsi" w:eastAsia="Calibri" w:hAnsiTheme="minorHAnsi" w:cstheme="minorHAnsi"/>
          <w:iCs/>
          <w:sz w:val="26"/>
          <w:szCs w:val="26"/>
        </w:rPr>
      </w:pPr>
      <w:r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ab/>
        <w:t>SWG Civil – subgrup de lucru pentru organizarea de seminare în materie civilă;</w:t>
      </w:r>
    </w:p>
    <w:p w14:paraId="615685AB" w14:textId="77777777" w:rsidR="00D40F2A" w:rsidRPr="000F0D8B" w:rsidRDefault="00D40F2A" w:rsidP="009E3AD8">
      <w:pPr>
        <w:spacing w:line="276" w:lineRule="auto"/>
        <w:ind w:firstLine="426"/>
        <w:jc w:val="both"/>
        <w:rPr>
          <w:rFonts w:asciiTheme="minorHAnsi" w:eastAsia="Calibri" w:hAnsiTheme="minorHAnsi" w:cstheme="minorHAnsi"/>
          <w:iCs/>
          <w:sz w:val="26"/>
          <w:szCs w:val="26"/>
        </w:rPr>
      </w:pPr>
      <w:r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ab/>
        <w:t>SWG Criminal – subgrup de lucru pentru organizarea de seminare în materie penală;</w:t>
      </w:r>
    </w:p>
    <w:p w14:paraId="4F52E9AE" w14:textId="77777777" w:rsidR="00D40F2A" w:rsidRPr="000F0D8B" w:rsidRDefault="00D40F2A" w:rsidP="009E3AD8">
      <w:pPr>
        <w:spacing w:line="276" w:lineRule="auto"/>
        <w:ind w:firstLine="426"/>
        <w:jc w:val="both"/>
        <w:rPr>
          <w:rFonts w:asciiTheme="minorHAnsi" w:eastAsia="Calibri" w:hAnsiTheme="minorHAnsi" w:cstheme="minorHAnsi"/>
          <w:iCs/>
          <w:sz w:val="26"/>
          <w:szCs w:val="26"/>
        </w:rPr>
      </w:pPr>
      <w:r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ab/>
        <w:t>WG Judicial Training Methods – grup de lucru pentru dezvoltarea metodelor de predare;</w:t>
      </w:r>
    </w:p>
    <w:p w14:paraId="3ADB9C04" w14:textId="77777777" w:rsidR="00D40F2A" w:rsidRPr="000F0D8B" w:rsidRDefault="00D40F2A" w:rsidP="009E3AD8">
      <w:pPr>
        <w:spacing w:line="276" w:lineRule="auto"/>
        <w:ind w:firstLine="426"/>
        <w:jc w:val="both"/>
        <w:rPr>
          <w:rFonts w:asciiTheme="minorHAnsi" w:eastAsia="Calibri" w:hAnsiTheme="minorHAnsi" w:cstheme="minorHAnsi"/>
          <w:iCs/>
          <w:sz w:val="26"/>
          <w:szCs w:val="26"/>
        </w:rPr>
      </w:pPr>
      <w:r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ab/>
        <w:t>WG Digitalisation – grup de lucru pentru dezvoltarea de activități în domeniul digitalizării.</w:t>
      </w:r>
    </w:p>
    <w:p w14:paraId="15FD1D32" w14:textId="1B60775C" w:rsidR="00D40F2A" w:rsidRPr="000F0D8B" w:rsidRDefault="00D40F2A" w:rsidP="009E3AD8">
      <w:pPr>
        <w:spacing w:line="276" w:lineRule="auto"/>
        <w:ind w:firstLine="720"/>
        <w:jc w:val="both"/>
        <w:rPr>
          <w:rFonts w:asciiTheme="minorHAnsi" w:eastAsia="Calibri" w:hAnsiTheme="minorHAnsi" w:cstheme="minorHAnsi"/>
          <w:iCs/>
          <w:sz w:val="26"/>
          <w:szCs w:val="26"/>
        </w:rPr>
      </w:pPr>
      <w:r w:rsidRPr="000F0D8B">
        <w:rPr>
          <w:rFonts w:asciiTheme="minorHAnsi" w:eastAsia="Calibri" w:hAnsiTheme="minorHAnsi" w:cstheme="minorHAnsi"/>
          <w:iCs/>
          <w:sz w:val="26"/>
          <w:szCs w:val="26"/>
        </w:rPr>
        <w:t xml:space="preserve">De asemenea, </w:t>
      </w:r>
      <w:r w:rsidR="00F540C3">
        <w:rPr>
          <w:rFonts w:asciiTheme="minorHAnsi" w:eastAsia="Calibri" w:hAnsiTheme="minorHAnsi" w:cstheme="minorHAnsi"/>
          <w:iCs/>
          <w:sz w:val="26"/>
          <w:szCs w:val="26"/>
        </w:rPr>
        <w:t xml:space="preserve">S.N.G. </w:t>
      </w:r>
      <w:r w:rsidRPr="000F0D8B">
        <w:rPr>
          <w:rFonts w:asciiTheme="minorHAnsi" w:eastAsia="Calibri" w:hAnsiTheme="minorHAnsi" w:cstheme="minorHAnsi"/>
          <w:iCs/>
          <w:sz w:val="26"/>
          <w:szCs w:val="26"/>
        </w:rPr>
        <w:t>a fost reprezentată la Conferința Directorilor organizată de E</w:t>
      </w:r>
      <w:r w:rsidR="00680F08"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J</w:t>
      </w:r>
      <w:r w:rsidR="00680F08"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T</w:t>
      </w:r>
      <w:r w:rsidR="00680F08"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N</w:t>
      </w:r>
      <w:r w:rsidR="00680F08"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xml:space="preserve"> și găzduită de Școala Națională de Magistratură din Franța, desfășurată la Bordeaux, în perioada 14 </w:t>
      </w:r>
      <w:r w:rsidR="004E6D70"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xml:space="preserve"> 15</w:t>
      </w:r>
      <w:r w:rsidR="004B1EB0">
        <w:rPr>
          <w:rFonts w:asciiTheme="minorHAnsi" w:eastAsia="Calibri" w:hAnsiTheme="minorHAnsi" w:cstheme="minorHAnsi"/>
          <w:iCs/>
          <w:sz w:val="26"/>
          <w:szCs w:val="26"/>
        </w:rPr>
        <w:t xml:space="preserve"> octombrie </w:t>
      </w:r>
      <w:r w:rsidRPr="000F0D8B">
        <w:rPr>
          <w:rFonts w:asciiTheme="minorHAnsi" w:eastAsia="Calibri" w:hAnsiTheme="minorHAnsi" w:cstheme="minorHAnsi"/>
          <w:iCs/>
          <w:sz w:val="26"/>
          <w:szCs w:val="26"/>
        </w:rPr>
        <w:t>2025. Acest eveniment de nivel înalt s-a concentrat pe conturarea viitorului formării judiciare europene prin intermediul a trei teme strategice – securitate, transformare prin adoptarea digitalizării și a inteligenței artificiale și reziliență democratică – care vor ghida elaborarea următorului plan strategic al E</w:t>
      </w:r>
      <w:r w:rsidR="004E6D70"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J</w:t>
      </w:r>
      <w:r w:rsidR="004E6D70"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T</w:t>
      </w:r>
      <w:r w:rsidR="004E6D70"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N</w:t>
      </w:r>
      <w:r w:rsidR="004E6D70"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abordând provocările contemporane în formarea judiciară și consolidând Spațiul European de Justiție.</w:t>
      </w:r>
    </w:p>
    <w:p w14:paraId="2A55D58A" w14:textId="58457601" w:rsidR="00D40F2A" w:rsidRPr="000F0D8B" w:rsidRDefault="00D40F2A" w:rsidP="009E3AD8">
      <w:pPr>
        <w:spacing w:line="276" w:lineRule="auto"/>
        <w:ind w:firstLine="720"/>
        <w:jc w:val="both"/>
        <w:rPr>
          <w:rFonts w:asciiTheme="minorHAnsi" w:eastAsia="Calibri" w:hAnsiTheme="minorHAnsi" w:cstheme="minorHAnsi"/>
          <w:iCs/>
          <w:sz w:val="26"/>
          <w:szCs w:val="26"/>
        </w:rPr>
      </w:pPr>
      <w:r w:rsidRPr="000F0D8B">
        <w:rPr>
          <w:rFonts w:asciiTheme="minorHAnsi" w:eastAsia="Calibri" w:hAnsiTheme="minorHAnsi" w:cstheme="minorHAnsi"/>
          <w:iCs/>
          <w:sz w:val="26"/>
          <w:szCs w:val="26"/>
        </w:rPr>
        <w:t>În considerarea calității de membru în grupurile și subgrupurile de lucru E</w:t>
      </w:r>
      <w:r w:rsidR="00051694"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J</w:t>
      </w:r>
      <w:r w:rsidR="00051694"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T</w:t>
      </w:r>
      <w:r w:rsidR="00051694"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N</w:t>
      </w:r>
      <w:r w:rsidR="00051694"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xml:space="preserve">, </w:t>
      </w:r>
      <w:r w:rsidR="0022788C">
        <w:rPr>
          <w:rFonts w:asciiTheme="minorHAnsi" w:eastAsia="Calibri" w:hAnsiTheme="minorHAnsi" w:cstheme="minorHAnsi"/>
          <w:iCs/>
          <w:sz w:val="26"/>
          <w:szCs w:val="26"/>
        </w:rPr>
        <w:t xml:space="preserve">S.N.G. a </w:t>
      </w:r>
      <w:r w:rsidRPr="000F0D8B">
        <w:rPr>
          <w:rFonts w:asciiTheme="minorHAnsi" w:eastAsia="Calibri" w:hAnsiTheme="minorHAnsi" w:cstheme="minorHAnsi"/>
          <w:iCs/>
          <w:sz w:val="26"/>
          <w:szCs w:val="26"/>
        </w:rPr>
        <w:t>asigurat participarea, prin reprezentanți, la reuniunile de lucru care au avut loc atât fizic, cât și online, pe parcursul anului 2025.</w:t>
      </w:r>
    </w:p>
    <w:p w14:paraId="39EDE8D3" w14:textId="3958A503" w:rsidR="00D40F2A" w:rsidRPr="000F0D8B" w:rsidRDefault="00D40F2A" w:rsidP="009E3AD8">
      <w:pPr>
        <w:spacing w:line="276" w:lineRule="auto"/>
        <w:ind w:firstLine="720"/>
        <w:jc w:val="both"/>
        <w:rPr>
          <w:rFonts w:asciiTheme="minorHAnsi" w:eastAsia="Calibri" w:hAnsiTheme="minorHAnsi" w:cstheme="minorHAnsi"/>
          <w:iCs/>
          <w:sz w:val="26"/>
          <w:szCs w:val="26"/>
        </w:rPr>
      </w:pPr>
      <w:r w:rsidRPr="000F0D8B">
        <w:rPr>
          <w:rFonts w:asciiTheme="minorHAnsi" w:eastAsia="Calibri" w:hAnsiTheme="minorHAnsi" w:cstheme="minorHAnsi"/>
          <w:iCs/>
          <w:sz w:val="26"/>
          <w:szCs w:val="26"/>
        </w:rPr>
        <w:t>Astfel, la data de 6 octombrie 2025 a avut loc, în format online, Întâlnirea Punctelor Naționale de Contact, în cadrul căreia au fost prezentate atât noutățile de la nivelul Grupurilor Rețelei Europene de Formare Judiciară, cât și dificultățile cu care acestea se confruntă. Totodată, a fost prezentat Catalogul activităților E</w:t>
      </w:r>
      <w:r w:rsidR="00380D05"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J</w:t>
      </w:r>
      <w:r w:rsidR="00380D05"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T</w:t>
      </w:r>
      <w:r w:rsidR="00380D05"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N</w:t>
      </w:r>
      <w:r w:rsidR="00380D05"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xml:space="preserve"> pentru anul 2026, care </w:t>
      </w:r>
      <w:r w:rsidR="00111643">
        <w:rPr>
          <w:rFonts w:asciiTheme="minorHAnsi" w:eastAsia="Calibri" w:hAnsiTheme="minorHAnsi" w:cstheme="minorHAnsi"/>
          <w:iCs/>
          <w:sz w:val="26"/>
          <w:szCs w:val="26"/>
        </w:rPr>
        <w:t xml:space="preserve">a fost </w:t>
      </w:r>
      <w:r w:rsidRPr="000F0D8B">
        <w:rPr>
          <w:rFonts w:asciiTheme="minorHAnsi" w:eastAsia="Calibri" w:hAnsiTheme="minorHAnsi" w:cstheme="minorHAnsi"/>
          <w:iCs/>
          <w:sz w:val="26"/>
          <w:szCs w:val="26"/>
        </w:rPr>
        <w:t>publicat la finalul lunii octombrie</w:t>
      </w:r>
      <w:r w:rsidR="00111643">
        <w:rPr>
          <w:rFonts w:asciiTheme="minorHAnsi" w:eastAsia="Calibri" w:hAnsiTheme="minorHAnsi" w:cstheme="minorHAnsi"/>
          <w:iCs/>
          <w:sz w:val="26"/>
          <w:szCs w:val="26"/>
        </w:rPr>
        <w:t xml:space="preserve"> 2025</w:t>
      </w:r>
      <w:r w:rsidRPr="000F0D8B">
        <w:rPr>
          <w:rFonts w:asciiTheme="minorHAnsi" w:eastAsia="Calibri" w:hAnsiTheme="minorHAnsi" w:cstheme="minorHAnsi"/>
          <w:iCs/>
          <w:sz w:val="26"/>
          <w:szCs w:val="26"/>
        </w:rPr>
        <w:t>. O parte semnificativă a întâlnirii a fost dedicată dezbaterilor privind simplificarea procedurii de înscriere la activitățile online, precum și provocărilor și problemelor pe care le-ar putea ridica aplicarea mecanismului de open registration pentru membrii E</w:t>
      </w:r>
      <w:r w:rsidR="008F6CA5"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J</w:t>
      </w:r>
      <w:r w:rsidR="008F6CA5"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T</w:t>
      </w:r>
      <w:r w:rsidR="008F6CA5"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N</w:t>
      </w:r>
      <w:r w:rsidR="008F6CA5"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w:t>
      </w:r>
    </w:p>
    <w:p w14:paraId="7709AA62" w14:textId="38194725" w:rsidR="00D40F2A" w:rsidRPr="000F0D8B" w:rsidRDefault="00111643" w:rsidP="009E3AD8">
      <w:pPr>
        <w:spacing w:line="276" w:lineRule="auto"/>
        <w:ind w:firstLine="720"/>
        <w:jc w:val="both"/>
        <w:rPr>
          <w:rFonts w:asciiTheme="minorHAnsi" w:eastAsia="Calibri" w:hAnsiTheme="minorHAnsi" w:cstheme="minorHAnsi"/>
          <w:iCs/>
          <w:sz w:val="26"/>
          <w:szCs w:val="26"/>
        </w:rPr>
      </w:pPr>
      <w:r>
        <w:rPr>
          <w:rFonts w:asciiTheme="minorHAnsi" w:eastAsia="Calibri" w:hAnsiTheme="minorHAnsi" w:cstheme="minorHAnsi"/>
          <w:iCs/>
          <w:sz w:val="26"/>
          <w:szCs w:val="26"/>
        </w:rPr>
        <w:t xml:space="preserve">S.N.G. </w:t>
      </w:r>
      <w:r w:rsidR="00D40F2A" w:rsidRPr="000F0D8B">
        <w:rPr>
          <w:rFonts w:asciiTheme="minorHAnsi" w:eastAsia="Calibri" w:hAnsiTheme="minorHAnsi" w:cstheme="minorHAnsi"/>
          <w:iCs/>
          <w:sz w:val="26"/>
          <w:szCs w:val="26"/>
        </w:rPr>
        <w:t>a fost reprezentată și la întâlnirea Grupului de lucru dedicat Programului de schimburi E</w:t>
      </w:r>
      <w:r w:rsidR="008F6CA5" w:rsidRPr="000F0D8B">
        <w:rPr>
          <w:rFonts w:asciiTheme="minorHAnsi" w:eastAsia="Calibri" w:hAnsiTheme="minorHAnsi" w:cstheme="minorHAnsi"/>
          <w:iCs/>
          <w:sz w:val="26"/>
          <w:szCs w:val="26"/>
        </w:rPr>
        <w:t>.</w:t>
      </w:r>
      <w:r w:rsidR="00D40F2A" w:rsidRPr="000F0D8B">
        <w:rPr>
          <w:rFonts w:asciiTheme="minorHAnsi" w:eastAsia="Calibri" w:hAnsiTheme="minorHAnsi" w:cstheme="minorHAnsi"/>
          <w:iCs/>
          <w:sz w:val="26"/>
          <w:szCs w:val="26"/>
        </w:rPr>
        <w:t>J</w:t>
      </w:r>
      <w:r w:rsidR="008F6CA5" w:rsidRPr="000F0D8B">
        <w:rPr>
          <w:rFonts w:asciiTheme="minorHAnsi" w:eastAsia="Calibri" w:hAnsiTheme="minorHAnsi" w:cstheme="minorHAnsi"/>
          <w:iCs/>
          <w:sz w:val="26"/>
          <w:szCs w:val="26"/>
        </w:rPr>
        <w:t>.</w:t>
      </w:r>
      <w:r w:rsidR="00D40F2A" w:rsidRPr="000F0D8B">
        <w:rPr>
          <w:rFonts w:asciiTheme="minorHAnsi" w:eastAsia="Calibri" w:hAnsiTheme="minorHAnsi" w:cstheme="minorHAnsi"/>
          <w:iCs/>
          <w:sz w:val="26"/>
          <w:szCs w:val="26"/>
        </w:rPr>
        <w:t>T</w:t>
      </w:r>
      <w:r w:rsidR="008F6CA5" w:rsidRPr="000F0D8B">
        <w:rPr>
          <w:rFonts w:asciiTheme="minorHAnsi" w:eastAsia="Calibri" w:hAnsiTheme="minorHAnsi" w:cstheme="minorHAnsi"/>
          <w:iCs/>
          <w:sz w:val="26"/>
          <w:szCs w:val="26"/>
        </w:rPr>
        <w:t>.</w:t>
      </w:r>
      <w:r w:rsidR="00D40F2A" w:rsidRPr="000F0D8B">
        <w:rPr>
          <w:rFonts w:asciiTheme="minorHAnsi" w:eastAsia="Calibri" w:hAnsiTheme="minorHAnsi" w:cstheme="minorHAnsi"/>
          <w:iCs/>
          <w:sz w:val="26"/>
          <w:szCs w:val="26"/>
        </w:rPr>
        <w:t>N</w:t>
      </w:r>
      <w:r w:rsidR="008F6CA5" w:rsidRPr="000F0D8B">
        <w:rPr>
          <w:rFonts w:asciiTheme="minorHAnsi" w:eastAsia="Calibri" w:hAnsiTheme="minorHAnsi" w:cstheme="minorHAnsi"/>
          <w:iCs/>
          <w:sz w:val="26"/>
          <w:szCs w:val="26"/>
        </w:rPr>
        <w:t>.</w:t>
      </w:r>
      <w:r w:rsidR="00D40F2A" w:rsidRPr="000F0D8B">
        <w:rPr>
          <w:rFonts w:asciiTheme="minorHAnsi" w:eastAsia="Calibri" w:hAnsiTheme="minorHAnsi" w:cstheme="minorHAnsi"/>
          <w:iCs/>
          <w:sz w:val="26"/>
          <w:szCs w:val="26"/>
        </w:rPr>
        <w:t xml:space="preserve">, care a avut loc în perioada 25 </w:t>
      </w:r>
      <w:r w:rsidR="008F6CA5" w:rsidRPr="000F0D8B">
        <w:rPr>
          <w:rFonts w:asciiTheme="minorHAnsi" w:eastAsia="Calibri" w:hAnsiTheme="minorHAnsi" w:cstheme="minorHAnsi"/>
          <w:iCs/>
          <w:sz w:val="26"/>
          <w:szCs w:val="26"/>
        </w:rPr>
        <w:t>–</w:t>
      </w:r>
      <w:r w:rsidR="00D40F2A" w:rsidRPr="000F0D8B">
        <w:rPr>
          <w:rFonts w:asciiTheme="minorHAnsi" w:eastAsia="Calibri" w:hAnsiTheme="minorHAnsi" w:cstheme="minorHAnsi"/>
          <w:iCs/>
          <w:sz w:val="26"/>
          <w:szCs w:val="26"/>
        </w:rPr>
        <w:t xml:space="preserve"> 26</w:t>
      </w:r>
      <w:r w:rsidR="00F97328">
        <w:rPr>
          <w:rFonts w:asciiTheme="minorHAnsi" w:eastAsia="Calibri" w:hAnsiTheme="minorHAnsi" w:cstheme="minorHAnsi"/>
          <w:iCs/>
          <w:sz w:val="26"/>
          <w:szCs w:val="26"/>
        </w:rPr>
        <w:t xml:space="preserve"> martie </w:t>
      </w:r>
      <w:r w:rsidR="00D40F2A" w:rsidRPr="000F0D8B">
        <w:rPr>
          <w:rFonts w:asciiTheme="minorHAnsi" w:eastAsia="Calibri" w:hAnsiTheme="minorHAnsi" w:cstheme="minorHAnsi"/>
          <w:iCs/>
          <w:sz w:val="26"/>
          <w:szCs w:val="26"/>
        </w:rPr>
        <w:t xml:space="preserve">2025, la Vilnius, </w:t>
      </w:r>
      <w:r>
        <w:rPr>
          <w:rFonts w:asciiTheme="minorHAnsi" w:eastAsia="Calibri" w:hAnsiTheme="minorHAnsi" w:cstheme="minorHAnsi"/>
          <w:iCs/>
          <w:sz w:val="26"/>
          <w:szCs w:val="26"/>
        </w:rPr>
        <w:t xml:space="preserve">în </w:t>
      </w:r>
      <w:r w:rsidR="00D40F2A" w:rsidRPr="000F0D8B">
        <w:rPr>
          <w:rFonts w:asciiTheme="minorHAnsi" w:eastAsia="Calibri" w:hAnsiTheme="minorHAnsi" w:cstheme="minorHAnsi"/>
          <w:iCs/>
          <w:sz w:val="26"/>
          <w:szCs w:val="26"/>
        </w:rPr>
        <w:t>Lituania. În cadrul întâlnirii a fost prezentat raportul privind schimburile desfășurate în anul 2024 și s-au discutat aspecte legate de organizarea activităților pentru anul 2025. Discuțiile au vizat, în special, procesul de alocare a participanților la schimburile derulate în acest an, dar și necesitatea stabilirii unor reguli simplificate pentru această procedură. Totodată, au fost abordate subiecte referitoare la programul A</w:t>
      </w:r>
      <w:r w:rsidR="008A2CC8">
        <w:rPr>
          <w:rFonts w:asciiTheme="minorHAnsi" w:eastAsia="Calibri" w:hAnsiTheme="minorHAnsi" w:cstheme="minorHAnsi"/>
          <w:iCs/>
          <w:sz w:val="26"/>
          <w:szCs w:val="26"/>
        </w:rPr>
        <w:t>.</w:t>
      </w:r>
      <w:r w:rsidR="00D40F2A" w:rsidRPr="000F0D8B">
        <w:rPr>
          <w:rFonts w:asciiTheme="minorHAnsi" w:eastAsia="Calibri" w:hAnsiTheme="minorHAnsi" w:cstheme="minorHAnsi"/>
          <w:iCs/>
          <w:sz w:val="26"/>
          <w:szCs w:val="26"/>
        </w:rPr>
        <w:t>I</w:t>
      </w:r>
      <w:r w:rsidR="008A2CC8">
        <w:rPr>
          <w:rFonts w:asciiTheme="minorHAnsi" w:eastAsia="Calibri" w:hAnsiTheme="minorHAnsi" w:cstheme="minorHAnsi"/>
          <w:iCs/>
          <w:sz w:val="26"/>
          <w:szCs w:val="26"/>
        </w:rPr>
        <w:t>.</w:t>
      </w:r>
      <w:r w:rsidR="00D40F2A" w:rsidRPr="000F0D8B">
        <w:rPr>
          <w:rFonts w:asciiTheme="minorHAnsi" w:eastAsia="Calibri" w:hAnsiTheme="minorHAnsi" w:cstheme="minorHAnsi"/>
          <w:iCs/>
          <w:sz w:val="26"/>
          <w:szCs w:val="26"/>
        </w:rPr>
        <w:t>A</w:t>
      </w:r>
      <w:r w:rsidR="008A2CC8">
        <w:rPr>
          <w:rFonts w:asciiTheme="minorHAnsi" w:eastAsia="Calibri" w:hAnsiTheme="minorHAnsi" w:cstheme="minorHAnsi"/>
          <w:iCs/>
          <w:sz w:val="26"/>
          <w:szCs w:val="26"/>
        </w:rPr>
        <w:t>.</w:t>
      </w:r>
      <w:r w:rsidR="00D40F2A" w:rsidRPr="000F0D8B">
        <w:rPr>
          <w:rFonts w:asciiTheme="minorHAnsi" w:eastAsia="Calibri" w:hAnsiTheme="minorHAnsi" w:cstheme="minorHAnsi"/>
          <w:iCs/>
          <w:sz w:val="26"/>
          <w:szCs w:val="26"/>
        </w:rPr>
        <w:t>K</w:t>
      </w:r>
      <w:r w:rsidR="008A2CC8">
        <w:rPr>
          <w:rFonts w:asciiTheme="minorHAnsi" w:eastAsia="Calibri" w:hAnsiTheme="minorHAnsi" w:cstheme="minorHAnsi"/>
          <w:iCs/>
          <w:sz w:val="26"/>
          <w:szCs w:val="26"/>
        </w:rPr>
        <w:t>.</w:t>
      </w:r>
      <w:r w:rsidR="00D40F2A" w:rsidRPr="000F0D8B">
        <w:rPr>
          <w:rFonts w:asciiTheme="minorHAnsi" w:eastAsia="Calibri" w:hAnsiTheme="minorHAnsi" w:cstheme="minorHAnsi"/>
          <w:iCs/>
          <w:sz w:val="26"/>
          <w:szCs w:val="26"/>
        </w:rPr>
        <w:t>O</w:t>
      </w:r>
      <w:r w:rsidR="008A2CC8">
        <w:rPr>
          <w:rFonts w:asciiTheme="minorHAnsi" w:eastAsia="Calibri" w:hAnsiTheme="minorHAnsi" w:cstheme="minorHAnsi"/>
          <w:iCs/>
          <w:sz w:val="26"/>
          <w:szCs w:val="26"/>
        </w:rPr>
        <w:t>.</w:t>
      </w:r>
      <w:r w:rsidR="00D40F2A" w:rsidRPr="000F0D8B">
        <w:rPr>
          <w:rFonts w:asciiTheme="minorHAnsi" w:eastAsia="Calibri" w:hAnsiTheme="minorHAnsi" w:cstheme="minorHAnsi"/>
          <w:iCs/>
          <w:sz w:val="26"/>
          <w:szCs w:val="26"/>
        </w:rPr>
        <w:t>S</w:t>
      </w:r>
      <w:r w:rsidR="008A2CC8">
        <w:rPr>
          <w:rFonts w:asciiTheme="minorHAnsi" w:eastAsia="Calibri" w:hAnsiTheme="minorHAnsi" w:cstheme="minorHAnsi"/>
          <w:iCs/>
          <w:sz w:val="26"/>
          <w:szCs w:val="26"/>
        </w:rPr>
        <w:t>.</w:t>
      </w:r>
      <w:r w:rsidR="00D40F2A" w:rsidRPr="000F0D8B">
        <w:rPr>
          <w:rFonts w:asciiTheme="minorHAnsi" w:eastAsia="Calibri" w:hAnsiTheme="minorHAnsi" w:cstheme="minorHAnsi"/>
          <w:iCs/>
          <w:sz w:val="26"/>
          <w:szCs w:val="26"/>
        </w:rPr>
        <w:t>, la schimburile bazate pe proiecte, precum și perspectivele privind organizarea activităților în anul 2026.</w:t>
      </w:r>
    </w:p>
    <w:p w14:paraId="48DA7999" w14:textId="1D5DA923" w:rsidR="00D40F2A" w:rsidRPr="000F0D8B" w:rsidRDefault="00D40F2A" w:rsidP="009E3AD8">
      <w:pPr>
        <w:spacing w:line="276" w:lineRule="auto"/>
        <w:ind w:firstLine="720"/>
        <w:jc w:val="both"/>
        <w:rPr>
          <w:rFonts w:asciiTheme="minorHAnsi" w:eastAsia="Calibri" w:hAnsiTheme="minorHAnsi" w:cstheme="minorHAnsi"/>
          <w:iCs/>
          <w:sz w:val="26"/>
          <w:szCs w:val="26"/>
        </w:rPr>
      </w:pPr>
      <w:r w:rsidRPr="000F0D8B">
        <w:rPr>
          <w:rFonts w:asciiTheme="minorHAnsi" w:eastAsia="Calibri" w:hAnsiTheme="minorHAnsi" w:cstheme="minorHAnsi"/>
          <w:iCs/>
          <w:sz w:val="26"/>
          <w:szCs w:val="26"/>
        </w:rPr>
        <w:t>La data de 24 iunie 2025 a avut loc o întâlnire extraordinară online cu membrii Grupului de lucru pentru schimburi din cadrul E</w:t>
      </w:r>
      <w:r w:rsidR="00AE4B2B"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J</w:t>
      </w:r>
      <w:r w:rsidR="00AE4B2B"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T</w:t>
      </w:r>
      <w:r w:rsidR="00AE4B2B"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N</w:t>
      </w:r>
      <w:r w:rsidR="00AE4B2B"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În cadrul întâlnirii a fost aprobat un nou format pentru schimburile bazate pe proiecte, care integrează schimburile bilaterale, schimburile regionale și programul de granturi pentru formarea în domeniul justiției într-o singură activitate. Totodată, s-</w:t>
      </w:r>
      <w:r w:rsidRPr="000F0D8B">
        <w:rPr>
          <w:rFonts w:asciiTheme="minorHAnsi" w:eastAsia="Calibri" w:hAnsiTheme="minorHAnsi" w:cstheme="minorHAnsi"/>
          <w:iCs/>
          <w:sz w:val="26"/>
          <w:szCs w:val="26"/>
        </w:rPr>
        <w:lastRenderedPageBreak/>
        <w:t>a decis c</w:t>
      </w:r>
      <w:r w:rsidR="002B548C">
        <w:rPr>
          <w:rFonts w:asciiTheme="minorHAnsi" w:eastAsia="Calibri" w:hAnsiTheme="minorHAnsi" w:cstheme="minorHAnsi"/>
          <w:iCs/>
          <w:sz w:val="26"/>
          <w:szCs w:val="26"/>
        </w:rPr>
        <w:t>ă</w:t>
      </w:r>
      <w:r w:rsidRPr="000F0D8B">
        <w:rPr>
          <w:rFonts w:asciiTheme="minorHAnsi" w:eastAsia="Calibri" w:hAnsiTheme="minorHAnsi" w:cstheme="minorHAnsi"/>
          <w:iCs/>
          <w:sz w:val="26"/>
          <w:szCs w:val="26"/>
        </w:rPr>
        <w:t>, pentru schimburile planificate în anul 2026, să se aplice proporțiile alocării din anul 2025, fiind stabilite și reguli simplificate pentru gestionarea alocărilor aferente anului 2026.</w:t>
      </w:r>
    </w:p>
    <w:p w14:paraId="0077B023" w14:textId="49884DE2" w:rsidR="00D40F2A" w:rsidRPr="000F0D8B" w:rsidRDefault="00D40F2A" w:rsidP="009E3AD8">
      <w:pPr>
        <w:spacing w:line="276" w:lineRule="auto"/>
        <w:ind w:firstLine="720"/>
        <w:jc w:val="both"/>
        <w:rPr>
          <w:rFonts w:asciiTheme="minorHAnsi" w:eastAsia="Calibri" w:hAnsiTheme="minorHAnsi" w:cstheme="minorHAnsi"/>
          <w:iCs/>
          <w:sz w:val="26"/>
          <w:szCs w:val="26"/>
        </w:rPr>
      </w:pPr>
      <w:r w:rsidRPr="000F0D8B">
        <w:rPr>
          <w:rFonts w:asciiTheme="minorHAnsi" w:eastAsia="Calibri" w:hAnsiTheme="minorHAnsi" w:cstheme="minorHAnsi"/>
          <w:iCs/>
          <w:sz w:val="26"/>
          <w:szCs w:val="26"/>
        </w:rPr>
        <w:t xml:space="preserve">În perioada 22 </w:t>
      </w:r>
      <w:r w:rsidR="000650DF"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xml:space="preserve"> 23</w:t>
      </w:r>
      <w:r w:rsidR="00071494">
        <w:rPr>
          <w:rFonts w:asciiTheme="minorHAnsi" w:eastAsia="Calibri" w:hAnsiTheme="minorHAnsi" w:cstheme="minorHAnsi"/>
          <w:iCs/>
          <w:sz w:val="26"/>
          <w:szCs w:val="26"/>
        </w:rPr>
        <w:t xml:space="preserve"> octombrie </w:t>
      </w:r>
      <w:r w:rsidRPr="000F0D8B">
        <w:rPr>
          <w:rFonts w:asciiTheme="minorHAnsi" w:eastAsia="Calibri" w:hAnsiTheme="minorHAnsi" w:cstheme="minorHAnsi"/>
          <w:iCs/>
          <w:sz w:val="26"/>
          <w:szCs w:val="26"/>
        </w:rPr>
        <w:t>2025 a avut loc, online, a doua întâlnire a Grupului de lucru pentru schimburi din cadrul E</w:t>
      </w:r>
      <w:r w:rsidR="000650DF"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J</w:t>
      </w:r>
      <w:r w:rsidR="000650DF"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T</w:t>
      </w:r>
      <w:r w:rsidR="000650DF"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N</w:t>
      </w:r>
      <w:r w:rsidR="000650DF"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În cadrul acestei întâlniri a fost prezentat raportul de către Secretarul General cu privire la concluziile Adunării Generale E</w:t>
      </w:r>
      <w:r w:rsidR="000650DF"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J</w:t>
      </w:r>
      <w:r w:rsidR="000650DF"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T</w:t>
      </w:r>
      <w:r w:rsidR="000650DF"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N</w:t>
      </w:r>
      <w:r w:rsidR="000650DF"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noul plan de acțiune și prioritățile strategice. De asemenea, au fost prezentate noutățile despre catalogul E</w:t>
      </w:r>
      <w:r w:rsidR="000650DF"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J</w:t>
      </w:r>
      <w:r w:rsidR="000650DF"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T</w:t>
      </w:r>
      <w:r w:rsidR="000650DF"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N</w:t>
      </w:r>
      <w:r w:rsidR="000650DF"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apelul pentru aplicațiile din 2026 și proiectul de compendiu al bunelor practici. Discuțiile au continuat cu programul A</w:t>
      </w:r>
      <w:r w:rsidR="008A2CC8">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I</w:t>
      </w:r>
      <w:r w:rsidR="008A2CC8">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A</w:t>
      </w:r>
      <w:r w:rsidR="008A2CC8">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K</w:t>
      </w:r>
      <w:r w:rsidR="008A2CC8">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O</w:t>
      </w:r>
      <w:r w:rsidR="008A2CC8">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S</w:t>
      </w:r>
      <w:r w:rsidR="008A2CC8">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precum și cu aspecte legate de schimburile de grefieri, selecția pentru proiectele bazate pe schimburi, perioadele de formare pe termen lung și prioritățile programului de schimb pentru 2026.</w:t>
      </w:r>
    </w:p>
    <w:p w14:paraId="0AACE21F" w14:textId="232D33E7" w:rsidR="00D40F2A" w:rsidRPr="000F0D8B" w:rsidRDefault="00D40F2A" w:rsidP="009E3AD8">
      <w:pPr>
        <w:spacing w:line="276" w:lineRule="auto"/>
        <w:ind w:firstLine="720"/>
        <w:jc w:val="both"/>
        <w:rPr>
          <w:rFonts w:asciiTheme="minorHAnsi" w:eastAsia="Calibri" w:hAnsiTheme="minorHAnsi" w:cstheme="minorHAnsi"/>
          <w:iCs/>
          <w:sz w:val="26"/>
          <w:szCs w:val="26"/>
        </w:rPr>
      </w:pPr>
      <w:r w:rsidRPr="000F0D8B">
        <w:rPr>
          <w:rFonts w:asciiTheme="minorHAnsi" w:eastAsia="Calibri" w:hAnsiTheme="minorHAnsi" w:cstheme="minorHAnsi"/>
          <w:iCs/>
          <w:sz w:val="26"/>
          <w:szCs w:val="26"/>
        </w:rPr>
        <w:t>Având în vedere activitatea principală a Grupului de lucru dedicat Programului de Schimburi E</w:t>
      </w:r>
      <w:r w:rsidR="006E18F7"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J</w:t>
      </w:r>
      <w:r w:rsidR="006E18F7"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T</w:t>
      </w:r>
      <w:r w:rsidR="006E18F7"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N</w:t>
      </w:r>
      <w:r w:rsidR="006E18F7"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xml:space="preserve">, respectiv aceea de a crea cadrul pentru realizarea schimburilor de experiență și a vizitelor de studiu, </w:t>
      </w:r>
      <w:r w:rsidR="003933B3">
        <w:rPr>
          <w:rFonts w:asciiTheme="minorHAnsi" w:eastAsia="Calibri" w:hAnsiTheme="minorHAnsi" w:cstheme="minorHAnsi"/>
          <w:iCs/>
          <w:sz w:val="26"/>
          <w:szCs w:val="26"/>
        </w:rPr>
        <w:t xml:space="preserve">S.N.G. </w:t>
      </w:r>
      <w:r w:rsidRPr="000F0D8B">
        <w:rPr>
          <w:rFonts w:asciiTheme="minorHAnsi" w:eastAsia="Calibri" w:hAnsiTheme="minorHAnsi" w:cstheme="minorHAnsi"/>
          <w:iCs/>
          <w:sz w:val="26"/>
          <w:szCs w:val="26"/>
        </w:rPr>
        <w:t>a facilitat participarea, în cursul anului 2025, a unui număr însemnat de grefieri români în cadrul acestor activități, după cum urmează:</w:t>
      </w:r>
    </w:p>
    <w:p w14:paraId="256B639B" w14:textId="32B74BE2" w:rsidR="00D40F2A" w:rsidRPr="000F0D8B" w:rsidRDefault="00D40F2A" w:rsidP="009E3AD8">
      <w:pPr>
        <w:spacing w:line="276" w:lineRule="auto"/>
        <w:ind w:firstLine="720"/>
        <w:jc w:val="both"/>
        <w:rPr>
          <w:rFonts w:asciiTheme="minorHAnsi" w:eastAsia="Calibri" w:hAnsiTheme="minorHAnsi" w:cstheme="minorHAnsi"/>
          <w:iCs/>
          <w:sz w:val="26"/>
          <w:szCs w:val="26"/>
        </w:rPr>
      </w:pPr>
      <w:r w:rsidRPr="000F0D8B">
        <w:rPr>
          <w:rFonts w:asciiTheme="minorHAnsi" w:eastAsia="Calibri" w:hAnsiTheme="minorHAnsi" w:cstheme="minorHAnsi"/>
          <w:iCs/>
          <w:sz w:val="26"/>
          <w:szCs w:val="26"/>
        </w:rPr>
        <w:t>În cadrul „Programului de schimburi generale pentru grefieri” pentru anul 2025 (ST/GEN-CS/2025) au participat 12 grefieri români, în cadrul schimburilor de grup ori individuale, la instanțe și parchete, după caz, din Cehia, Belgia, Portugalia, Italia, Grecia, Ungaria, Olanda, Finlanda, Germania, Lituania și Franța, în perioada ianuarie - noiembrie 2025. De asemenea, în cursul anului 2025, un număr de 13 grefieri</w:t>
      </w:r>
      <w:r w:rsidR="003933B3">
        <w:rPr>
          <w:rFonts w:asciiTheme="minorHAnsi" w:eastAsia="Calibri" w:hAnsiTheme="minorHAnsi" w:cstheme="minorHAnsi"/>
          <w:iCs/>
          <w:sz w:val="26"/>
          <w:szCs w:val="26"/>
        </w:rPr>
        <w:t xml:space="preserve"> </w:t>
      </w:r>
      <w:r w:rsidRPr="000F0D8B">
        <w:rPr>
          <w:rFonts w:asciiTheme="minorHAnsi" w:eastAsia="Calibri" w:hAnsiTheme="minorHAnsi" w:cstheme="minorHAnsi"/>
          <w:iCs/>
          <w:sz w:val="26"/>
          <w:szCs w:val="26"/>
        </w:rPr>
        <w:t>din Spania, Italia, Finlanda, Grecia, Croația, Portugalia, Polonia, Germania, Bulgaria și Estonia au fost primiți la instanțele judecătorești și la parchetele din România în cadrul schimburilor generale de grup adresate grefierilor.</w:t>
      </w:r>
    </w:p>
    <w:p w14:paraId="23D8F3F6" w14:textId="35D6B662" w:rsidR="00D40F2A" w:rsidRPr="000F0D8B" w:rsidRDefault="00D40F2A" w:rsidP="009E3AD8">
      <w:pPr>
        <w:spacing w:line="276" w:lineRule="auto"/>
        <w:ind w:firstLine="720"/>
        <w:jc w:val="both"/>
        <w:rPr>
          <w:rFonts w:asciiTheme="minorHAnsi" w:eastAsia="Calibri" w:hAnsiTheme="minorHAnsi" w:cstheme="minorHAnsi"/>
          <w:iCs/>
          <w:sz w:val="26"/>
          <w:szCs w:val="26"/>
        </w:rPr>
      </w:pPr>
      <w:r w:rsidRPr="000F0D8B">
        <w:rPr>
          <w:rFonts w:asciiTheme="minorHAnsi" w:eastAsia="Calibri" w:hAnsiTheme="minorHAnsi" w:cstheme="minorHAnsi"/>
          <w:iCs/>
          <w:sz w:val="26"/>
          <w:szCs w:val="26"/>
        </w:rPr>
        <w:t>În cadrul „Programului de schimburi pentru grefierii formatori” aferent anului 2025 (ST/TRAINER/2025) au participat 3 grefieri în cadrul schimburilor de grup la instanțe și instituții de formare din Grecia, Cehia și Belgia în perioada ianuarie - noiembrie 2025. Schimburile vizează familiarizarea formatorilor grefieri cu sistemele judiciare din alte state, precum și schimbul de bune practici în domeniul formării și al activității grefierilor, ca personal auxiliar din justiție.</w:t>
      </w:r>
    </w:p>
    <w:p w14:paraId="5513DA80" w14:textId="62274157" w:rsidR="00D40F2A" w:rsidRPr="002E39A3" w:rsidRDefault="00D40F2A" w:rsidP="009E3AD8">
      <w:pPr>
        <w:spacing w:line="276" w:lineRule="auto"/>
        <w:ind w:firstLine="720"/>
        <w:jc w:val="both"/>
        <w:rPr>
          <w:rFonts w:asciiTheme="minorHAnsi" w:eastAsia="Calibri" w:hAnsiTheme="minorHAnsi" w:cstheme="minorHAnsi"/>
          <w:iCs/>
          <w:sz w:val="26"/>
          <w:szCs w:val="26"/>
        </w:rPr>
      </w:pPr>
      <w:r w:rsidRPr="002E39A3">
        <w:rPr>
          <w:rFonts w:asciiTheme="minorHAnsi" w:eastAsia="Calibri" w:hAnsiTheme="minorHAnsi" w:cstheme="minorHAnsi"/>
          <w:iCs/>
          <w:sz w:val="26"/>
          <w:szCs w:val="26"/>
        </w:rPr>
        <w:t xml:space="preserve">În cadrul „Programului de schimburi pentru grefierii cu funcții de conducere” aferent anului 2025 (ST/LEADER/2025) a participat </w:t>
      </w:r>
      <w:r w:rsidR="00251AF4" w:rsidRPr="002E39A3">
        <w:rPr>
          <w:rFonts w:asciiTheme="minorHAnsi" w:eastAsia="Calibri" w:hAnsiTheme="minorHAnsi" w:cstheme="minorHAnsi"/>
          <w:iCs/>
          <w:sz w:val="26"/>
          <w:szCs w:val="26"/>
        </w:rPr>
        <w:t>1</w:t>
      </w:r>
      <w:r w:rsidRPr="002E39A3">
        <w:rPr>
          <w:rFonts w:asciiTheme="minorHAnsi" w:eastAsia="Calibri" w:hAnsiTheme="minorHAnsi" w:cstheme="minorHAnsi"/>
          <w:iCs/>
          <w:sz w:val="26"/>
          <w:szCs w:val="26"/>
        </w:rPr>
        <w:t xml:space="preserve"> grefier</w:t>
      </w:r>
      <w:r w:rsidR="00251AF4" w:rsidRPr="002E39A3">
        <w:rPr>
          <w:rFonts w:asciiTheme="minorHAnsi" w:eastAsia="Calibri" w:hAnsiTheme="minorHAnsi" w:cstheme="minorHAnsi"/>
          <w:iCs/>
          <w:sz w:val="26"/>
          <w:szCs w:val="26"/>
        </w:rPr>
        <w:t xml:space="preserve"> român</w:t>
      </w:r>
      <w:r w:rsidR="00A7497E" w:rsidRPr="002E39A3">
        <w:rPr>
          <w:rFonts w:asciiTheme="minorHAnsi" w:eastAsia="Calibri" w:hAnsiTheme="minorHAnsi" w:cstheme="minorHAnsi"/>
          <w:iCs/>
          <w:sz w:val="26"/>
          <w:szCs w:val="26"/>
        </w:rPr>
        <w:t xml:space="preserve">, </w:t>
      </w:r>
      <w:r w:rsidRPr="002E39A3">
        <w:rPr>
          <w:rFonts w:asciiTheme="minorHAnsi" w:eastAsia="Calibri" w:hAnsiTheme="minorHAnsi" w:cstheme="minorHAnsi"/>
          <w:iCs/>
          <w:sz w:val="26"/>
          <w:szCs w:val="26"/>
        </w:rPr>
        <w:t>în cadrul unui schimb de grup, la o instanță din Italia. De asemenea, 2 grefieri din Italia și Franța au fost primiți la o instanță și un parchet din România în cadrul schimburilor individuale.</w:t>
      </w:r>
    </w:p>
    <w:p w14:paraId="75B2568C" w14:textId="1E9988C8" w:rsidR="00D40F2A" w:rsidRPr="000F0D8B" w:rsidRDefault="00D40F2A" w:rsidP="009E3AD8">
      <w:pPr>
        <w:spacing w:line="276" w:lineRule="auto"/>
        <w:ind w:firstLine="720"/>
        <w:jc w:val="both"/>
        <w:rPr>
          <w:rFonts w:asciiTheme="minorHAnsi" w:eastAsia="Calibri" w:hAnsiTheme="minorHAnsi" w:cstheme="minorHAnsi"/>
          <w:iCs/>
          <w:sz w:val="26"/>
          <w:szCs w:val="26"/>
        </w:rPr>
      </w:pPr>
      <w:r w:rsidRPr="000F0D8B">
        <w:rPr>
          <w:rFonts w:asciiTheme="minorHAnsi" w:eastAsia="Calibri" w:hAnsiTheme="minorHAnsi" w:cstheme="minorHAnsi"/>
          <w:iCs/>
          <w:sz w:val="26"/>
          <w:szCs w:val="26"/>
        </w:rPr>
        <w:t>În cadrul „Programului de schimburi specializate pentru grefieri” aferent anului 2025 (ST/SPE/2025) au participat 2 grefieri, respectiv un grefier în cadrul unui schimb individual la un parchet din Italia și un grefier în cadrul unui schimb de grup la o instanță din Portugalia. Totodată, în cursul anului 2025, 4 grefieri din Italia și Germania au fost primiți la instanțele din România în cadrul schimburilor specializate de grup și individuale.</w:t>
      </w:r>
    </w:p>
    <w:p w14:paraId="55AF2C8C" w14:textId="438ECF53" w:rsidR="00D40F2A" w:rsidRPr="000F0D8B" w:rsidRDefault="00D40F2A" w:rsidP="009E3AD8">
      <w:pPr>
        <w:spacing w:line="276" w:lineRule="auto"/>
        <w:ind w:firstLine="720"/>
        <w:jc w:val="both"/>
        <w:rPr>
          <w:rFonts w:asciiTheme="minorHAnsi" w:eastAsia="Calibri" w:hAnsiTheme="minorHAnsi" w:cstheme="minorHAnsi"/>
          <w:iCs/>
          <w:sz w:val="26"/>
          <w:szCs w:val="26"/>
        </w:rPr>
      </w:pPr>
      <w:r w:rsidRPr="000F0D8B">
        <w:rPr>
          <w:rFonts w:asciiTheme="minorHAnsi" w:eastAsia="Calibri" w:hAnsiTheme="minorHAnsi" w:cstheme="minorHAnsi"/>
          <w:iCs/>
          <w:sz w:val="26"/>
          <w:szCs w:val="26"/>
        </w:rPr>
        <w:t>În cadrul vizitelor de studiu organizate de E</w:t>
      </w:r>
      <w:r w:rsidR="000E5A4C"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J</w:t>
      </w:r>
      <w:r w:rsidR="000E5A4C"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T</w:t>
      </w:r>
      <w:r w:rsidR="000E5A4C"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N</w:t>
      </w:r>
      <w:r w:rsidR="000E5A4C"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xml:space="preserve"> la Curtea de Justiție a Uniunii Europene</w:t>
      </w:r>
      <w:r w:rsidR="00497FEB">
        <w:rPr>
          <w:rFonts w:asciiTheme="minorHAnsi" w:eastAsia="Calibri" w:hAnsiTheme="minorHAnsi" w:cstheme="minorHAnsi"/>
          <w:iCs/>
          <w:sz w:val="26"/>
          <w:szCs w:val="26"/>
        </w:rPr>
        <w:t xml:space="preserve">, </w:t>
      </w:r>
      <w:r w:rsidRPr="000F0D8B">
        <w:rPr>
          <w:rFonts w:asciiTheme="minorHAnsi" w:eastAsia="Calibri" w:hAnsiTheme="minorHAnsi" w:cstheme="minorHAnsi"/>
          <w:iCs/>
          <w:sz w:val="26"/>
          <w:szCs w:val="26"/>
        </w:rPr>
        <w:t xml:space="preserve">Curtea Europeană a Drepturilor Omului, instituțiile europene (Parlamentul European, Comisia Europeană), Agenția Uniunii Europene pentru Cooperare în Materie de Justiție Penală (Eurojust), </w:t>
      </w:r>
      <w:bookmarkStart w:id="54" w:name="_Hlk212107732"/>
      <w:r w:rsidRPr="000F0D8B">
        <w:rPr>
          <w:rFonts w:asciiTheme="minorHAnsi" w:eastAsia="Calibri" w:hAnsiTheme="minorHAnsi" w:cstheme="minorHAnsi"/>
          <w:iCs/>
          <w:sz w:val="26"/>
          <w:szCs w:val="26"/>
        </w:rPr>
        <w:t>Agenția Europeană a Drepturilor Omului (F</w:t>
      </w:r>
      <w:r w:rsidR="00830BB4"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R</w:t>
      </w:r>
      <w:r w:rsidR="00830BB4"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A</w:t>
      </w:r>
      <w:r w:rsidR="00830BB4"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xml:space="preserve">), </w:t>
      </w:r>
      <w:bookmarkEnd w:id="54"/>
      <w:r w:rsidRPr="000F0D8B">
        <w:rPr>
          <w:rFonts w:asciiTheme="minorHAnsi" w:eastAsia="Calibri" w:hAnsiTheme="minorHAnsi" w:cstheme="minorHAnsi"/>
          <w:iCs/>
          <w:sz w:val="26"/>
          <w:szCs w:val="26"/>
        </w:rPr>
        <w:t>Conferința de la Haga privind Dreptul Internațional Privat (E</w:t>
      </w:r>
      <w:r w:rsidR="00166FA6"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C</w:t>
      </w:r>
      <w:r w:rsidR="00166FA6"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C</w:t>
      </w:r>
      <w:r w:rsidR="00166FA6"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H</w:t>
      </w:r>
      <w:r w:rsidR="00166FA6"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xml:space="preserve">), precum și vizita combinată la </w:t>
      </w:r>
      <w:bookmarkStart w:id="55" w:name="_Hlk212107875"/>
      <w:r w:rsidRPr="000F0D8B">
        <w:rPr>
          <w:rFonts w:asciiTheme="minorHAnsi" w:eastAsia="Calibri" w:hAnsiTheme="minorHAnsi" w:cstheme="minorHAnsi"/>
          <w:iCs/>
          <w:sz w:val="26"/>
          <w:szCs w:val="26"/>
        </w:rPr>
        <w:t>Curtea de Justiție a Uniunii Europene și Parchetul European</w:t>
      </w:r>
      <w:bookmarkEnd w:id="55"/>
      <w:r w:rsidRPr="000F0D8B">
        <w:rPr>
          <w:rFonts w:asciiTheme="minorHAnsi" w:eastAsia="Calibri" w:hAnsiTheme="minorHAnsi" w:cstheme="minorHAnsi"/>
          <w:iCs/>
          <w:sz w:val="26"/>
          <w:szCs w:val="26"/>
        </w:rPr>
        <w:t xml:space="preserve">, în perioada ianuarie - noiembrie 2025, au participat </w:t>
      </w:r>
      <w:r w:rsidR="00251AF4">
        <w:rPr>
          <w:rFonts w:asciiTheme="minorHAnsi" w:eastAsia="Calibri" w:hAnsiTheme="minorHAnsi" w:cstheme="minorHAnsi"/>
          <w:iCs/>
          <w:color w:val="FF0000"/>
          <w:sz w:val="26"/>
          <w:szCs w:val="26"/>
        </w:rPr>
        <w:t>20</w:t>
      </w:r>
      <w:r w:rsidRPr="00251AF4">
        <w:rPr>
          <w:rFonts w:asciiTheme="minorHAnsi" w:eastAsia="Calibri" w:hAnsiTheme="minorHAnsi" w:cstheme="minorHAnsi"/>
          <w:iCs/>
          <w:color w:val="FF0000"/>
          <w:sz w:val="26"/>
          <w:szCs w:val="26"/>
        </w:rPr>
        <w:t xml:space="preserve"> </w:t>
      </w:r>
      <w:r w:rsidRPr="000F0D8B">
        <w:rPr>
          <w:rFonts w:asciiTheme="minorHAnsi" w:eastAsia="Calibri" w:hAnsiTheme="minorHAnsi" w:cstheme="minorHAnsi"/>
          <w:iCs/>
          <w:sz w:val="26"/>
          <w:szCs w:val="26"/>
        </w:rPr>
        <w:t>grefieri</w:t>
      </w:r>
      <w:r w:rsidR="003311B4">
        <w:rPr>
          <w:rFonts w:asciiTheme="minorHAnsi" w:eastAsia="Calibri" w:hAnsiTheme="minorHAnsi" w:cstheme="minorHAnsi"/>
          <w:iCs/>
          <w:sz w:val="26"/>
          <w:szCs w:val="26"/>
        </w:rPr>
        <w:t xml:space="preserve"> români</w:t>
      </w:r>
      <w:r w:rsidRPr="000F0D8B">
        <w:rPr>
          <w:rFonts w:asciiTheme="minorHAnsi" w:eastAsia="Calibri" w:hAnsiTheme="minorHAnsi" w:cstheme="minorHAnsi"/>
          <w:iCs/>
          <w:sz w:val="26"/>
          <w:szCs w:val="26"/>
        </w:rPr>
        <w:t>. Organizate pentru grupuri de participanți de diferite naționalități, vizitele de studiu oferă beneficiarilor informații despre funcționarea și procedurile instituțiilor gazdă.</w:t>
      </w:r>
    </w:p>
    <w:p w14:paraId="3C4CE215" w14:textId="3BC52B4D" w:rsidR="00D40F2A" w:rsidRPr="000F0D8B" w:rsidRDefault="00497FEB" w:rsidP="009E3AD8">
      <w:pPr>
        <w:spacing w:line="276" w:lineRule="auto"/>
        <w:ind w:firstLine="720"/>
        <w:jc w:val="both"/>
        <w:rPr>
          <w:rFonts w:asciiTheme="minorHAnsi" w:eastAsia="Calibri" w:hAnsiTheme="minorHAnsi" w:cstheme="minorHAnsi"/>
          <w:iCs/>
          <w:sz w:val="26"/>
          <w:szCs w:val="26"/>
        </w:rPr>
      </w:pPr>
      <w:r>
        <w:rPr>
          <w:rFonts w:asciiTheme="minorHAnsi" w:eastAsia="Calibri" w:hAnsiTheme="minorHAnsi" w:cstheme="minorHAnsi"/>
          <w:iCs/>
          <w:sz w:val="26"/>
          <w:szCs w:val="26"/>
        </w:rPr>
        <w:lastRenderedPageBreak/>
        <w:t>S.N.G.</w:t>
      </w:r>
      <w:r w:rsidR="00D40F2A" w:rsidRPr="000F0D8B">
        <w:rPr>
          <w:rFonts w:asciiTheme="minorHAnsi" w:eastAsia="Calibri" w:hAnsiTheme="minorHAnsi" w:cstheme="minorHAnsi"/>
          <w:iCs/>
          <w:sz w:val="26"/>
          <w:szCs w:val="26"/>
        </w:rPr>
        <w:t xml:space="preserve"> a fost reprezentată, prin participarea online, la întâlnirea Grupului de lucru E</w:t>
      </w:r>
      <w:r w:rsidR="00553B2F" w:rsidRPr="000F0D8B">
        <w:rPr>
          <w:rFonts w:asciiTheme="minorHAnsi" w:eastAsia="Calibri" w:hAnsiTheme="minorHAnsi" w:cstheme="minorHAnsi"/>
          <w:iCs/>
          <w:sz w:val="26"/>
          <w:szCs w:val="26"/>
        </w:rPr>
        <w:t>.</w:t>
      </w:r>
      <w:r w:rsidR="00D40F2A" w:rsidRPr="000F0D8B">
        <w:rPr>
          <w:rFonts w:asciiTheme="minorHAnsi" w:eastAsia="Calibri" w:hAnsiTheme="minorHAnsi" w:cstheme="minorHAnsi"/>
          <w:iCs/>
          <w:sz w:val="26"/>
          <w:szCs w:val="26"/>
        </w:rPr>
        <w:t>J</w:t>
      </w:r>
      <w:r w:rsidR="00553B2F" w:rsidRPr="000F0D8B">
        <w:rPr>
          <w:rFonts w:asciiTheme="minorHAnsi" w:eastAsia="Calibri" w:hAnsiTheme="minorHAnsi" w:cstheme="minorHAnsi"/>
          <w:iCs/>
          <w:sz w:val="26"/>
          <w:szCs w:val="26"/>
        </w:rPr>
        <w:t>.</w:t>
      </w:r>
      <w:r w:rsidR="00D40F2A" w:rsidRPr="000F0D8B">
        <w:rPr>
          <w:rFonts w:asciiTheme="minorHAnsi" w:eastAsia="Calibri" w:hAnsiTheme="minorHAnsi" w:cstheme="minorHAnsi"/>
          <w:iCs/>
          <w:sz w:val="26"/>
          <w:szCs w:val="26"/>
        </w:rPr>
        <w:t>T</w:t>
      </w:r>
      <w:r w:rsidR="00553B2F" w:rsidRPr="000F0D8B">
        <w:rPr>
          <w:rFonts w:asciiTheme="minorHAnsi" w:eastAsia="Calibri" w:hAnsiTheme="minorHAnsi" w:cstheme="minorHAnsi"/>
          <w:iCs/>
          <w:sz w:val="26"/>
          <w:szCs w:val="26"/>
        </w:rPr>
        <w:t>.</w:t>
      </w:r>
      <w:r w:rsidR="00D40F2A" w:rsidRPr="000F0D8B">
        <w:rPr>
          <w:rFonts w:asciiTheme="minorHAnsi" w:eastAsia="Calibri" w:hAnsiTheme="minorHAnsi" w:cstheme="minorHAnsi"/>
          <w:iCs/>
          <w:sz w:val="26"/>
          <w:szCs w:val="26"/>
        </w:rPr>
        <w:t>N</w:t>
      </w:r>
      <w:r w:rsidR="00553B2F" w:rsidRPr="000F0D8B">
        <w:rPr>
          <w:rFonts w:asciiTheme="minorHAnsi" w:eastAsia="Calibri" w:hAnsiTheme="minorHAnsi" w:cstheme="minorHAnsi"/>
          <w:iCs/>
          <w:sz w:val="26"/>
          <w:szCs w:val="26"/>
        </w:rPr>
        <w:t>.</w:t>
      </w:r>
      <w:r w:rsidR="00D40F2A" w:rsidRPr="000F0D8B">
        <w:rPr>
          <w:rFonts w:asciiTheme="minorHAnsi" w:eastAsia="Calibri" w:hAnsiTheme="minorHAnsi" w:cstheme="minorHAnsi"/>
          <w:iCs/>
          <w:sz w:val="26"/>
          <w:szCs w:val="26"/>
        </w:rPr>
        <w:t xml:space="preserve"> „Programe”, care a avut loc la Salonic, Grecia, în perioada </w:t>
      </w:r>
      <w:r w:rsidR="000C3F48">
        <w:rPr>
          <w:rFonts w:asciiTheme="minorHAnsi" w:eastAsia="Calibri" w:hAnsiTheme="minorHAnsi" w:cstheme="minorHAnsi"/>
          <w:iCs/>
          <w:sz w:val="26"/>
          <w:szCs w:val="26"/>
        </w:rPr>
        <w:t>0</w:t>
      </w:r>
      <w:r w:rsidR="00D40F2A" w:rsidRPr="000F0D8B">
        <w:rPr>
          <w:rFonts w:asciiTheme="minorHAnsi" w:eastAsia="Calibri" w:hAnsiTheme="minorHAnsi" w:cstheme="minorHAnsi"/>
          <w:iCs/>
          <w:sz w:val="26"/>
          <w:szCs w:val="26"/>
        </w:rPr>
        <w:t xml:space="preserve">9 </w:t>
      </w:r>
      <w:r w:rsidR="00553B2F" w:rsidRPr="000F0D8B">
        <w:rPr>
          <w:rFonts w:asciiTheme="minorHAnsi" w:eastAsia="Calibri" w:hAnsiTheme="minorHAnsi" w:cstheme="minorHAnsi"/>
          <w:iCs/>
          <w:sz w:val="26"/>
          <w:szCs w:val="26"/>
        </w:rPr>
        <w:t>–</w:t>
      </w:r>
      <w:r w:rsidR="00D40F2A" w:rsidRPr="000F0D8B">
        <w:rPr>
          <w:rFonts w:asciiTheme="minorHAnsi" w:eastAsia="Calibri" w:hAnsiTheme="minorHAnsi" w:cstheme="minorHAnsi"/>
          <w:iCs/>
          <w:sz w:val="26"/>
          <w:szCs w:val="26"/>
        </w:rPr>
        <w:t xml:space="preserve"> 10</w:t>
      </w:r>
      <w:r w:rsidR="00071494">
        <w:rPr>
          <w:rFonts w:asciiTheme="minorHAnsi" w:eastAsia="Calibri" w:hAnsiTheme="minorHAnsi" w:cstheme="minorHAnsi"/>
          <w:iCs/>
          <w:sz w:val="26"/>
          <w:szCs w:val="26"/>
        </w:rPr>
        <w:t xml:space="preserve"> aprilie </w:t>
      </w:r>
      <w:r w:rsidR="00D40F2A" w:rsidRPr="000F0D8B">
        <w:rPr>
          <w:rFonts w:asciiTheme="minorHAnsi" w:eastAsia="Calibri" w:hAnsiTheme="minorHAnsi" w:cstheme="minorHAnsi"/>
          <w:iCs/>
          <w:sz w:val="26"/>
          <w:szCs w:val="26"/>
        </w:rPr>
        <w:t>2025. În cadrul acestei întâlniri s-au discutat aspecte care au rezultat din întâlnirile de lucru ale subgrupurilor și s-au luat decizii cu privire la activitatea desfășurată de acestea. Principalele puncte de discuție au vizat chestiuni legate de activitățile de formare desfășurate în cursul anului 2025, precum și modalitatea de desfășurarea a activităților din cursul anului 2026.</w:t>
      </w:r>
    </w:p>
    <w:p w14:paraId="6C8A16B1" w14:textId="2F0A009A" w:rsidR="00D40F2A" w:rsidRPr="000F0D8B" w:rsidRDefault="00D40F2A" w:rsidP="009E3AD8">
      <w:pPr>
        <w:spacing w:line="276" w:lineRule="auto"/>
        <w:ind w:firstLine="720"/>
        <w:jc w:val="both"/>
        <w:rPr>
          <w:rFonts w:asciiTheme="minorHAnsi" w:eastAsia="Calibri" w:hAnsiTheme="minorHAnsi" w:cstheme="minorHAnsi"/>
          <w:iCs/>
          <w:sz w:val="26"/>
          <w:szCs w:val="26"/>
        </w:rPr>
      </w:pPr>
      <w:r w:rsidRPr="000F0D8B">
        <w:rPr>
          <w:rFonts w:asciiTheme="minorHAnsi" w:eastAsia="Calibri" w:hAnsiTheme="minorHAnsi" w:cstheme="minorHAnsi"/>
          <w:iCs/>
          <w:sz w:val="26"/>
          <w:szCs w:val="26"/>
        </w:rPr>
        <w:t xml:space="preserve">În perioada </w:t>
      </w:r>
      <w:r w:rsidR="000C3F48">
        <w:rPr>
          <w:rFonts w:asciiTheme="minorHAnsi" w:eastAsia="Calibri" w:hAnsiTheme="minorHAnsi" w:cstheme="minorHAnsi"/>
          <w:iCs/>
          <w:sz w:val="26"/>
          <w:szCs w:val="26"/>
        </w:rPr>
        <w:t>0</w:t>
      </w:r>
      <w:r w:rsidRPr="000F0D8B">
        <w:rPr>
          <w:rFonts w:asciiTheme="minorHAnsi" w:eastAsia="Calibri" w:hAnsiTheme="minorHAnsi" w:cstheme="minorHAnsi"/>
          <w:iCs/>
          <w:sz w:val="26"/>
          <w:szCs w:val="26"/>
        </w:rPr>
        <w:t xml:space="preserve">7 </w:t>
      </w:r>
      <w:r w:rsidR="00A824B6"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xml:space="preserve"> </w:t>
      </w:r>
      <w:r w:rsidR="000C3F48">
        <w:rPr>
          <w:rFonts w:asciiTheme="minorHAnsi" w:eastAsia="Calibri" w:hAnsiTheme="minorHAnsi" w:cstheme="minorHAnsi"/>
          <w:iCs/>
          <w:sz w:val="26"/>
          <w:szCs w:val="26"/>
        </w:rPr>
        <w:t>0</w:t>
      </w:r>
      <w:r w:rsidRPr="000F0D8B">
        <w:rPr>
          <w:rFonts w:asciiTheme="minorHAnsi" w:eastAsia="Calibri" w:hAnsiTheme="minorHAnsi" w:cstheme="minorHAnsi"/>
          <w:iCs/>
          <w:sz w:val="26"/>
          <w:szCs w:val="26"/>
        </w:rPr>
        <w:t>8</w:t>
      </w:r>
      <w:r w:rsidR="00071494">
        <w:rPr>
          <w:rFonts w:asciiTheme="minorHAnsi" w:eastAsia="Calibri" w:hAnsiTheme="minorHAnsi" w:cstheme="minorHAnsi"/>
          <w:iCs/>
          <w:sz w:val="26"/>
          <w:szCs w:val="26"/>
        </w:rPr>
        <w:t xml:space="preserve"> octombrie </w:t>
      </w:r>
      <w:r w:rsidRPr="000F0D8B">
        <w:rPr>
          <w:rFonts w:asciiTheme="minorHAnsi" w:eastAsia="Calibri" w:hAnsiTheme="minorHAnsi" w:cstheme="minorHAnsi"/>
          <w:iCs/>
          <w:sz w:val="26"/>
          <w:szCs w:val="26"/>
        </w:rPr>
        <w:t>2025 a avut loc, online, cea de-a doua întâlnire a Grupului de lucru E</w:t>
      </w:r>
      <w:r w:rsidR="00A824B6"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J</w:t>
      </w:r>
      <w:r w:rsidR="00A824B6"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T</w:t>
      </w:r>
      <w:r w:rsidR="00A824B6"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N</w:t>
      </w:r>
      <w:r w:rsidR="00A824B6"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xml:space="preserve"> Programe. În cadrul întâlnirii au fost analizate aspectele rezultate din activitatea subgrupurilor și au fost adoptate decizii. S-au discutat activitățile de formare din 2025, s-au stabilit liniile directoare pentru 2026 și a fost prezentat bugetul aferent anului viitor, împreună cu modul de alocare a acestuia.</w:t>
      </w:r>
    </w:p>
    <w:p w14:paraId="0895870E" w14:textId="6C2D7F68" w:rsidR="00D40F2A" w:rsidRPr="000F0D8B" w:rsidRDefault="009C5900" w:rsidP="009E3AD8">
      <w:pPr>
        <w:spacing w:line="276" w:lineRule="auto"/>
        <w:ind w:firstLine="720"/>
        <w:jc w:val="both"/>
        <w:rPr>
          <w:rFonts w:asciiTheme="minorHAnsi" w:eastAsia="Calibri" w:hAnsiTheme="minorHAnsi" w:cstheme="minorHAnsi"/>
          <w:iCs/>
          <w:sz w:val="26"/>
          <w:szCs w:val="26"/>
        </w:rPr>
      </w:pPr>
      <w:r>
        <w:rPr>
          <w:rFonts w:asciiTheme="minorHAnsi" w:eastAsia="Calibri" w:hAnsiTheme="minorHAnsi" w:cstheme="minorHAnsi"/>
          <w:iCs/>
          <w:sz w:val="26"/>
          <w:szCs w:val="26"/>
        </w:rPr>
        <w:t xml:space="preserve">S.N.G. </w:t>
      </w:r>
      <w:r w:rsidR="00D40F2A" w:rsidRPr="000F0D8B">
        <w:rPr>
          <w:rFonts w:asciiTheme="minorHAnsi" w:eastAsia="Calibri" w:hAnsiTheme="minorHAnsi" w:cstheme="minorHAnsi"/>
          <w:iCs/>
          <w:sz w:val="26"/>
          <w:szCs w:val="26"/>
        </w:rPr>
        <w:t>a fost reprezentată și la întâlnirea subgrupului de lucru E</w:t>
      </w:r>
      <w:r w:rsidR="00A824B6" w:rsidRPr="000F0D8B">
        <w:rPr>
          <w:rFonts w:asciiTheme="minorHAnsi" w:eastAsia="Calibri" w:hAnsiTheme="minorHAnsi" w:cstheme="minorHAnsi"/>
          <w:iCs/>
          <w:sz w:val="26"/>
          <w:szCs w:val="26"/>
        </w:rPr>
        <w:t>.</w:t>
      </w:r>
      <w:r w:rsidR="00D40F2A" w:rsidRPr="000F0D8B">
        <w:rPr>
          <w:rFonts w:asciiTheme="minorHAnsi" w:eastAsia="Calibri" w:hAnsiTheme="minorHAnsi" w:cstheme="minorHAnsi"/>
          <w:iCs/>
          <w:sz w:val="26"/>
          <w:szCs w:val="26"/>
        </w:rPr>
        <w:t>J</w:t>
      </w:r>
      <w:r w:rsidR="00A824B6" w:rsidRPr="000F0D8B">
        <w:rPr>
          <w:rFonts w:asciiTheme="minorHAnsi" w:eastAsia="Calibri" w:hAnsiTheme="minorHAnsi" w:cstheme="minorHAnsi"/>
          <w:iCs/>
          <w:sz w:val="26"/>
          <w:szCs w:val="26"/>
        </w:rPr>
        <w:t>.</w:t>
      </w:r>
      <w:r w:rsidR="00D40F2A" w:rsidRPr="000F0D8B">
        <w:rPr>
          <w:rFonts w:asciiTheme="minorHAnsi" w:eastAsia="Calibri" w:hAnsiTheme="minorHAnsi" w:cstheme="minorHAnsi"/>
          <w:iCs/>
          <w:sz w:val="26"/>
          <w:szCs w:val="26"/>
        </w:rPr>
        <w:t>T</w:t>
      </w:r>
      <w:r w:rsidR="00A824B6" w:rsidRPr="000F0D8B">
        <w:rPr>
          <w:rFonts w:asciiTheme="minorHAnsi" w:eastAsia="Calibri" w:hAnsiTheme="minorHAnsi" w:cstheme="minorHAnsi"/>
          <w:iCs/>
          <w:sz w:val="26"/>
          <w:szCs w:val="26"/>
        </w:rPr>
        <w:t>.</w:t>
      </w:r>
      <w:r w:rsidR="00D40F2A" w:rsidRPr="000F0D8B">
        <w:rPr>
          <w:rFonts w:asciiTheme="minorHAnsi" w:eastAsia="Calibri" w:hAnsiTheme="minorHAnsi" w:cstheme="minorHAnsi"/>
          <w:iCs/>
          <w:sz w:val="26"/>
          <w:szCs w:val="26"/>
        </w:rPr>
        <w:t>N</w:t>
      </w:r>
      <w:r w:rsidR="00A824B6" w:rsidRPr="000F0D8B">
        <w:rPr>
          <w:rFonts w:asciiTheme="minorHAnsi" w:eastAsia="Calibri" w:hAnsiTheme="minorHAnsi" w:cstheme="minorHAnsi"/>
          <w:iCs/>
          <w:sz w:val="26"/>
          <w:szCs w:val="26"/>
        </w:rPr>
        <w:t>.</w:t>
      </w:r>
      <w:r w:rsidR="00D40F2A" w:rsidRPr="000F0D8B">
        <w:rPr>
          <w:rFonts w:asciiTheme="minorHAnsi" w:eastAsia="Calibri" w:hAnsiTheme="minorHAnsi" w:cstheme="minorHAnsi"/>
          <w:iCs/>
          <w:sz w:val="26"/>
          <w:szCs w:val="26"/>
        </w:rPr>
        <w:t xml:space="preserve"> în materie civilă, din cadrul Grupului de lucru E</w:t>
      </w:r>
      <w:r w:rsidR="00A824B6" w:rsidRPr="000F0D8B">
        <w:rPr>
          <w:rFonts w:asciiTheme="minorHAnsi" w:eastAsia="Calibri" w:hAnsiTheme="minorHAnsi" w:cstheme="minorHAnsi"/>
          <w:iCs/>
          <w:sz w:val="26"/>
          <w:szCs w:val="26"/>
        </w:rPr>
        <w:t>.</w:t>
      </w:r>
      <w:r w:rsidR="00D40F2A" w:rsidRPr="000F0D8B">
        <w:rPr>
          <w:rFonts w:asciiTheme="minorHAnsi" w:eastAsia="Calibri" w:hAnsiTheme="minorHAnsi" w:cstheme="minorHAnsi"/>
          <w:iCs/>
          <w:sz w:val="26"/>
          <w:szCs w:val="26"/>
        </w:rPr>
        <w:t>J</w:t>
      </w:r>
      <w:r w:rsidR="00A824B6" w:rsidRPr="000F0D8B">
        <w:rPr>
          <w:rFonts w:asciiTheme="minorHAnsi" w:eastAsia="Calibri" w:hAnsiTheme="minorHAnsi" w:cstheme="minorHAnsi"/>
          <w:iCs/>
          <w:sz w:val="26"/>
          <w:szCs w:val="26"/>
        </w:rPr>
        <w:t>.</w:t>
      </w:r>
      <w:r w:rsidR="00D40F2A" w:rsidRPr="000F0D8B">
        <w:rPr>
          <w:rFonts w:asciiTheme="minorHAnsi" w:eastAsia="Calibri" w:hAnsiTheme="minorHAnsi" w:cstheme="minorHAnsi"/>
          <w:iCs/>
          <w:sz w:val="26"/>
          <w:szCs w:val="26"/>
        </w:rPr>
        <w:t>T</w:t>
      </w:r>
      <w:r w:rsidR="00A824B6" w:rsidRPr="000F0D8B">
        <w:rPr>
          <w:rFonts w:asciiTheme="minorHAnsi" w:eastAsia="Calibri" w:hAnsiTheme="minorHAnsi" w:cstheme="minorHAnsi"/>
          <w:iCs/>
          <w:sz w:val="26"/>
          <w:szCs w:val="26"/>
        </w:rPr>
        <w:t>.</w:t>
      </w:r>
      <w:r w:rsidR="00D40F2A" w:rsidRPr="000F0D8B">
        <w:rPr>
          <w:rFonts w:asciiTheme="minorHAnsi" w:eastAsia="Calibri" w:hAnsiTheme="minorHAnsi" w:cstheme="minorHAnsi"/>
          <w:iCs/>
          <w:sz w:val="26"/>
          <w:szCs w:val="26"/>
        </w:rPr>
        <w:t>N</w:t>
      </w:r>
      <w:r w:rsidR="00A824B6" w:rsidRPr="000F0D8B">
        <w:rPr>
          <w:rFonts w:asciiTheme="minorHAnsi" w:eastAsia="Calibri" w:hAnsiTheme="minorHAnsi" w:cstheme="minorHAnsi"/>
          <w:iCs/>
          <w:sz w:val="26"/>
          <w:szCs w:val="26"/>
        </w:rPr>
        <w:t>.</w:t>
      </w:r>
      <w:r w:rsidR="00D40F2A" w:rsidRPr="000F0D8B">
        <w:rPr>
          <w:rFonts w:asciiTheme="minorHAnsi" w:eastAsia="Calibri" w:hAnsiTheme="minorHAnsi" w:cstheme="minorHAnsi"/>
          <w:iCs/>
          <w:sz w:val="26"/>
          <w:szCs w:val="26"/>
        </w:rPr>
        <w:t xml:space="preserve"> Programe, care a avut loc în perioada 18 </w:t>
      </w:r>
      <w:r w:rsidR="00A824B6" w:rsidRPr="000F0D8B">
        <w:rPr>
          <w:rFonts w:asciiTheme="minorHAnsi" w:eastAsia="Calibri" w:hAnsiTheme="minorHAnsi" w:cstheme="minorHAnsi"/>
          <w:iCs/>
          <w:sz w:val="26"/>
          <w:szCs w:val="26"/>
        </w:rPr>
        <w:t>–</w:t>
      </w:r>
      <w:r w:rsidR="00D40F2A" w:rsidRPr="000F0D8B">
        <w:rPr>
          <w:rFonts w:asciiTheme="minorHAnsi" w:eastAsia="Calibri" w:hAnsiTheme="minorHAnsi" w:cstheme="minorHAnsi"/>
          <w:iCs/>
          <w:sz w:val="26"/>
          <w:szCs w:val="26"/>
        </w:rPr>
        <w:t xml:space="preserve"> 19</w:t>
      </w:r>
      <w:r w:rsidR="00071494">
        <w:rPr>
          <w:rFonts w:asciiTheme="minorHAnsi" w:eastAsia="Calibri" w:hAnsiTheme="minorHAnsi" w:cstheme="minorHAnsi"/>
          <w:iCs/>
          <w:sz w:val="26"/>
          <w:szCs w:val="26"/>
        </w:rPr>
        <w:t xml:space="preserve"> februarie </w:t>
      </w:r>
      <w:r w:rsidR="00D40F2A" w:rsidRPr="000F0D8B">
        <w:rPr>
          <w:rFonts w:asciiTheme="minorHAnsi" w:eastAsia="Calibri" w:hAnsiTheme="minorHAnsi" w:cstheme="minorHAnsi"/>
          <w:iCs/>
          <w:sz w:val="26"/>
          <w:szCs w:val="26"/>
        </w:rPr>
        <w:t>2025, la Bruxelles. În cadrul acestei întâlniri a fost prezentată strategia E</w:t>
      </w:r>
      <w:r w:rsidR="00E01AB9" w:rsidRPr="000F0D8B">
        <w:rPr>
          <w:rFonts w:asciiTheme="minorHAnsi" w:eastAsia="Calibri" w:hAnsiTheme="minorHAnsi" w:cstheme="minorHAnsi"/>
          <w:iCs/>
          <w:sz w:val="26"/>
          <w:szCs w:val="26"/>
        </w:rPr>
        <w:t>.</w:t>
      </w:r>
      <w:r w:rsidR="00D40F2A" w:rsidRPr="000F0D8B">
        <w:rPr>
          <w:rFonts w:asciiTheme="minorHAnsi" w:eastAsia="Calibri" w:hAnsiTheme="minorHAnsi" w:cstheme="minorHAnsi"/>
          <w:iCs/>
          <w:sz w:val="26"/>
          <w:szCs w:val="26"/>
        </w:rPr>
        <w:t>J</w:t>
      </w:r>
      <w:r w:rsidR="00E01AB9" w:rsidRPr="000F0D8B">
        <w:rPr>
          <w:rFonts w:asciiTheme="minorHAnsi" w:eastAsia="Calibri" w:hAnsiTheme="minorHAnsi" w:cstheme="minorHAnsi"/>
          <w:iCs/>
          <w:sz w:val="26"/>
          <w:szCs w:val="26"/>
        </w:rPr>
        <w:t>.</w:t>
      </w:r>
      <w:r w:rsidR="00D40F2A" w:rsidRPr="000F0D8B">
        <w:rPr>
          <w:rFonts w:asciiTheme="minorHAnsi" w:eastAsia="Calibri" w:hAnsiTheme="minorHAnsi" w:cstheme="minorHAnsi"/>
          <w:iCs/>
          <w:sz w:val="26"/>
          <w:szCs w:val="26"/>
        </w:rPr>
        <w:t>T</w:t>
      </w:r>
      <w:r w:rsidR="00E01AB9" w:rsidRPr="000F0D8B">
        <w:rPr>
          <w:rFonts w:asciiTheme="minorHAnsi" w:eastAsia="Calibri" w:hAnsiTheme="minorHAnsi" w:cstheme="minorHAnsi"/>
          <w:iCs/>
          <w:sz w:val="26"/>
          <w:szCs w:val="26"/>
        </w:rPr>
        <w:t>.</w:t>
      </w:r>
      <w:r w:rsidR="00D40F2A" w:rsidRPr="000F0D8B">
        <w:rPr>
          <w:rFonts w:asciiTheme="minorHAnsi" w:eastAsia="Calibri" w:hAnsiTheme="minorHAnsi" w:cstheme="minorHAnsi"/>
          <w:iCs/>
          <w:sz w:val="26"/>
          <w:szCs w:val="26"/>
        </w:rPr>
        <w:t>N</w:t>
      </w:r>
      <w:r w:rsidR="00E01AB9" w:rsidRPr="000F0D8B">
        <w:rPr>
          <w:rFonts w:asciiTheme="minorHAnsi" w:eastAsia="Calibri" w:hAnsiTheme="minorHAnsi" w:cstheme="minorHAnsi"/>
          <w:iCs/>
          <w:sz w:val="26"/>
          <w:szCs w:val="26"/>
        </w:rPr>
        <w:t>.</w:t>
      </w:r>
      <w:r w:rsidR="00D40F2A" w:rsidRPr="000F0D8B">
        <w:rPr>
          <w:rFonts w:asciiTheme="minorHAnsi" w:eastAsia="Calibri" w:hAnsiTheme="minorHAnsi" w:cstheme="minorHAnsi"/>
          <w:iCs/>
          <w:sz w:val="26"/>
          <w:szCs w:val="26"/>
        </w:rPr>
        <w:t xml:space="preserve"> privind digitalizarea în domeniul formării judiciare pentru anii 2025 - 2031, precum și raportul privind nevoile de formare ce au rezultat la întâlnirea din 21 ianuarie 2025 de la Bruxelles. Plecând de la această strategie și de la nevoile de formare rezultate, s-a stabilit apoi calendarul de formare pentru anul 2026 în materie civilă, </w:t>
      </w:r>
      <w:r>
        <w:rPr>
          <w:rFonts w:asciiTheme="minorHAnsi" w:eastAsia="Calibri" w:hAnsiTheme="minorHAnsi" w:cstheme="minorHAnsi"/>
          <w:iCs/>
          <w:sz w:val="26"/>
          <w:szCs w:val="26"/>
        </w:rPr>
        <w:t xml:space="preserve">S.N.G. </w:t>
      </w:r>
      <w:r w:rsidR="00D40F2A" w:rsidRPr="000F0D8B">
        <w:rPr>
          <w:rFonts w:asciiTheme="minorHAnsi" w:eastAsia="Calibri" w:hAnsiTheme="minorHAnsi" w:cstheme="minorHAnsi"/>
          <w:iCs/>
          <w:sz w:val="26"/>
          <w:szCs w:val="26"/>
        </w:rPr>
        <w:t>urmând a coordona două activități de formare, una online – „Taking of evidence in civil matters - with a focus on videoconference”, și una face-to-face – „Digital transformation in Cross-Border legal procedures: the service of documents and taking of evidence”.</w:t>
      </w:r>
    </w:p>
    <w:p w14:paraId="6B6AD636" w14:textId="3D8C9D30" w:rsidR="00D40F2A" w:rsidRPr="000F0D8B" w:rsidRDefault="00D40F2A" w:rsidP="009E3AD8">
      <w:pPr>
        <w:spacing w:line="276" w:lineRule="auto"/>
        <w:ind w:firstLine="720"/>
        <w:jc w:val="both"/>
        <w:rPr>
          <w:rFonts w:asciiTheme="minorHAnsi" w:eastAsia="Calibri" w:hAnsiTheme="minorHAnsi" w:cstheme="minorHAnsi"/>
          <w:iCs/>
          <w:sz w:val="26"/>
          <w:szCs w:val="26"/>
        </w:rPr>
      </w:pPr>
      <w:r w:rsidRPr="000F0D8B">
        <w:rPr>
          <w:rFonts w:asciiTheme="minorHAnsi" w:eastAsia="Calibri" w:hAnsiTheme="minorHAnsi" w:cstheme="minorHAnsi"/>
          <w:iCs/>
          <w:sz w:val="26"/>
          <w:szCs w:val="26"/>
        </w:rPr>
        <w:t>În data de 18 septembrie 2025 a avut loc, online, cea de-a doua întâlnire a subgrupului de lucru E</w:t>
      </w:r>
      <w:r w:rsidR="00E01AB9"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J</w:t>
      </w:r>
      <w:r w:rsidR="00E01AB9"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T</w:t>
      </w:r>
      <w:r w:rsidR="00E01AB9"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N</w:t>
      </w:r>
      <w:r w:rsidR="00E01AB9"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xml:space="preserve"> în materie civilă. În cadrul acestei întâlniri au fost prezentate succint deciziile adoptate în cadrul Extraordinary E</w:t>
      </w:r>
      <w:r w:rsidR="00E01AB9"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J</w:t>
      </w:r>
      <w:r w:rsidR="00E01AB9"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T</w:t>
      </w:r>
      <w:r w:rsidR="00E01AB9"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N</w:t>
      </w:r>
      <w:r w:rsidR="00E01AB9"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xml:space="preserve"> General Assembly and Steering Committee, precum și prioritățile strategice ale E</w:t>
      </w:r>
      <w:r w:rsidR="00E01AB9"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J</w:t>
      </w:r>
      <w:r w:rsidR="00E01AB9"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T</w:t>
      </w:r>
      <w:r w:rsidR="00E01AB9"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N</w:t>
      </w:r>
      <w:r w:rsidR="00E01AB9"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xml:space="preserve"> pentru anii următori. De asemenea, au fost analizate activitățile desfășurate în anul 2025 și cele care urmează a se desfășura până la finalul anului. Mai mult decât atât, a fost stabilit calendarul activităților pentru anul 2026 și a fost prezentat pe scurt bugetul alocat în acest sens, fiind prezentat și progresul privind proiectul Blueprints. În final, au fost stabilite, de principiu, datele întâlnirilor subgrupului de lucru din anul 2026.</w:t>
      </w:r>
    </w:p>
    <w:p w14:paraId="1FCCE6B5" w14:textId="40EAE569" w:rsidR="003311B4" w:rsidRPr="002E39A3" w:rsidRDefault="00D40F2A" w:rsidP="003311B4">
      <w:pPr>
        <w:spacing w:line="276" w:lineRule="auto"/>
        <w:ind w:firstLine="720"/>
        <w:jc w:val="both"/>
        <w:rPr>
          <w:rFonts w:asciiTheme="minorHAnsi" w:hAnsiTheme="minorHAnsi" w:cstheme="minorHAnsi"/>
          <w:sz w:val="26"/>
          <w:szCs w:val="26"/>
        </w:rPr>
      </w:pPr>
      <w:r w:rsidRPr="000F0D8B">
        <w:rPr>
          <w:rFonts w:asciiTheme="minorHAnsi" w:eastAsia="Calibri" w:hAnsiTheme="minorHAnsi" w:cstheme="minorHAnsi"/>
          <w:iCs/>
          <w:sz w:val="26"/>
          <w:szCs w:val="26"/>
        </w:rPr>
        <w:t xml:space="preserve">Sub egida subgrupului de lucru în materie civilă, </w:t>
      </w:r>
      <w:r w:rsidR="00551FD8">
        <w:rPr>
          <w:rFonts w:asciiTheme="minorHAnsi" w:eastAsia="Calibri" w:hAnsiTheme="minorHAnsi" w:cstheme="minorHAnsi"/>
          <w:iCs/>
          <w:sz w:val="26"/>
          <w:szCs w:val="26"/>
        </w:rPr>
        <w:t xml:space="preserve">S.N.G. </w:t>
      </w:r>
      <w:r w:rsidRPr="000F0D8B">
        <w:rPr>
          <w:rFonts w:asciiTheme="minorHAnsi" w:eastAsia="Calibri" w:hAnsiTheme="minorHAnsi" w:cstheme="minorHAnsi"/>
          <w:iCs/>
          <w:sz w:val="26"/>
          <w:szCs w:val="26"/>
        </w:rPr>
        <w:t xml:space="preserve">a participat la coordonarea seminarului desfășurat online la data de 6 februarie 2025, având tema „Civil Liability due to AI”, și a coordonat webinarul cu tema „Electronic Service of Documents and Video Conference </w:t>
      </w:r>
      <w:r w:rsidRPr="002E39A3">
        <w:rPr>
          <w:rFonts w:asciiTheme="minorHAnsi" w:eastAsia="Calibri" w:hAnsiTheme="minorHAnsi" w:cstheme="minorHAnsi"/>
          <w:iCs/>
          <w:sz w:val="26"/>
          <w:szCs w:val="26"/>
        </w:rPr>
        <w:t>Hearings”, desfășurat online la data de 8 mai 2025, în cadrul E</w:t>
      </w:r>
      <w:r w:rsidR="000320FE" w:rsidRPr="002E39A3">
        <w:rPr>
          <w:rFonts w:asciiTheme="minorHAnsi" w:eastAsia="Calibri" w:hAnsiTheme="minorHAnsi" w:cstheme="minorHAnsi"/>
          <w:iCs/>
          <w:sz w:val="26"/>
          <w:szCs w:val="26"/>
        </w:rPr>
        <w:t>.</w:t>
      </w:r>
      <w:r w:rsidRPr="002E39A3">
        <w:rPr>
          <w:rFonts w:asciiTheme="minorHAnsi" w:eastAsia="Calibri" w:hAnsiTheme="minorHAnsi" w:cstheme="minorHAnsi"/>
          <w:iCs/>
          <w:sz w:val="26"/>
          <w:szCs w:val="26"/>
        </w:rPr>
        <w:t>J</w:t>
      </w:r>
      <w:r w:rsidR="000320FE" w:rsidRPr="002E39A3">
        <w:rPr>
          <w:rFonts w:asciiTheme="minorHAnsi" w:eastAsia="Calibri" w:hAnsiTheme="minorHAnsi" w:cstheme="minorHAnsi"/>
          <w:iCs/>
          <w:sz w:val="26"/>
          <w:szCs w:val="26"/>
        </w:rPr>
        <w:t>.</w:t>
      </w:r>
      <w:r w:rsidRPr="002E39A3">
        <w:rPr>
          <w:rFonts w:asciiTheme="minorHAnsi" w:eastAsia="Calibri" w:hAnsiTheme="minorHAnsi" w:cstheme="minorHAnsi"/>
          <w:iCs/>
          <w:sz w:val="26"/>
          <w:szCs w:val="26"/>
        </w:rPr>
        <w:t>T</w:t>
      </w:r>
      <w:r w:rsidR="000320FE" w:rsidRPr="002E39A3">
        <w:rPr>
          <w:rFonts w:asciiTheme="minorHAnsi" w:eastAsia="Calibri" w:hAnsiTheme="minorHAnsi" w:cstheme="minorHAnsi"/>
          <w:iCs/>
          <w:sz w:val="26"/>
          <w:szCs w:val="26"/>
        </w:rPr>
        <w:t>.</w:t>
      </w:r>
      <w:r w:rsidRPr="002E39A3">
        <w:rPr>
          <w:rFonts w:asciiTheme="minorHAnsi" w:eastAsia="Calibri" w:hAnsiTheme="minorHAnsi" w:cstheme="minorHAnsi"/>
          <w:iCs/>
          <w:sz w:val="26"/>
          <w:szCs w:val="26"/>
        </w:rPr>
        <w:t>N</w:t>
      </w:r>
      <w:r w:rsidR="000320FE" w:rsidRPr="002E39A3">
        <w:rPr>
          <w:rFonts w:asciiTheme="minorHAnsi" w:eastAsia="Calibri" w:hAnsiTheme="minorHAnsi" w:cstheme="minorHAnsi"/>
          <w:iCs/>
          <w:sz w:val="26"/>
          <w:szCs w:val="26"/>
        </w:rPr>
        <w:t>.</w:t>
      </w:r>
      <w:r w:rsidRPr="002E39A3">
        <w:rPr>
          <w:rFonts w:asciiTheme="minorHAnsi" w:eastAsia="Calibri" w:hAnsiTheme="minorHAnsi" w:cstheme="minorHAnsi"/>
          <w:iCs/>
          <w:sz w:val="26"/>
          <w:szCs w:val="26"/>
        </w:rPr>
        <w:t>.</w:t>
      </w:r>
      <w:r w:rsidR="003311B4" w:rsidRPr="002E39A3">
        <w:rPr>
          <w:rFonts w:asciiTheme="minorHAnsi" w:hAnsiTheme="minorHAnsi" w:cstheme="minorHAnsi"/>
          <w:sz w:val="26"/>
          <w:szCs w:val="26"/>
        </w:rPr>
        <w:t xml:space="preserve"> În perioada 27 </w:t>
      </w:r>
      <w:r w:rsidR="003311B4" w:rsidRPr="002E39A3">
        <w:rPr>
          <w:rFonts w:asciiTheme="minorHAnsi" w:eastAsia="Calibri" w:hAnsiTheme="minorHAnsi" w:cstheme="minorHAnsi"/>
          <w:iCs/>
          <w:sz w:val="26"/>
          <w:szCs w:val="26"/>
        </w:rPr>
        <w:t>–</w:t>
      </w:r>
      <w:r w:rsidR="003311B4" w:rsidRPr="002E39A3">
        <w:rPr>
          <w:rFonts w:asciiTheme="minorHAnsi" w:hAnsiTheme="minorHAnsi" w:cstheme="minorHAnsi"/>
          <w:sz w:val="26"/>
          <w:szCs w:val="26"/>
        </w:rPr>
        <w:t xml:space="preserve"> 28 noiembrie 2025, Școala Națională de Grefieri a găzduit primul seminar face-to-face în cadrul E.J.T.N., cu denumirea </w:t>
      </w:r>
      <w:r w:rsidR="003311B4" w:rsidRPr="002E39A3">
        <w:rPr>
          <w:rFonts w:asciiTheme="minorHAnsi" w:hAnsiTheme="minorHAnsi" w:cstheme="minorHAnsi"/>
          <w:iCs/>
          <w:sz w:val="26"/>
          <w:szCs w:val="26"/>
        </w:rPr>
        <w:t>„Digital transformation in Cross-Border legal procedures: the Service of Documents and Taking of Evidence”,</w:t>
      </w:r>
      <w:r w:rsidR="003311B4" w:rsidRPr="002E39A3">
        <w:rPr>
          <w:rFonts w:asciiTheme="minorHAnsi" w:hAnsiTheme="minorHAnsi" w:cstheme="minorHAnsi"/>
          <w:sz w:val="26"/>
          <w:szCs w:val="26"/>
        </w:rPr>
        <w:t xml:space="preserve"> în cadrul căruia un reprezentant al Departamentului relații internaționale din cadrul Școlii a participat în calitate de speaker. La seminar au participat 16 judecători și 12 grefieri din următoarele state membre U</w:t>
      </w:r>
      <w:r w:rsidR="0052702E" w:rsidRPr="002E39A3">
        <w:rPr>
          <w:rFonts w:asciiTheme="minorHAnsi" w:hAnsiTheme="minorHAnsi" w:cstheme="minorHAnsi"/>
          <w:sz w:val="26"/>
          <w:szCs w:val="26"/>
        </w:rPr>
        <w:t>.</w:t>
      </w:r>
      <w:r w:rsidR="003311B4" w:rsidRPr="002E39A3">
        <w:rPr>
          <w:rFonts w:asciiTheme="minorHAnsi" w:hAnsiTheme="minorHAnsi" w:cstheme="minorHAnsi"/>
          <w:sz w:val="26"/>
          <w:szCs w:val="26"/>
        </w:rPr>
        <w:t>E</w:t>
      </w:r>
      <w:r w:rsidR="0052702E" w:rsidRPr="002E39A3">
        <w:rPr>
          <w:rFonts w:asciiTheme="minorHAnsi" w:hAnsiTheme="minorHAnsi" w:cstheme="minorHAnsi"/>
          <w:sz w:val="26"/>
          <w:szCs w:val="26"/>
        </w:rPr>
        <w:t>.</w:t>
      </w:r>
      <w:r w:rsidR="003311B4" w:rsidRPr="002E39A3">
        <w:rPr>
          <w:rFonts w:asciiTheme="minorHAnsi" w:hAnsiTheme="minorHAnsi" w:cstheme="minorHAnsi"/>
          <w:sz w:val="26"/>
          <w:szCs w:val="26"/>
        </w:rPr>
        <w:t>: Spania, Grecia, Finlanda, Croația, Estonia, Italia, Franța, România, Ungaria, Polonia, Austria, Letonia și Cipru. Pe parcursul celor două zile, au fost dezbătute chestiuni de actualitate legate de aplicarea Regulamentului UE nr. 2020/1784 privind notificarea sau comunicarea actelor și a Regulamentului UE nr. 2020/1783 privind obținerea de probe. De asemenea, au fost prezentate sistemul e-Codex și alte aspecte utile vizând digitalizarea sistemului de justiție.</w:t>
      </w:r>
    </w:p>
    <w:p w14:paraId="7159AAE7" w14:textId="0DA0EC66" w:rsidR="00D40F2A" w:rsidRPr="000F0D8B" w:rsidRDefault="00D40F2A" w:rsidP="009E3AD8">
      <w:pPr>
        <w:spacing w:line="276" w:lineRule="auto"/>
        <w:ind w:firstLine="720"/>
        <w:jc w:val="both"/>
        <w:rPr>
          <w:rFonts w:asciiTheme="minorHAnsi" w:eastAsia="Calibri" w:hAnsiTheme="minorHAnsi" w:cstheme="minorHAnsi"/>
          <w:iCs/>
          <w:sz w:val="26"/>
          <w:szCs w:val="26"/>
        </w:rPr>
      </w:pPr>
      <w:r w:rsidRPr="000F0D8B">
        <w:rPr>
          <w:rFonts w:asciiTheme="minorHAnsi" w:eastAsia="Calibri" w:hAnsiTheme="minorHAnsi" w:cstheme="minorHAnsi"/>
          <w:iCs/>
          <w:sz w:val="26"/>
          <w:szCs w:val="26"/>
        </w:rPr>
        <w:lastRenderedPageBreak/>
        <w:t xml:space="preserve">În perioada 25 </w:t>
      </w:r>
      <w:r w:rsidR="000320FE"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xml:space="preserve"> 26</w:t>
      </w:r>
      <w:r w:rsidR="00527F57">
        <w:rPr>
          <w:rFonts w:asciiTheme="minorHAnsi" w:eastAsia="Calibri" w:hAnsiTheme="minorHAnsi" w:cstheme="minorHAnsi"/>
          <w:iCs/>
          <w:sz w:val="26"/>
          <w:szCs w:val="26"/>
        </w:rPr>
        <w:t xml:space="preserve"> februarie </w:t>
      </w:r>
      <w:r w:rsidRPr="000F0D8B">
        <w:rPr>
          <w:rFonts w:asciiTheme="minorHAnsi" w:eastAsia="Calibri" w:hAnsiTheme="minorHAnsi" w:cstheme="minorHAnsi"/>
          <w:iCs/>
          <w:sz w:val="26"/>
          <w:szCs w:val="26"/>
        </w:rPr>
        <w:t>2025 a avut loc, online, prima întâlnire a membrilor E</w:t>
      </w:r>
      <w:r w:rsidR="000320FE"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J</w:t>
      </w:r>
      <w:r w:rsidR="000320FE"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T</w:t>
      </w:r>
      <w:r w:rsidR="000320FE"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N</w:t>
      </w:r>
      <w:r w:rsidR="000320FE"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xml:space="preserve"> din cadrul subgrupului de lucru în materie penală. În cadrul întâlnirii, au fost discutate acțiunile de formare care urmează să se desfășoare în anul 2025 și, totodată, s-au formulat primele recomandări și s-a structurat un program de formare pentru anul 2026. În cadrul acestei întâlniri s-a stabilit că </w:t>
      </w:r>
      <w:r w:rsidR="00551FD8">
        <w:rPr>
          <w:rFonts w:asciiTheme="minorHAnsi" w:eastAsia="Calibri" w:hAnsiTheme="minorHAnsi" w:cstheme="minorHAnsi"/>
          <w:iCs/>
          <w:sz w:val="26"/>
          <w:szCs w:val="26"/>
        </w:rPr>
        <w:t xml:space="preserve">S.N.G. </w:t>
      </w:r>
      <w:r w:rsidRPr="000F0D8B">
        <w:rPr>
          <w:rFonts w:asciiTheme="minorHAnsi" w:eastAsia="Calibri" w:hAnsiTheme="minorHAnsi" w:cstheme="minorHAnsi"/>
          <w:iCs/>
          <w:sz w:val="26"/>
          <w:szCs w:val="26"/>
        </w:rPr>
        <w:t>va avea calitatea de co-coordonator în cadrul unei acțiuni desfășurate online – „Procedural Safeguards in criminal proceedings in the EU in practice: improving the existing aquis - Directives (introductory)”, și în cadrul unei acțiuni desfășurate face-to-face – „Victims Rights in the EU in practice: violence against women and domestic violence – Introductory”, dar şi calitatea de coordonator al unei acțiuni de tipul Lunchtime Webinar – „Supporting Victims from the Start: Practical Skills for Court Staff as First Responders”.</w:t>
      </w:r>
    </w:p>
    <w:p w14:paraId="17FE4DD7" w14:textId="002AC4F2" w:rsidR="00D40F2A" w:rsidRPr="000F0D8B" w:rsidRDefault="00D40F2A" w:rsidP="009E3AD8">
      <w:pPr>
        <w:spacing w:line="276" w:lineRule="auto"/>
        <w:ind w:firstLine="720"/>
        <w:jc w:val="both"/>
        <w:rPr>
          <w:rFonts w:asciiTheme="minorHAnsi" w:eastAsia="Calibri" w:hAnsiTheme="minorHAnsi" w:cstheme="minorHAnsi"/>
          <w:iCs/>
          <w:sz w:val="26"/>
          <w:szCs w:val="26"/>
        </w:rPr>
      </w:pPr>
      <w:r w:rsidRPr="000F0D8B">
        <w:rPr>
          <w:rFonts w:asciiTheme="minorHAnsi" w:eastAsia="Calibri" w:hAnsiTheme="minorHAnsi" w:cstheme="minorHAnsi"/>
          <w:iCs/>
          <w:sz w:val="26"/>
          <w:szCs w:val="26"/>
        </w:rPr>
        <w:t xml:space="preserve">În perioada 22 </w:t>
      </w:r>
      <w:r w:rsidR="00B777A9"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xml:space="preserve"> 23</w:t>
      </w:r>
      <w:r w:rsidR="00527F57">
        <w:rPr>
          <w:rFonts w:asciiTheme="minorHAnsi" w:eastAsia="Calibri" w:hAnsiTheme="minorHAnsi" w:cstheme="minorHAnsi"/>
          <w:iCs/>
          <w:sz w:val="26"/>
          <w:szCs w:val="26"/>
        </w:rPr>
        <w:t xml:space="preserve"> septembrie </w:t>
      </w:r>
      <w:r w:rsidRPr="000F0D8B">
        <w:rPr>
          <w:rFonts w:asciiTheme="minorHAnsi" w:eastAsia="Calibri" w:hAnsiTheme="minorHAnsi" w:cstheme="minorHAnsi"/>
          <w:iCs/>
          <w:sz w:val="26"/>
          <w:szCs w:val="26"/>
        </w:rPr>
        <w:t xml:space="preserve">2025 a avut loc cea de-a doua întâlnire </w:t>
      </w:r>
      <w:r w:rsidR="00527F57">
        <w:rPr>
          <w:rFonts w:asciiTheme="minorHAnsi" w:eastAsia="Calibri" w:hAnsiTheme="minorHAnsi" w:cstheme="minorHAnsi"/>
          <w:iCs/>
          <w:sz w:val="26"/>
          <w:szCs w:val="26"/>
        </w:rPr>
        <w:t xml:space="preserve">a </w:t>
      </w:r>
      <w:r w:rsidRPr="000F0D8B">
        <w:rPr>
          <w:rFonts w:asciiTheme="minorHAnsi" w:eastAsia="Calibri" w:hAnsiTheme="minorHAnsi" w:cstheme="minorHAnsi"/>
          <w:iCs/>
          <w:sz w:val="26"/>
          <w:szCs w:val="26"/>
        </w:rPr>
        <w:t>subgrupului E</w:t>
      </w:r>
      <w:r w:rsidR="00B777A9"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J</w:t>
      </w:r>
      <w:r w:rsidR="00B777A9"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T</w:t>
      </w:r>
      <w:r w:rsidR="00B777A9"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N</w:t>
      </w:r>
      <w:r w:rsidR="00B777A9"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xml:space="preserve"> în materie penală, întrunit online. În cadrul acestei întâlniri au fost analizate activitățile desfășurate în anul 2025, precum și cele care urmează a se desfășura până la finalul acestui an și au fost planificate evenimentele care vor avea loc în acest domeniu în cursul anului 2026. De asemenea, au fost discutate aspectele privind relațiile de colaborare</w:t>
      </w:r>
      <w:r w:rsidR="00527F57">
        <w:rPr>
          <w:rFonts w:asciiTheme="minorHAnsi" w:eastAsia="Calibri" w:hAnsiTheme="minorHAnsi" w:cstheme="minorHAnsi"/>
          <w:iCs/>
          <w:sz w:val="26"/>
          <w:szCs w:val="26"/>
        </w:rPr>
        <w:t xml:space="preserve"> în acest domeniu</w:t>
      </w:r>
      <w:r w:rsidRPr="000F0D8B">
        <w:rPr>
          <w:rFonts w:asciiTheme="minorHAnsi" w:eastAsia="Calibri" w:hAnsiTheme="minorHAnsi" w:cstheme="minorHAnsi"/>
          <w:iCs/>
          <w:sz w:val="26"/>
          <w:szCs w:val="26"/>
        </w:rPr>
        <w:t xml:space="preserve"> cu partenerii.</w:t>
      </w:r>
    </w:p>
    <w:p w14:paraId="11FCF691" w14:textId="5800D07E" w:rsidR="00D40F2A" w:rsidRPr="000F0D8B" w:rsidRDefault="00D40F2A" w:rsidP="009E3AD8">
      <w:pPr>
        <w:spacing w:line="276" w:lineRule="auto"/>
        <w:ind w:firstLine="720"/>
        <w:jc w:val="both"/>
        <w:rPr>
          <w:rFonts w:asciiTheme="minorHAnsi" w:eastAsia="Calibri" w:hAnsiTheme="minorHAnsi" w:cstheme="minorHAnsi"/>
          <w:iCs/>
          <w:sz w:val="26"/>
          <w:szCs w:val="26"/>
        </w:rPr>
      </w:pPr>
      <w:r w:rsidRPr="000F0D8B">
        <w:rPr>
          <w:rFonts w:asciiTheme="minorHAnsi" w:eastAsia="Calibri" w:hAnsiTheme="minorHAnsi" w:cstheme="minorHAnsi"/>
          <w:iCs/>
          <w:sz w:val="26"/>
          <w:szCs w:val="26"/>
        </w:rPr>
        <w:t>Sub egida subgrupului E</w:t>
      </w:r>
      <w:r w:rsidR="00B777A9"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J</w:t>
      </w:r>
      <w:r w:rsidR="00B777A9"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T</w:t>
      </w:r>
      <w:r w:rsidR="00B777A9"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N</w:t>
      </w:r>
      <w:r w:rsidR="00B777A9"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xml:space="preserve"> în materie penală, </w:t>
      </w:r>
      <w:r w:rsidR="00551FD8">
        <w:rPr>
          <w:rFonts w:asciiTheme="minorHAnsi" w:eastAsia="Calibri" w:hAnsiTheme="minorHAnsi" w:cstheme="minorHAnsi"/>
          <w:iCs/>
          <w:sz w:val="26"/>
          <w:szCs w:val="26"/>
        </w:rPr>
        <w:t xml:space="preserve">S.N.G. </w:t>
      </w:r>
      <w:r w:rsidRPr="000F0D8B">
        <w:rPr>
          <w:rFonts w:asciiTheme="minorHAnsi" w:eastAsia="Calibri" w:hAnsiTheme="minorHAnsi" w:cstheme="minorHAnsi"/>
          <w:iCs/>
          <w:sz w:val="26"/>
          <w:szCs w:val="26"/>
        </w:rPr>
        <w:t>a avut rolul de co-coordonator a unei acțiuni de tip Lunchtime Webinar în data de 23 octombrie 2025 cu tema „The innovative initiatives on the reception of litigants by jurisdictions in Europe</w:t>
      </w:r>
      <w:r w:rsidR="00527F57">
        <w:rPr>
          <w:rFonts w:asciiTheme="minorHAnsi" w:eastAsia="Calibri" w:hAnsiTheme="minorHAnsi" w:cstheme="minorHAnsi"/>
          <w:iCs/>
          <w:sz w:val="26"/>
          <w:szCs w:val="26"/>
        </w:rPr>
        <w:t xml:space="preserve"> </w:t>
      </w:r>
      <w:r w:rsidRPr="000F0D8B">
        <w:rPr>
          <w:rFonts w:asciiTheme="minorHAnsi" w:eastAsia="Calibri" w:hAnsiTheme="minorHAnsi" w:cstheme="minorHAnsi"/>
          <w:iCs/>
          <w:sz w:val="26"/>
          <w:szCs w:val="26"/>
        </w:rPr>
        <w:t>-</w:t>
      </w:r>
      <w:r w:rsidR="00527F57">
        <w:rPr>
          <w:rFonts w:asciiTheme="minorHAnsi" w:eastAsia="Calibri" w:hAnsiTheme="minorHAnsi" w:cstheme="minorHAnsi"/>
          <w:iCs/>
          <w:sz w:val="26"/>
          <w:szCs w:val="26"/>
        </w:rPr>
        <w:t xml:space="preserve"> </w:t>
      </w:r>
      <w:r w:rsidRPr="000F0D8B">
        <w:rPr>
          <w:rFonts w:asciiTheme="minorHAnsi" w:eastAsia="Calibri" w:hAnsiTheme="minorHAnsi" w:cstheme="minorHAnsi"/>
          <w:iCs/>
          <w:sz w:val="26"/>
          <w:szCs w:val="26"/>
        </w:rPr>
        <w:t>the digital aspect”.</w:t>
      </w:r>
    </w:p>
    <w:p w14:paraId="308BDAC4" w14:textId="6D4A16BA" w:rsidR="00D40F2A" w:rsidRPr="002E39A3" w:rsidRDefault="00D40F2A" w:rsidP="009E3AD8">
      <w:pPr>
        <w:spacing w:line="276" w:lineRule="auto"/>
        <w:ind w:firstLine="720"/>
        <w:jc w:val="both"/>
        <w:rPr>
          <w:rFonts w:asciiTheme="minorHAnsi" w:eastAsia="Calibri" w:hAnsiTheme="minorHAnsi" w:cstheme="minorHAnsi"/>
          <w:iCs/>
          <w:sz w:val="26"/>
          <w:szCs w:val="26"/>
        </w:rPr>
      </w:pPr>
      <w:r w:rsidRPr="000F0D8B">
        <w:rPr>
          <w:rFonts w:asciiTheme="minorHAnsi" w:eastAsia="Calibri" w:hAnsiTheme="minorHAnsi" w:cstheme="minorHAnsi"/>
          <w:iCs/>
          <w:sz w:val="26"/>
          <w:szCs w:val="26"/>
        </w:rPr>
        <w:t>În privința seminarelor organizate sub egida Grupului de lucru „Programe”, în cadrul acțiunilor de formare propuse de subgrupurile de lucru, în cursul anului</w:t>
      </w:r>
      <w:r w:rsidR="00551FD8">
        <w:rPr>
          <w:rFonts w:asciiTheme="minorHAnsi" w:eastAsia="Calibri" w:hAnsiTheme="minorHAnsi" w:cstheme="minorHAnsi"/>
          <w:iCs/>
          <w:sz w:val="26"/>
          <w:szCs w:val="26"/>
        </w:rPr>
        <w:t xml:space="preserve"> de referinţă, S.N.G. </w:t>
      </w:r>
      <w:r w:rsidRPr="000F0D8B">
        <w:rPr>
          <w:rFonts w:asciiTheme="minorHAnsi" w:eastAsia="Calibri" w:hAnsiTheme="minorHAnsi" w:cstheme="minorHAnsi"/>
          <w:iCs/>
          <w:sz w:val="26"/>
          <w:szCs w:val="26"/>
        </w:rPr>
        <w:t xml:space="preserve">a preselectat </w:t>
      </w:r>
      <w:r w:rsidRPr="00C778DD">
        <w:rPr>
          <w:rFonts w:asciiTheme="minorHAnsi" w:eastAsia="Calibri" w:hAnsiTheme="minorHAnsi" w:cstheme="minorHAnsi"/>
          <w:iCs/>
          <w:color w:val="FF0000"/>
          <w:sz w:val="26"/>
          <w:szCs w:val="26"/>
        </w:rPr>
        <w:t>14</w:t>
      </w:r>
      <w:r w:rsidR="00C778DD" w:rsidRPr="00C778DD">
        <w:rPr>
          <w:rFonts w:asciiTheme="minorHAnsi" w:eastAsia="Calibri" w:hAnsiTheme="minorHAnsi" w:cstheme="minorHAnsi"/>
          <w:iCs/>
          <w:color w:val="FF0000"/>
          <w:sz w:val="26"/>
          <w:szCs w:val="26"/>
        </w:rPr>
        <w:t>6</w:t>
      </w:r>
      <w:r w:rsidR="0026019E">
        <w:rPr>
          <w:rFonts w:asciiTheme="minorHAnsi" w:eastAsia="Calibri" w:hAnsiTheme="minorHAnsi" w:cstheme="minorHAnsi"/>
          <w:iCs/>
          <w:color w:val="FF0000"/>
          <w:sz w:val="26"/>
          <w:szCs w:val="26"/>
        </w:rPr>
        <w:t xml:space="preserve"> </w:t>
      </w:r>
      <w:r w:rsidR="0026019E" w:rsidRPr="0026019E">
        <w:rPr>
          <w:rFonts w:asciiTheme="minorHAnsi" w:eastAsia="Calibri" w:hAnsiTheme="minorHAnsi" w:cstheme="minorHAnsi"/>
          <w:iCs/>
          <w:sz w:val="26"/>
          <w:szCs w:val="26"/>
        </w:rPr>
        <w:t>de</w:t>
      </w:r>
      <w:r w:rsidRPr="00C778DD">
        <w:rPr>
          <w:rFonts w:asciiTheme="minorHAnsi" w:eastAsia="Calibri" w:hAnsiTheme="minorHAnsi" w:cstheme="minorHAnsi"/>
          <w:iCs/>
          <w:color w:val="FF0000"/>
          <w:sz w:val="26"/>
          <w:szCs w:val="26"/>
        </w:rPr>
        <w:t xml:space="preserve"> </w:t>
      </w:r>
      <w:r w:rsidRPr="000F0D8B">
        <w:rPr>
          <w:rFonts w:asciiTheme="minorHAnsi" w:eastAsia="Calibri" w:hAnsiTheme="minorHAnsi" w:cstheme="minorHAnsi"/>
          <w:iCs/>
          <w:sz w:val="26"/>
          <w:szCs w:val="26"/>
        </w:rPr>
        <w:t xml:space="preserve">grefieri români în vederea participării la diverse seminare. Dintre aceștia, </w:t>
      </w:r>
      <w:r w:rsidR="00DE28E3">
        <w:rPr>
          <w:rFonts w:asciiTheme="minorHAnsi" w:eastAsia="Calibri" w:hAnsiTheme="minorHAnsi" w:cstheme="minorHAnsi"/>
          <w:iCs/>
          <w:color w:val="FF0000"/>
          <w:sz w:val="26"/>
          <w:szCs w:val="26"/>
        </w:rPr>
        <w:t>85</w:t>
      </w:r>
      <w:r w:rsidRPr="00DE28E3">
        <w:rPr>
          <w:rFonts w:asciiTheme="minorHAnsi" w:eastAsia="Calibri" w:hAnsiTheme="minorHAnsi" w:cstheme="minorHAnsi"/>
          <w:iCs/>
          <w:color w:val="FF0000"/>
          <w:sz w:val="26"/>
          <w:szCs w:val="26"/>
        </w:rPr>
        <w:t xml:space="preserve"> </w:t>
      </w:r>
      <w:r w:rsidRPr="000F0D8B">
        <w:rPr>
          <w:rFonts w:asciiTheme="minorHAnsi" w:eastAsia="Calibri" w:hAnsiTheme="minorHAnsi" w:cstheme="minorHAnsi"/>
          <w:iCs/>
          <w:sz w:val="26"/>
          <w:szCs w:val="26"/>
        </w:rPr>
        <w:t xml:space="preserve">de grefieri au participat la acțiunile de formare în perioada </w:t>
      </w:r>
      <w:r w:rsidRPr="002E39A3">
        <w:rPr>
          <w:rFonts w:asciiTheme="minorHAnsi" w:eastAsia="Calibri" w:hAnsiTheme="minorHAnsi" w:cstheme="minorHAnsi"/>
          <w:iCs/>
          <w:sz w:val="26"/>
          <w:szCs w:val="26"/>
        </w:rPr>
        <w:t xml:space="preserve">ianuarie - </w:t>
      </w:r>
      <w:r w:rsidR="00DE28E3" w:rsidRPr="002E39A3">
        <w:rPr>
          <w:rFonts w:asciiTheme="minorHAnsi" w:eastAsia="Calibri" w:hAnsiTheme="minorHAnsi" w:cstheme="minorHAnsi"/>
          <w:iCs/>
          <w:sz w:val="26"/>
          <w:szCs w:val="26"/>
        </w:rPr>
        <w:t>dece</w:t>
      </w:r>
      <w:r w:rsidRPr="002E39A3">
        <w:rPr>
          <w:rFonts w:asciiTheme="minorHAnsi" w:eastAsia="Calibri" w:hAnsiTheme="minorHAnsi" w:cstheme="minorHAnsi"/>
          <w:iCs/>
          <w:sz w:val="26"/>
          <w:szCs w:val="26"/>
        </w:rPr>
        <w:t>mbrie 2025, în urma selecției finale organizate de E</w:t>
      </w:r>
      <w:r w:rsidR="00F65D27" w:rsidRPr="002E39A3">
        <w:rPr>
          <w:rFonts w:asciiTheme="minorHAnsi" w:eastAsia="Calibri" w:hAnsiTheme="minorHAnsi" w:cstheme="minorHAnsi"/>
          <w:iCs/>
          <w:sz w:val="26"/>
          <w:szCs w:val="26"/>
        </w:rPr>
        <w:t>.</w:t>
      </w:r>
      <w:r w:rsidRPr="002E39A3">
        <w:rPr>
          <w:rFonts w:asciiTheme="minorHAnsi" w:eastAsia="Calibri" w:hAnsiTheme="minorHAnsi" w:cstheme="minorHAnsi"/>
          <w:iCs/>
          <w:sz w:val="26"/>
          <w:szCs w:val="26"/>
        </w:rPr>
        <w:t>J</w:t>
      </w:r>
      <w:r w:rsidR="00F65D27" w:rsidRPr="002E39A3">
        <w:rPr>
          <w:rFonts w:asciiTheme="minorHAnsi" w:eastAsia="Calibri" w:hAnsiTheme="minorHAnsi" w:cstheme="minorHAnsi"/>
          <w:iCs/>
          <w:sz w:val="26"/>
          <w:szCs w:val="26"/>
        </w:rPr>
        <w:t>.</w:t>
      </w:r>
      <w:r w:rsidRPr="002E39A3">
        <w:rPr>
          <w:rFonts w:asciiTheme="minorHAnsi" w:eastAsia="Calibri" w:hAnsiTheme="minorHAnsi" w:cstheme="minorHAnsi"/>
          <w:iCs/>
          <w:sz w:val="26"/>
          <w:szCs w:val="26"/>
        </w:rPr>
        <w:t>T</w:t>
      </w:r>
      <w:r w:rsidR="00F65D27" w:rsidRPr="002E39A3">
        <w:rPr>
          <w:rFonts w:asciiTheme="minorHAnsi" w:eastAsia="Calibri" w:hAnsiTheme="minorHAnsi" w:cstheme="minorHAnsi"/>
          <w:iCs/>
          <w:sz w:val="26"/>
          <w:szCs w:val="26"/>
        </w:rPr>
        <w:t>.</w:t>
      </w:r>
      <w:r w:rsidRPr="002E39A3">
        <w:rPr>
          <w:rFonts w:asciiTheme="minorHAnsi" w:eastAsia="Calibri" w:hAnsiTheme="minorHAnsi" w:cstheme="minorHAnsi"/>
          <w:iCs/>
          <w:sz w:val="26"/>
          <w:szCs w:val="26"/>
        </w:rPr>
        <w:t>N</w:t>
      </w:r>
      <w:r w:rsidR="00F65D27" w:rsidRPr="002E39A3">
        <w:rPr>
          <w:rFonts w:asciiTheme="minorHAnsi" w:eastAsia="Calibri" w:hAnsiTheme="minorHAnsi" w:cstheme="minorHAnsi"/>
          <w:iCs/>
          <w:sz w:val="26"/>
          <w:szCs w:val="26"/>
        </w:rPr>
        <w:t>.</w:t>
      </w:r>
      <w:r w:rsidRPr="002E39A3">
        <w:rPr>
          <w:rFonts w:asciiTheme="minorHAnsi" w:eastAsia="Calibri" w:hAnsiTheme="minorHAnsi" w:cstheme="minorHAnsi"/>
          <w:iCs/>
          <w:sz w:val="26"/>
          <w:szCs w:val="26"/>
        </w:rPr>
        <w:t>, în raport cu numărul de locuri puse la dispoziție pentru grefieri din statele membre ale U</w:t>
      </w:r>
      <w:r w:rsidR="00F65D27" w:rsidRPr="002E39A3">
        <w:rPr>
          <w:rFonts w:asciiTheme="minorHAnsi" w:eastAsia="Calibri" w:hAnsiTheme="minorHAnsi" w:cstheme="minorHAnsi"/>
          <w:iCs/>
          <w:sz w:val="26"/>
          <w:szCs w:val="26"/>
        </w:rPr>
        <w:t>.</w:t>
      </w:r>
      <w:r w:rsidRPr="002E39A3">
        <w:rPr>
          <w:rFonts w:asciiTheme="minorHAnsi" w:eastAsia="Calibri" w:hAnsiTheme="minorHAnsi" w:cstheme="minorHAnsi"/>
          <w:iCs/>
          <w:sz w:val="26"/>
          <w:szCs w:val="26"/>
        </w:rPr>
        <w:t>E</w:t>
      </w:r>
      <w:r w:rsidR="00F65D27" w:rsidRPr="002E39A3">
        <w:rPr>
          <w:rFonts w:asciiTheme="minorHAnsi" w:eastAsia="Calibri" w:hAnsiTheme="minorHAnsi" w:cstheme="minorHAnsi"/>
          <w:iCs/>
          <w:sz w:val="26"/>
          <w:szCs w:val="26"/>
        </w:rPr>
        <w:t>.</w:t>
      </w:r>
      <w:r w:rsidRPr="002E39A3">
        <w:rPr>
          <w:rFonts w:asciiTheme="minorHAnsi" w:eastAsia="Calibri" w:hAnsiTheme="minorHAnsi" w:cstheme="minorHAnsi"/>
          <w:iCs/>
          <w:sz w:val="26"/>
          <w:szCs w:val="26"/>
        </w:rPr>
        <w:t>, atât la activități face-to-face, cât și online.</w:t>
      </w:r>
    </w:p>
    <w:p w14:paraId="1CE52E43" w14:textId="77777777" w:rsidR="00DE28E3" w:rsidRPr="002E39A3" w:rsidRDefault="00DE28E3" w:rsidP="00DE28E3">
      <w:pPr>
        <w:spacing w:line="276" w:lineRule="auto"/>
        <w:ind w:firstLine="720"/>
        <w:jc w:val="both"/>
        <w:rPr>
          <w:rFonts w:asciiTheme="minorHAnsi" w:eastAsia="Calibri" w:hAnsiTheme="minorHAnsi" w:cstheme="minorHAnsi"/>
          <w:iCs/>
          <w:sz w:val="26"/>
          <w:szCs w:val="26"/>
        </w:rPr>
      </w:pPr>
      <w:r w:rsidRPr="002E39A3">
        <w:rPr>
          <w:rFonts w:asciiTheme="minorHAnsi" w:eastAsia="Calibri" w:hAnsiTheme="minorHAnsi" w:cstheme="minorHAnsi"/>
          <w:iCs/>
          <w:sz w:val="26"/>
          <w:szCs w:val="26"/>
        </w:rPr>
        <w:t>Totodată, în anul 2025, E.J.T.N. a organizat și webinare de tip Lunchtime Webinars, cu o durată de o oră, accesibile inclusiv grefierilor. Participarea la aceste sesiuni se face prin înscriere directă pe platforma online a E.J.T.N., fără a necesita o procedură de preselecție prin intermediul S.N.G..</w:t>
      </w:r>
    </w:p>
    <w:p w14:paraId="00544CA0" w14:textId="67E845D8" w:rsidR="00D40F2A" w:rsidRPr="000F0D8B" w:rsidRDefault="00D40F2A" w:rsidP="009E3AD8">
      <w:pPr>
        <w:spacing w:line="276" w:lineRule="auto"/>
        <w:ind w:firstLine="720"/>
        <w:jc w:val="both"/>
        <w:rPr>
          <w:rFonts w:asciiTheme="minorHAnsi" w:eastAsia="Calibri" w:hAnsiTheme="minorHAnsi" w:cstheme="minorHAnsi"/>
          <w:iCs/>
          <w:sz w:val="26"/>
          <w:szCs w:val="26"/>
        </w:rPr>
      </w:pPr>
      <w:r w:rsidRPr="000F0D8B">
        <w:rPr>
          <w:rFonts w:asciiTheme="minorHAnsi" w:eastAsia="Calibri" w:hAnsiTheme="minorHAnsi" w:cstheme="minorHAnsi"/>
          <w:iCs/>
          <w:sz w:val="26"/>
          <w:szCs w:val="26"/>
        </w:rPr>
        <w:t xml:space="preserve">În perioada 20 </w:t>
      </w:r>
      <w:r w:rsidR="00F65D27"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xml:space="preserve"> 21</w:t>
      </w:r>
      <w:r w:rsidR="00527F57">
        <w:rPr>
          <w:rFonts w:asciiTheme="minorHAnsi" w:eastAsia="Calibri" w:hAnsiTheme="minorHAnsi" w:cstheme="minorHAnsi"/>
          <w:iCs/>
          <w:sz w:val="26"/>
          <w:szCs w:val="26"/>
        </w:rPr>
        <w:t xml:space="preserve"> februarie </w:t>
      </w:r>
      <w:r w:rsidRPr="000F0D8B">
        <w:rPr>
          <w:rFonts w:asciiTheme="minorHAnsi" w:eastAsia="Calibri" w:hAnsiTheme="minorHAnsi" w:cstheme="minorHAnsi"/>
          <w:iCs/>
          <w:sz w:val="26"/>
          <w:szCs w:val="26"/>
        </w:rPr>
        <w:t xml:space="preserve">2025, la Praga, Cehia, a avut loc prima reuniune anuală a Grupului de lucru „Judicial Training Methods” al Rețelei Europene de Formare Judiciară. În cadrul întâlnirii au fost analizate activitățile desfășurate în anul 2024, a fost raportat progresul activităților planificate pentru 2025 și inițiat procesul de conturare a calendarului activităților pentru 2026. Cu această ocazie, </w:t>
      </w:r>
      <w:r w:rsidR="00862F47">
        <w:rPr>
          <w:rFonts w:asciiTheme="minorHAnsi" w:eastAsia="Calibri" w:hAnsiTheme="minorHAnsi" w:cstheme="minorHAnsi"/>
          <w:iCs/>
          <w:sz w:val="26"/>
          <w:szCs w:val="26"/>
        </w:rPr>
        <w:t xml:space="preserve">S.N.G. </w:t>
      </w:r>
      <w:r w:rsidRPr="000F0D8B">
        <w:rPr>
          <w:rFonts w:asciiTheme="minorHAnsi" w:eastAsia="Calibri" w:hAnsiTheme="minorHAnsi" w:cstheme="minorHAnsi"/>
          <w:iCs/>
          <w:sz w:val="26"/>
          <w:szCs w:val="26"/>
        </w:rPr>
        <w:t>a propus pentru anul 2026 coordonarea și susținerea unui webinar intitulat „AI Tools for Video Production”.</w:t>
      </w:r>
    </w:p>
    <w:p w14:paraId="3D0C4B2D" w14:textId="7FC102F0" w:rsidR="00D40F2A" w:rsidRPr="000F0D8B" w:rsidRDefault="00D40F2A" w:rsidP="009E3AD8">
      <w:pPr>
        <w:spacing w:line="276" w:lineRule="auto"/>
        <w:ind w:firstLine="720"/>
        <w:jc w:val="both"/>
        <w:rPr>
          <w:rFonts w:asciiTheme="minorHAnsi" w:eastAsia="Calibri" w:hAnsiTheme="minorHAnsi" w:cstheme="minorHAnsi"/>
          <w:iCs/>
          <w:sz w:val="26"/>
          <w:szCs w:val="26"/>
        </w:rPr>
      </w:pPr>
      <w:r w:rsidRPr="000F0D8B">
        <w:rPr>
          <w:rFonts w:asciiTheme="minorHAnsi" w:eastAsia="Calibri" w:hAnsiTheme="minorHAnsi" w:cstheme="minorHAnsi"/>
          <w:iCs/>
          <w:sz w:val="26"/>
          <w:szCs w:val="26"/>
        </w:rPr>
        <w:t>În luna august 2025 a fost finalizată agenda webinarului E</w:t>
      </w:r>
      <w:r w:rsidR="00607B5F"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J</w:t>
      </w:r>
      <w:r w:rsidR="00607B5F"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T</w:t>
      </w:r>
      <w:r w:rsidR="00607B5F"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N</w:t>
      </w:r>
      <w:r w:rsidR="00607B5F"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xml:space="preserve"> programat pentru anul 2025, denumit „A to Z Video Production for Judicial Training”, coordonat și susținut de reprezentanții </w:t>
      </w:r>
      <w:r w:rsidR="00E07CC2">
        <w:rPr>
          <w:rFonts w:asciiTheme="minorHAnsi" w:eastAsia="Calibri" w:hAnsiTheme="minorHAnsi" w:cstheme="minorHAnsi"/>
          <w:iCs/>
          <w:sz w:val="26"/>
          <w:szCs w:val="26"/>
        </w:rPr>
        <w:t xml:space="preserve">S.N.G. </w:t>
      </w:r>
      <w:r w:rsidRPr="000F0D8B">
        <w:rPr>
          <w:rFonts w:asciiTheme="minorHAnsi" w:eastAsia="Calibri" w:hAnsiTheme="minorHAnsi" w:cstheme="minorHAnsi"/>
          <w:iCs/>
          <w:sz w:val="26"/>
          <w:szCs w:val="26"/>
        </w:rPr>
        <w:t>la data de 14 octombrie 2025. Tot în luna august, au fost transmise descrierea și obiectivele de formare aferente webinarului „AI Tools for Video Production” programat pentru anul 2026.</w:t>
      </w:r>
    </w:p>
    <w:p w14:paraId="1BACC7E8" w14:textId="2FC03564" w:rsidR="00D40F2A" w:rsidRPr="000F0D8B" w:rsidRDefault="00D40F2A" w:rsidP="009E3AD8">
      <w:pPr>
        <w:spacing w:line="276" w:lineRule="auto"/>
        <w:ind w:firstLine="720"/>
        <w:jc w:val="both"/>
        <w:rPr>
          <w:rFonts w:asciiTheme="minorHAnsi" w:eastAsia="Calibri" w:hAnsiTheme="minorHAnsi" w:cstheme="minorHAnsi"/>
          <w:iCs/>
          <w:sz w:val="26"/>
          <w:szCs w:val="26"/>
        </w:rPr>
      </w:pPr>
      <w:r w:rsidRPr="000F0D8B">
        <w:rPr>
          <w:rFonts w:asciiTheme="minorHAnsi" w:eastAsia="Calibri" w:hAnsiTheme="minorHAnsi" w:cstheme="minorHAnsi"/>
          <w:iCs/>
          <w:sz w:val="26"/>
          <w:szCs w:val="26"/>
        </w:rPr>
        <w:t xml:space="preserve">A doua întâlnire anuală a Grupului „Judicial Training Methods” s-a desfășurat online, în perioada 25 </w:t>
      </w:r>
      <w:r w:rsidR="00607B5F"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xml:space="preserve"> 26</w:t>
      </w:r>
      <w:r w:rsidR="004D3FB1">
        <w:rPr>
          <w:rFonts w:asciiTheme="minorHAnsi" w:eastAsia="Calibri" w:hAnsiTheme="minorHAnsi" w:cstheme="minorHAnsi"/>
          <w:iCs/>
          <w:sz w:val="26"/>
          <w:szCs w:val="26"/>
        </w:rPr>
        <w:t xml:space="preserve"> septembrie </w:t>
      </w:r>
      <w:r w:rsidRPr="000F0D8B">
        <w:rPr>
          <w:rFonts w:asciiTheme="minorHAnsi" w:eastAsia="Calibri" w:hAnsiTheme="minorHAnsi" w:cstheme="minorHAnsi"/>
          <w:iCs/>
          <w:sz w:val="26"/>
          <w:szCs w:val="26"/>
        </w:rPr>
        <w:t xml:space="preserve">2025. Discuțiile au vizat raportarea datelor privind activitățile implementate în 2025 până la data întâlnirii, prezentarea progresului activităților aflate în curs de </w:t>
      </w:r>
      <w:r w:rsidRPr="000F0D8B">
        <w:rPr>
          <w:rFonts w:asciiTheme="minorHAnsi" w:eastAsia="Calibri" w:hAnsiTheme="minorHAnsi" w:cstheme="minorHAnsi"/>
          <w:iCs/>
          <w:sz w:val="26"/>
          <w:szCs w:val="26"/>
        </w:rPr>
        <w:lastRenderedPageBreak/>
        <w:t>implementare până la finalul anului, finalizarea programului de formare pentru anul 2026, precum și identificarea unor posibile teme de interes pentru anul 2027.</w:t>
      </w:r>
    </w:p>
    <w:p w14:paraId="4E7DC6E1" w14:textId="0F550092" w:rsidR="00D40F2A" w:rsidRPr="000F0D8B" w:rsidRDefault="00D40F2A" w:rsidP="009E3AD8">
      <w:pPr>
        <w:spacing w:line="276" w:lineRule="auto"/>
        <w:ind w:firstLine="720"/>
        <w:jc w:val="both"/>
        <w:rPr>
          <w:rFonts w:asciiTheme="minorHAnsi" w:eastAsia="Calibri" w:hAnsiTheme="minorHAnsi" w:cstheme="minorHAnsi"/>
          <w:iCs/>
          <w:sz w:val="26"/>
          <w:szCs w:val="26"/>
        </w:rPr>
      </w:pPr>
      <w:r w:rsidRPr="000F0D8B">
        <w:rPr>
          <w:rFonts w:asciiTheme="minorHAnsi" w:eastAsia="Calibri" w:hAnsiTheme="minorHAnsi" w:cstheme="minorHAnsi"/>
          <w:iCs/>
          <w:sz w:val="26"/>
          <w:szCs w:val="26"/>
        </w:rPr>
        <w:t xml:space="preserve">Pe lângă aceste activități, în cadrul acestui grup de lucru, reprezentantul </w:t>
      </w:r>
      <w:r w:rsidR="00967AFE">
        <w:rPr>
          <w:rFonts w:asciiTheme="minorHAnsi" w:eastAsia="Calibri" w:hAnsiTheme="minorHAnsi" w:cstheme="minorHAnsi"/>
          <w:iCs/>
          <w:sz w:val="26"/>
          <w:szCs w:val="26"/>
        </w:rPr>
        <w:t xml:space="preserve">S.N.G. </w:t>
      </w:r>
      <w:r w:rsidRPr="000F0D8B">
        <w:rPr>
          <w:rFonts w:asciiTheme="minorHAnsi" w:eastAsia="Calibri" w:hAnsiTheme="minorHAnsi" w:cstheme="minorHAnsi"/>
          <w:iCs/>
          <w:sz w:val="26"/>
          <w:szCs w:val="26"/>
        </w:rPr>
        <w:t>a fost implicat în două task force-uri importante, respectiv:</w:t>
      </w:r>
    </w:p>
    <w:p w14:paraId="4A437709" w14:textId="622AE827" w:rsidR="00D40F2A" w:rsidRPr="000F0D8B" w:rsidRDefault="00D40F2A" w:rsidP="009E3AD8">
      <w:pPr>
        <w:spacing w:line="276" w:lineRule="auto"/>
        <w:ind w:left="-57" w:firstLine="567"/>
        <w:jc w:val="both"/>
        <w:rPr>
          <w:rFonts w:asciiTheme="minorHAnsi" w:eastAsia="Calibri" w:hAnsiTheme="minorHAnsi" w:cstheme="minorHAnsi"/>
          <w:iCs/>
          <w:sz w:val="26"/>
          <w:szCs w:val="26"/>
        </w:rPr>
      </w:pPr>
      <w:r w:rsidRPr="002E39A3">
        <w:rPr>
          <w:rFonts w:asciiTheme="minorHAnsi" w:eastAsia="Calibri" w:hAnsiTheme="minorHAnsi" w:cstheme="minorHAnsi"/>
          <w:iCs/>
          <w:sz w:val="26"/>
          <w:szCs w:val="26"/>
        </w:rPr>
        <w:t>●</w:t>
      </w:r>
      <w:r w:rsidRPr="002E39A3">
        <w:rPr>
          <w:rFonts w:asciiTheme="minorHAnsi" w:eastAsia="Calibri" w:hAnsiTheme="minorHAnsi" w:cstheme="minorHAnsi"/>
          <w:iCs/>
          <w:sz w:val="26"/>
          <w:szCs w:val="26"/>
        </w:rPr>
        <w:tab/>
        <w:t>Studiul form</w:t>
      </w:r>
      <w:r w:rsidR="00C40C03" w:rsidRPr="002E39A3">
        <w:rPr>
          <w:rFonts w:asciiTheme="minorHAnsi" w:eastAsia="Calibri" w:hAnsiTheme="minorHAnsi" w:cstheme="minorHAnsi"/>
          <w:iCs/>
          <w:sz w:val="26"/>
          <w:szCs w:val="26"/>
        </w:rPr>
        <w:t>ării</w:t>
      </w:r>
      <w:r w:rsidRPr="002E39A3">
        <w:rPr>
          <w:rFonts w:asciiTheme="minorHAnsi" w:eastAsia="Calibri" w:hAnsiTheme="minorHAnsi" w:cstheme="minorHAnsi"/>
          <w:iCs/>
          <w:sz w:val="26"/>
          <w:szCs w:val="26"/>
        </w:rPr>
        <w:t xml:space="preserve"> judiciar</w:t>
      </w:r>
      <w:r w:rsidR="00C40C03" w:rsidRPr="002E39A3">
        <w:rPr>
          <w:rFonts w:asciiTheme="minorHAnsi" w:eastAsia="Calibri" w:hAnsiTheme="minorHAnsi" w:cstheme="minorHAnsi"/>
          <w:iCs/>
          <w:sz w:val="26"/>
          <w:szCs w:val="26"/>
        </w:rPr>
        <w:t>e în Europa</w:t>
      </w:r>
      <w:r w:rsidRPr="002E39A3">
        <w:rPr>
          <w:rFonts w:asciiTheme="minorHAnsi" w:eastAsia="Calibri" w:hAnsiTheme="minorHAnsi" w:cstheme="minorHAnsi"/>
          <w:iCs/>
          <w:sz w:val="26"/>
          <w:szCs w:val="26"/>
        </w:rPr>
        <w:t xml:space="preserve"> </w:t>
      </w:r>
      <w:r w:rsidRPr="000F0D8B">
        <w:rPr>
          <w:rFonts w:asciiTheme="minorHAnsi" w:eastAsia="Calibri" w:hAnsiTheme="minorHAnsi" w:cstheme="minorHAnsi"/>
          <w:iCs/>
          <w:sz w:val="26"/>
          <w:szCs w:val="26"/>
        </w:rPr>
        <w:t>– proces de centralizare și analiză a datelor colectate de la 53 de instituții de formare judiciară (Judicial Training Institutions – JTIs) din Europa, cu scopul de a oferi o imagine detaliată asupra peisajului formării judiciare. Acest studiu va constitui o bază solidă pentru reflecție, schimb de bune practici și dezvoltarea unor acțiuni strategice coordonate în cadrul E</w:t>
      </w:r>
      <w:r w:rsidR="00650F70"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J</w:t>
      </w:r>
      <w:r w:rsidR="00650F70"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T</w:t>
      </w:r>
      <w:r w:rsidR="00650F70"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N</w:t>
      </w:r>
      <w:r w:rsidR="00650F70"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w:t>
      </w:r>
    </w:p>
    <w:p w14:paraId="193A712F" w14:textId="77777777" w:rsidR="00D40F2A" w:rsidRPr="000F0D8B" w:rsidRDefault="00D40F2A" w:rsidP="009E3AD8">
      <w:pPr>
        <w:spacing w:line="276" w:lineRule="auto"/>
        <w:ind w:left="-57" w:firstLine="567"/>
        <w:jc w:val="both"/>
        <w:rPr>
          <w:rFonts w:asciiTheme="minorHAnsi" w:eastAsia="Calibri" w:hAnsiTheme="minorHAnsi" w:cstheme="minorHAnsi"/>
          <w:iCs/>
          <w:sz w:val="26"/>
          <w:szCs w:val="26"/>
        </w:rPr>
      </w:pPr>
      <w:r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ab/>
        <w:t>Proiectul Blueprint – o inițiativă destinată elaborării unui model de formare standardizat și adaptabil, conceput pentru a eficientiza educația judiciară în instituțiile de formare judiciară. Proiectul vizează dezvoltarea unor pachete de formare coerente, cu accent pe dimensiunea digitală, menite să răspundă atât nevoilor de formare inițială, cât și celor de formare continuă la nivel național.</w:t>
      </w:r>
    </w:p>
    <w:p w14:paraId="7214D48A" w14:textId="5ECA1E71" w:rsidR="00D40F2A" w:rsidRPr="000F0D8B" w:rsidRDefault="00967AFE" w:rsidP="009E3AD8">
      <w:pPr>
        <w:spacing w:line="276" w:lineRule="auto"/>
        <w:ind w:firstLine="720"/>
        <w:jc w:val="both"/>
        <w:rPr>
          <w:rFonts w:asciiTheme="minorHAnsi" w:eastAsia="Calibri" w:hAnsiTheme="minorHAnsi" w:cstheme="minorHAnsi"/>
          <w:iCs/>
          <w:sz w:val="26"/>
          <w:szCs w:val="26"/>
        </w:rPr>
      </w:pPr>
      <w:r>
        <w:rPr>
          <w:rFonts w:asciiTheme="minorHAnsi" w:eastAsia="Calibri" w:hAnsiTheme="minorHAnsi" w:cstheme="minorHAnsi"/>
          <w:iCs/>
          <w:sz w:val="26"/>
          <w:szCs w:val="26"/>
        </w:rPr>
        <w:t>În</w:t>
      </w:r>
      <w:r w:rsidR="00D40F2A" w:rsidRPr="000F0D8B">
        <w:rPr>
          <w:rFonts w:asciiTheme="minorHAnsi" w:eastAsia="Calibri" w:hAnsiTheme="minorHAnsi" w:cstheme="minorHAnsi"/>
          <w:iCs/>
          <w:sz w:val="26"/>
          <w:szCs w:val="26"/>
        </w:rPr>
        <w:t xml:space="preserve"> data de 10 martie 2025 a avut loc, online, prima întâlnire a Grupului de lucru „Lingvistic” E</w:t>
      </w:r>
      <w:r w:rsidR="00650F70" w:rsidRPr="000F0D8B">
        <w:rPr>
          <w:rFonts w:asciiTheme="minorHAnsi" w:eastAsia="Calibri" w:hAnsiTheme="minorHAnsi" w:cstheme="minorHAnsi"/>
          <w:iCs/>
          <w:sz w:val="26"/>
          <w:szCs w:val="26"/>
        </w:rPr>
        <w:t>.</w:t>
      </w:r>
      <w:r w:rsidR="00D40F2A" w:rsidRPr="000F0D8B">
        <w:rPr>
          <w:rFonts w:asciiTheme="minorHAnsi" w:eastAsia="Calibri" w:hAnsiTheme="minorHAnsi" w:cstheme="minorHAnsi"/>
          <w:iCs/>
          <w:sz w:val="26"/>
          <w:szCs w:val="26"/>
        </w:rPr>
        <w:t>J</w:t>
      </w:r>
      <w:r w:rsidR="00650F70" w:rsidRPr="000F0D8B">
        <w:rPr>
          <w:rFonts w:asciiTheme="minorHAnsi" w:eastAsia="Calibri" w:hAnsiTheme="minorHAnsi" w:cstheme="minorHAnsi"/>
          <w:iCs/>
          <w:sz w:val="26"/>
          <w:szCs w:val="26"/>
        </w:rPr>
        <w:t>.</w:t>
      </w:r>
      <w:r w:rsidR="00D40F2A" w:rsidRPr="000F0D8B">
        <w:rPr>
          <w:rFonts w:asciiTheme="minorHAnsi" w:eastAsia="Calibri" w:hAnsiTheme="minorHAnsi" w:cstheme="minorHAnsi"/>
          <w:iCs/>
          <w:sz w:val="26"/>
          <w:szCs w:val="26"/>
        </w:rPr>
        <w:t>T</w:t>
      </w:r>
      <w:r w:rsidR="00650F70" w:rsidRPr="000F0D8B">
        <w:rPr>
          <w:rFonts w:asciiTheme="minorHAnsi" w:eastAsia="Calibri" w:hAnsiTheme="minorHAnsi" w:cstheme="minorHAnsi"/>
          <w:iCs/>
          <w:sz w:val="26"/>
          <w:szCs w:val="26"/>
        </w:rPr>
        <w:t>.</w:t>
      </w:r>
      <w:r w:rsidR="00D40F2A" w:rsidRPr="000F0D8B">
        <w:rPr>
          <w:rFonts w:asciiTheme="minorHAnsi" w:eastAsia="Calibri" w:hAnsiTheme="minorHAnsi" w:cstheme="minorHAnsi"/>
          <w:iCs/>
          <w:sz w:val="26"/>
          <w:szCs w:val="26"/>
        </w:rPr>
        <w:t>N</w:t>
      </w:r>
      <w:r w:rsidR="00650F70" w:rsidRPr="000F0D8B">
        <w:rPr>
          <w:rFonts w:asciiTheme="minorHAnsi" w:eastAsia="Calibri" w:hAnsiTheme="minorHAnsi" w:cstheme="minorHAnsi"/>
          <w:iCs/>
          <w:sz w:val="26"/>
          <w:szCs w:val="26"/>
        </w:rPr>
        <w:t>.</w:t>
      </w:r>
      <w:r w:rsidR="00D40F2A" w:rsidRPr="000F0D8B">
        <w:rPr>
          <w:rFonts w:asciiTheme="minorHAnsi" w:eastAsia="Calibri" w:hAnsiTheme="minorHAnsi" w:cstheme="minorHAnsi"/>
          <w:iCs/>
          <w:sz w:val="26"/>
          <w:szCs w:val="26"/>
        </w:rPr>
        <w:t xml:space="preserve"> în cadrul căreia au fost propuse temele activităților care se vor organiza în anul 2026 în acest domeniu.</w:t>
      </w:r>
    </w:p>
    <w:p w14:paraId="242AA261" w14:textId="7E7AE2B9" w:rsidR="00D40F2A" w:rsidRPr="000F0D8B" w:rsidRDefault="00D40F2A" w:rsidP="009E3AD8">
      <w:pPr>
        <w:spacing w:line="276" w:lineRule="auto"/>
        <w:ind w:firstLine="720"/>
        <w:jc w:val="both"/>
        <w:rPr>
          <w:rFonts w:asciiTheme="minorHAnsi" w:eastAsia="Calibri" w:hAnsiTheme="minorHAnsi" w:cstheme="minorHAnsi"/>
          <w:iCs/>
          <w:sz w:val="26"/>
          <w:szCs w:val="26"/>
        </w:rPr>
      </w:pPr>
      <w:r w:rsidRPr="000F0D8B">
        <w:rPr>
          <w:rFonts w:asciiTheme="minorHAnsi" w:eastAsia="Calibri" w:hAnsiTheme="minorHAnsi" w:cstheme="minorHAnsi"/>
          <w:iCs/>
          <w:sz w:val="26"/>
          <w:szCs w:val="26"/>
        </w:rPr>
        <w:t>În data de 16 septembrie 2025 a avut loc, online, a doua întâlnire a Grupului Lingvistic din cadrul E</w:t>
      </w:r>
      <w:r w:rsidR="00BA1F0B"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J</w:t>
      </w:r>
      <w:r w:rsidR="00BA1F0B"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T</w:t>
      </w:r>
      <w:r w:rsidR="00BA1F0B"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N</w:t>
      </w:r>
      <w:r w:rsidR="00BA1F0B"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în urma căreia au fost analizate activitățile desfășurate în anul 2025 și au fost planificate evenimentele care vor fi organizate în anul 2026 în acest domeniu. Totodată, au fost stabilite, în principiu, întâlnirile care vor avea loc în anul 2026.</w:t>
      </w:r>
    </w:p>
    <w:p w14:paraId="12A41A9D" w14:textId="5734A1F9" w:rsidR="00D40F2A" w:rsidRPr="000F0D8B" w:rsidRDefault="00D40F2A" w:rsidP="009E3AD8">
      <w:pPr>
        <w:spacing w:line="276" w:lineRule="auto"/>
        <w:ind w:firstLine="720"/>
        <w:jc w:val="both"/>
        <w:rPr>
          <w:rFonts w:asciiTheme="minorHAnsi" w:eastAsia="Calibri" w:hAnsiTheme="minorHAnsi" w:cstheme="minorHAnsi"/>
          <w:iCs/>
          <w:sz w:val="26"/>
          <w:szCs w:val="26"/>
        </w:rPr>
      </w:pPr>
      <w:r w:rsidRPr="000F0D8B">
        <w:rPr>
          <w:rFonts w:asciiTheme="minorHAnsi" w:eastAsia="Calibri" w:hAnsiTheme="minorHAnsi" w:cstheme="minorHAnsi"/>
          <w:iCs/>
          <w:sz w:val="26"/>
          <w:szCs w:val="26"/>
        </w:rPr>
        <w:t xml:space="preserve">În perioada </w:t>
      </w:r>
      <w:r w:rsidR="008F03D8">
        <w:rPr>
          <w:rFonts w:asciiTheme="minorHAnsi" w:eastAsia="Calibri" w:hAnsiTheme="minorHAnsi" w:cstheme="minorHAnsi"/>
          <w:iCs/>
          <w:sz w:val="26"/>
          <w:szCs w:val="26"/>
        </w:rPr>
        <w:t>0</w:t>
      </w:r>
      <w:r w:rsidRPr="000F0D8B">
        <w:rPr>
          <w:rFonts w:asciiTheme="minorHAnsi" w:eastAsia="Calibri" w:hAnsiTheme="minorHAnsi" w:cstheme="minorHAnsi"/>
          <w:iCs/>
          <w:sz w:val="26"/>
          <w:szCs w:val="26"/>
        </w:rPr>
        <w:t xml:space="preserve">2 </w:t>
      </w:r>
      <w:r w:rsidR="00BA1F0B"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xml:space="preserve"> </w:t>
      </w:r>
      <w:r w:rsidR="008F03D8">
        <w:rPr>
          <w:rFonts w:asciiTheme="minorHAnsi" w:eastAsia="Calibri" w:hAnsiTheme="minorHAnsi" w:cstheme="minorHAnsi"/>
          <w:iCs/>
          <w:sz w:val="26"/>
          <w:szCs w:val="26"/>
        </w:rPr>
        <w:t>0</w:t>
      </w:r>
      <w:r w:rsidRPr="000F0D8B">
        <w:rPr>
          <w:rFonts w:asciiTheme="minorHAnsi" w:eastAsia="Calibri" w:hAnsiTheme="minorHAnsi" w:cstheme="minorHAnsi"/>
          <w:iCs/>
          <w:sz w:val="26"/>
          <w:szCs w:val="26"/>
        </w:rPr>
        <w:t>3</w:t>
      </w:r>
      <w:r w:rsidR="000D5BDF">
        <w:rPr>
          <w:rFonts w:asciiTheme="minorHAnsi" w:eastAsia="Calibri" w:hAnsiTheme="minorHAnsi" w:cstheme="minorHAnsi"/>
          <w:iCs/>
          <w:sz w:val="26"/>
          <w:szCs w:val="26"/>
        </w:rPr>
        <w:t xml:space="preserve"> aprilie </w:t>
      </w:r>
      <w:r w:rsidRPr="000F0D8B">
        <w:rPr>
          <w:rFonts w:asciiTheme="minorHAnsi" w:eastAsia="Calibri" w:hAnsiTheme="minorHAnsi" w:cstheme="minorHAnsi"/>
          <w:iCs/>
          <w:sz w:val="26"/>
          <w:szCs w:val="26"/>
        </w:rPr>
        <w:t xml:space="preserve">2025, la Lisabona, </w:t>
      </w:r>
      <w:r w:rsidR="00967AFE">
        <w:rPr>
          <w:rFonts w:asciiTheme="minorHAnsi" w:eastAsia="Calibri" w:hAnsiTheme="minorHAnsi" w:cstheme="minorHAnsi"/>
          <w:iCs/>
          <w:sz w:val="26"/>
          <w:szCs w:val="26"/>
        </w:rPr>
        <w:t xml:space="preserve">în </w:t>
      </w:r>
      <w:r w:rsidRPr="000F0D8B">
        <w:rPr>
          <w:rFonts w:asciiTheme="minorHAnsi" w:eastAsia="Calibri" w:hAnsiTheme="minorHAnsi" w:cstheme="minorHAnsi"/>
          <w:iCs/>
          <w:sz w:val="26"/>
          <w:szCs w:val="26"/>
        </w:rPr>
        <w:t>Portugalia, a avut loc prima reuniune anuală a Grupului de lucru „Digitalisation” din cadrul E</w:t>
      </w:r>
      <w:r w:rsidR="00BA1F0B"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J</w:t>
      </w:r>
      <w:r w:rsidR="00BA1F0B"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T</w:t>
      </w:r>
      <w:r w:rsidR="00BA1F0B"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N</w:t>
      </w:r>
      <w:r w:rsidR="00BA1F0B"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 xml:space="preserve">. Agenda întâlnirii a inclus analiza activităților desfășurate în 2024, raportarea progresului activităților planificate pentru 2025 și inițierea procesului de definire a calendarului de activități pentru </w:t>
      </w:r>
      <w:r w:rsidR="00967AFE">
        <w:rPr>
          <w:rFonts w:asciiTheme="minorHAnsi" w:eastAsia="Calibri" w:hAnsiTheme="minorHAnsi" w:cstheme="minorHAnsi"/>
          <w:iCs/>
          <w:sz w:val="26"/>
          <w:szCs w:val="26"/>
        </w:rPr>
        <w:t xml:space="preserve">anul </w:t>
      </w:r>
      <w:r w:rsidRPr="000F0D8B">
        <w:rPr>
          <w:rFonts w:asciiTheme="minorHAnsi" w:eastAsia="Calibri" w:hAnsiTheme="minorHAnsi" w:cstheme="minorHAnsi"/>
          <w:iCs/>
          <w:sz w:val="26"/>
          <w:szCs w:val="26"/>
        </w:rPr>
        <w:t xml:space="preserve">2026, </w:t>
      </w:r>
      <w:r w:rsidR="00967AFE">
        <w:rPr>
          <w:rFonts w:asciiTheme="minorHAnsi" w:eastAsia="Calibri" w:hAnsiTheme="minorHAnsi" w:cstheme="minorHAnsi"/>
          <w:iCs/>
          <w:sz w:val="26"/>
          <w:szCs w:val="26"/>
        </w:rPr>
        <w:t>S.N.G.</w:t>
      </w:r>
      <w:r w:rsidRPr="000F0D8B">
        <w:rPr>
          <w:rFonts w:asciiTheme="minorHAnsi" w:eastAsia="Calibri" w:hAnsiTheme="minorHAnsi" w:cstheme="minorHAnsi"/>
          <w:iCs/>
          <w:sz w:val="26"/>
          <w:szCs w:val="26"/>
        </w:rPr>
        <w:t xml:space="preserve">, prin reprezentantul Departamentului relații internaționale în cadrul grupului de lucru, </w:t>
      </w:r>
      <w:r w:rsidR="00436D62" w:rsidRPr="002E39A3">
        <w:rPr>
          <w:rFonts w:asciiTheme="minorHAnsi" w:eastAsia="Calibri" w:hAnsiTheme="minorHAnsi" w:cstheme="minorHAnsi"/>
          <w:iCs/>
          <w:sz w:val="26"/>
          <w:szCs w:val="26"/>
        </w:rPr>
        <w:t>a transmis</w:t>
      </w:r>
      <w:r w:rsidRPr="002E39A3">
        <w:rPr>
          <w:rFonts w:asciiTheme="minorHAnsi" w:eastAsia="Calibri" w:hAnsiTheme="minorHAnsi" w:cstheme="minorHAnsi"/>
          <w:iCs/>
          <w:sz w:val="26"/>
          <w:szCs w:val="26"/>
        </w:rPr>
        <w:t xml:space="preserve"> un tutorial audio-video privind sistemul e-CODEX, axat pe prezentarea funcționalităților principale și a importanței acestuia pentru cooperarea judiciară transfrontalieră în materie civilă și comercială în Uniunea Europeană. În ceea ce privește propunerile pentru anul 2026 din cadrul întâlnirii, </w:t>
      </w:r>
      <w:r w:rsidR="00967AFE" w:rsidRPr="002E39A3">
        <w:rPr>
          <w:rFonts w:asciiTheme="minorHAnsi" w:eastAsia="Calibri" w:hAnsiTheme="minorHAnsi" w:cstheme="minorHAnsi"/>
          <w:iCs/>
          <w:sz w:val="26"/>
          <w:szCs w:val="26"/>
        </w:rPr>
        <w:t xml:space="preserve">S.N.G. </w:t>
      </w:r>
      <w:r w:rsidRPr="002E39A3">
        <w:rPr>
          <w:rFonts w:asciiTheme="minorHAnsi" w:eastAsia="Calibri" w:hAnsiTheme="minorHAnsi" w:cstheme="minorHAnsi"/>
          <w:iCs/>
          <w:sz w:val="26"/>
          <w:szCs w:val="26"/>
        </w:rPr>
        <w:t xml:space="preserve">a propus organizarea unui webinar intitulat „AI Tools for Judicial Efficiency”, dedicat utilizării instrumentelor de inteligență artificială pentru creșterea eficienței în activitatea judiciară. În luna august 2025 au fost transmise către coordonatorul grupului descrierea și obiectivele acestei acțiuni de formare, fiind stabilită și perioada de derulare a webinarului – </w:t>
      </w:r>
      <w:r w:rsidRPr="000F0D8B">
        <w:rPr>
          <w:rFonts w:asciiTheme="minorHAnsi" w:eastAsia="Calibri" w:hAnsiTheme="minorHAnsi" w:cstheme="minorHAnsi"/>
          <w:iCs/>
          <w:sz w:val="26"/>
          <w:szCs w:val="26"/>
        </w:rPr>
        <w:t>a doua parte a anului 2026.</w:t>
      </w:r>
    </w:p>
    <w:p w14:paraId="3C9DB56E" w14:textId="77777777" w:rsidR="00D40F2A" w:rsidRPr="000F0D8B" w:rsidRDefault="00D40F2A" w:rsidP="009E3AD8">
      <w:pPr>
        <w:spacing w:line="276" w:lineRule="auto"/>
        <w:ind w:firstLine="720"/>
        <w:jc w:val="both"/>
        <w:rPr>
          <w:rFonts w:asciiTheme="minorHAnsi" w:eastAsia="Calibri" w:hAnsiTheme="minorHAnsi" w:cstheme="minorHAnsi"/>
          <w:iCs/>
          <w:sz w:val="26"/>
          <w:szCs w:val="26"/>
        </w:rPr>
      </w:pPr>
      <w:r w:rsidRPr="000F0D8B">
        <w:rPr>
          <w:rFonts w:asciiTheme="minorHAnsi" w:eastAsia="Calibri" w:hAnsiTheme="minorHAnsi" w:cstheme="minorHAnsi"/>
          <w:iCs/>
          <w:sz w:val="26"/>
          <w:szCs w:val="26"/>
        </w:rPr>
        <w:t>A doua întâlnire anuală a Grupului „Digitalisation” s-a desfășurat online, la data de 9 octombrie 2025. Discuțiile au vizat raportarea datelor privind activitățile implementate în 2025 până la data întâlnirii, prezentarea progresului activităților aflate în curs de implementare până la finalul anului, finalizarea programului de formare pentru anul 2026, precum și identificarea unor posibile teme de interes pentru anul 2027.</w:t>
      </w:r>
    </w:p>
    <w:p w14:paraId="0945FFE0" w14:textId="562ECD79" w:rsidR="00D40F2A" w:rsidRPr="000F0D8B" w:rsidRDefault="00D40F2A" w:rsidP="009E3AD8">
      <w:pPr>
        <w:spacing w:line="276" w:lineRule="auto"/>
        <w:ind w:right="26" w:firstLine="644"/>
        <w:jc w:val="both"/>
        <w:rPr>
          <w:rFonts w:asciiTheme="minorHAnsi" w:hAnsiTheme="minorHAnsi" w:cstheme="minorHAnsi"/>
          <w:b/>
          <w:sz w:val="26"/>
          <w:szCs w:val="26"/>
        </w:rPr>
      </w:pPr>
      <w:r w:rsidRPr="000F0D8B">
        <w:rPr>
          <w:rFonts w:asciiTheme="minorHAnsi" w:hAnsiTheme="minorHAnsi" w:cstheme="minorHAnsi"/>
          <w:b/>
          <w:sz w:val="26"/>
          <w:szCs w:val="26"/>
        </w:rPr>
        <w:t>Proiecte coordonate de Academia de Drept European (E</w:t>
      </w:r>
      <w:r w:rsidR="009F5B5D" w:rsidRPr="000F0D8B">
        <w:rPr>
          <w:rFonts w:asciiTheme="minorHAnsi" w:hAnsiTheme="minorHAnsi" w:cstheme="minorHAnsi"/>
          <w:b/>
          <w:sz w:val="26"/>
          <w:szCs w:val="26"/>
        </w:rPr>
        <w:t>.</w:t>
      </w:r>
      <w:r w:rsidRPr="000F0D8B">
        <w:rPr>
          <w:rFonts w:asciiTheme="minorHAnsi" w:hAnsiTheme="minorHAnsi" w:cstheme="minorHAnsi"/>
          <w:b/>
          <w:sz w:val="26"/>
          <w:szCs w:val="26"/>
        </w:rPr>
        <w:t>R</w:t>
      </w:r>
      <w:r w:rsidR="009F5B5D" w:rsidRPr="000F0D8B">
        <w:rPr>
          <w:rFonts w:asciiTheme="minorHAnsi" w:hAnsiTheme="minorHAnsi" w:cstheme="minorHAnsi"/>
          <w:b/>
          <w:sz w:val="26"/>
          <w:szCs w:val="26"/>
        </w:rPr>
        <w:t>.</w:t>
      </w:r>
      <w:r w:rsidRPr="000F0D8B">
        <w:rPr>
          <w:rFonts w:asciiTheme="minorHAnsi" w:hAnsiTheme="minorHAnsi" w:cstheme="minorHAnsi"/>
          <w:b/>
          <w:sz w:val="26"/>
          <w:szCs w:val="26"/>
        </w:rPr>
        <w:t>A</w:t>
      </w:r>
      <w:r w:rsidR="009F5B5D" w:rsidRPr="000F0D8B">
        <w:rPr>
          <w:rFonts w:asciiTheme="minorHAnsi" w:hAnsiTheme="minorHAnsi" w:cstheme="minorHAnsi"/>
          <w:b/>
          <w:sz w:val="26"/>
          <w:szCs w:val="26"/>
        </w:rPr>
        <w:t>.</w:t>
      </w:r>
      <w:r w:rsidRPr="000F0D8B">
        <w:rPr>
          <w:rFonts w:asciiTheme="minorHAnsi" w:hAnsiTheme="minorHAnsi" w:cstheme="minorHAnsi"/>
          <w:b/>
          <w:sz w:val="26"/>
          <w:szCs w:val="26"/>
        </w:rPr>
        <w:t>)</w:t>
      </w:r>
    </w:p>
    <w:p w14:paraId="5D75EFB7" w14:textId="4651584E" w:rsidR="00D40F2A" w:rsidRPr="000F0D8B" w:rsidRDefault="00D40F2A" w:rsidP="009E3AD8">
      <w:pPr>
        <w:spacing w:line="276" w:lineRule="auto"/>
        <w:ind w:firstLine="644"/>
        <w:jc w:val="both"/>
        <w:rPr>
          <w:rFonts w:asciiTheme="minorHAnsi" w:hAnsiTheme="minorHAnsi" w:cstheme="minorHAnsi"/>
          <w:sz w:val="26"/>
          <w:szCs w:val="26"/>
        </w:rPr>
      </w:pPr>
      <w:r w:rsidRPr="000F0D8B">
        <w:rPr>
          <w:rFonts w:asciiTheme="minorHAnsi" w:hAnsiTheme="minorHAnsi" w:cstheme="minorHAnsi"/>
          <w:sz w:val="26"/>
          <w:szCs w:val="26"/>
        </w:rPr>
        <w:t xml:space="preserve">La data de 20 martie 2025 a fost depusă propunerea de proiect intitulat „Training court staff and bailiffs on the digitalisation of judicial cooperation in civil and criminal law procedures” („Pregătirea profesională a grefierilor și a executorilor judecătorești cu privire la digitalizarea </w:t>
      </w:r>
      <w:r w:rsidRPr="000F0D8B">
        <w:rPr>
          <w:rFonts w:asciiTheme="minorHAnsi" w:hAnsiTheme="minorHAnsi" w:cstheme="minorHAnsi"/>
          <w:sz w:val="26"/>
          <w:szCs w:val="26"/>
        </w:rPr>
        <w:lastRenderedPageBreak/>
        <w:t>cooperării judiciare în materie civilă și penală”), de către Academia de Drept European (E</w:t>
      </w:r>
      <w:r w:rsidR="00497D0B" w:rsidRPr="000F0D8B">
        <w:rPr>
          <w:rFonts w:asciiTheme="minorHAnsi" w:hAnsiTheme="minorHAnsi" w:cstheme="minorHAnsi"/>
          <w:sz w:val="26"/>
          <w:szCs w:val="26"/>
        </w:rPr>
        <w:t>.</w:t>
      </w:r>
      <w:r w:rsidRPr="000F0D8B">
        <w:rPr>
          <w:rFonts w:asciiTheme="minorHAnsi" w:hAnsiTheme="minorHAnsi" w:cstheme="minorHAnsi"/>
          <w:sz w:val="26"/>
          <w:szCs w:val="26"/>
        </w:rPr>
        <w:t>R</w:t>
      </w:r>
      <w:r w:rsidR="00497D0B" w:rsidRPr="000F0D8B">
        <w:rPr>
          <w:rFonts w:asciiTheme="minorHAnsi" w:hAnsiTheme="minorHAnsi" w:cstheme="minorHAnsi"/>
          <w:sz w:val="26"/>
          <w:szCs w:val="26"/>
        </w:rPr>
        <w:t>.</w:t>
      </w:r>
      <w:r w:rsidRPr="000F0D8B">
        <w:rPr>
          <w:rFonts w:asciiTheme="minorHAnsi" w:hAnsiTheme="minorHAnsi" w:cstheme="minorHAnsi"/>
          <w:sz w:val="26"/>
          <w:szCs w:val="26"/>
        </w:rPr>
        <w:t>A</w:t>
      </w:r>
      <w:r w:rsidR="00497D0B" w:rsidRPr="000F0D8B">
        <w:rPr>
          <w:rFonts w:asciiTheme="minorHAnsi" w:hAnsiTheme="minorHAnsi" w:cstheme="minorHAnsi"/>
          <w:sz w:val="26"/>
          <w:szCs w:val="26"/>
        </w:rPr>
        <w:t>.</w:t>
      </w:r>
      <w:r w:rsidRPr="000F0D8B">
        <w:rPr>
          <w:rFonts w:asciiTheme="minorHAnsi" w:hAnsiTheme="minorHAnsi" w:cstheme="minorHAnsi"/>
          <w:sz w:val="26"/>
          <w:szCs w:val="26"/>
        </w:rPr>
        <w:t xml:space="preserve">), alături de 24 de instituții beneficiare și partenere, ca răspuns la apelul de propuneri al Comisiei Europene privind formarea judiciară - JUST-2025-JTRA. În cadrul proiectului, </w:t>
      </w:r>
      <w:r w:rsidR="00157454">
        <w:rPr>
          <w:rFonts w:asciiTheme="minorHAnsi" w:hAnsiTheme="minorHAnsi" w:cstheme="minorHAnsi"/>
          <w:sz w:val="26"/>
          <w:szCs w:val="26"/>
        </w:rPr>
        <w:t xml:space="preserve">S.N.G. </w:t>
      </w:r>
      <w:r w:rsidRPr="000F0D8B">
        <w:rPr>
          <w:rFonts w:asciiTheme="minorHAnsi" w:hAnsiTheme="minorHAnsi" w:cstheme="minorHAnsi"/>
          <w:sz w:val="26"/>
          <w:szCs w:val="26"/>
        </w:rPr>
        <w:t>ar urma să aibă calitatea de beneficiar.</w:t>
      </w:r>
    </w:p>
    <w:p w14:paraId="107A3A4B" w14:textId="7C08615B" w:rsidR="00D40F2A" w:rsidRPr="000F0D8B" w:rsidRDefault="00D40F2A" w:rsidP="009E3AD8">
      <w:pPr>
        <w:spacing w:line="276" w:lineRule="auto"/>
        <w:ind w:firstLine="644"/>
        <w:jc w:val="both"/>
        <w:rPr>
          <w:rFonts w:asciiTheme="minorHAnsi" w:hAnsiTheme="minorHAnsi" w:cstheme="minorHAnsi"/>
          <w:sz w:val="26"/>
          <w:szCs w:val="26"/>
        </w:rPr>
      </w:pPr>
      <w:r w:rsidRPr="000F0D8B">
        <w:rPr>
          <w:rFonts w:asciiTheme="minorHAnsi" w:hAnsiTheme="minorHAnsi" w:cstheme="minorHAnsi"/>
          <w:sz w:val="26"/>
          <w:szCs w:val="26"/>
        </w:rPr>
        <w:t xml:space="preserve">Participarea </w:t>
      </w:r>
      <w:r w:rsidR="00157454">
        <w:rPr>
          <w:rFonts w:asciiTheme="minorHAnsi" w:hAnsiTheme="minorHAnsi" w:cstheme="minorHAnsi"/>
          <w:sz w:val="26"/>
          <w:szCs w:val="26"/>
        </w:rPr>
        <w:t xml:space="preserve">S.N.G. </w:t>
      </w:r>
      <w:r w:rsidRPr="000F0D8B">
        <w:rPr>
          <w:rFonts w:asciiTheme="minorHAnsi" w:hAnsiTheme="minorHAnsi" w:cstheme="minorHAnsi"/>
          <w:sz w:val="26"/>
          <w:szCs w:val="26"/>
        </w:rPr>
        <w:t>în cadrul proiectului a fost aprobată de către Consiliul de conducere prin Hotărârea nr. 8/</w:t>
      </w:r>
      <w:r w:rsidR="001F5B86">
        <w:rPr>
          <w:rFonts w:asciiTheme="minorHAnsi" w:hAnsiTheme="minorHAnsi" w:cstheme="minorHAnsi"/>
          <w:sz w:val="26"/>
          <w:szCs w:val="26"/>
        </w:rPr>
        <w:t>0</w:t>
      </w:r>
      <w:r w:rsidRPr="000F0D8B">
        <w:rPr>
          <w:rFonts w:asciiTheme="minorHAnsi" w:hAnsiTheme="minorHAnsi" w:cstheme="minorHAnsi"/>
          <w:sz w:val="26"/>
          <w:szCs w:val="26"/>
        </w:rPr>
        <w:t>4</w:t>
      </w:r>
      <w:r w:rsidR="00027977" w:rsidRPr="000F0D8B">
        <w:rPr>
          <w:rFonts w:asciiTheme="minorHAnsi" w:hAnsiTheme="minorHAnsi" w:cstheme="minorHAnsi"/>
          <w:sz w:val="26"/>
          <w:szCs w:val="26"/>
        </w:rPr>
        <w:t>.03.</w:t>
      </w:r>
      <w:r w:rsidRPr="000F0D8B">
        <w:rPr>
          <w:rFonts w:asciiTheme="minorHAnsi" w:hAnsiTheme="minorHAnsi" w:cstheme="minorHAnsi"/>
          <w:sz w:val="26"/>
          <w:szCs w:val="26"/>
        </w:rPr>
        <w:t>2025 și de către C</w:t>
      </w:r>
      <w:r w:rsidR="00157454">
        <w:rPr>
          <w:rFonts w:asciiTheme="minorHAnsi" w:hAnsiTheme="minorHAnsi" w:cstheme="minorHAnsi"/>
          <w:sz w:val="26"/>
          <w:szCs w:val="26"/>
        </w:rPr>
        <w:t xml:space="preserve">.S.M. </w:t>
      </w:r>
      <w:r w:rsidRPr="000F0D8B">
        <w:rPr>
          <w:rFonts w:asciiTheme="minorHAnsi" w:hAnsiTheme="minorHAnsi" w:cstheme="minorHAnsi"/>
          <w:sz w:val="26"/>
          <w:szCs w:val="26"/>
        </w:rPr>
        <w:t xml:space="preserve">în cadrul Comisiei nr. 4 </w:t>
      </w:r>
      <w:r w:rsidR="000D5BDF">
        <w:rPr>
          <w:rFonts w:asciiTheme="minorHAnsi" w:hAnsiTheme="minorHAnsi" w:cstheme="minorHAnsi"/>
          <w:sz w:val="26"/>
          <w:szCs w:val="26"/>
        </w:rPr>
        <w:t xml:space="preserve">- </w:t>
      </w:r>
      <w:r w:rsidRPr="000F0D8B">
        <w:rPr>
          <w:rFonts w:asciiTheme="minorHAnsi" w:hAnsiTheme="minorHAnsi" w:cstheme="minorHAnsi"/>
          <w:sz w:val="26"/>
          <w:szCs w:val="26"/>
        </w:rPr>
        <w:t>Relații internaționale și programe din data de 20 martie 2025.</w:t>
      </w:r>
    </w:p>
    <w:p w14:paraId="3C1AF78F" w14:textId="2D63AE0E" w:rsidR="00D40F2A" w:rsidRPr="000F0D8B" w:rsidRDefault="00D40F2A" w:rsidP="009E3AD8">
      <w:pPr>
        <w:spacing w:line="276" w:lineRule="auto"/>
        <w:ind w:firstLine="644"/>
        <w:jc w:val="both"/>
        <w:rPr>
          <w:rFonts w:asciiTheme="minorHAnsi" w:hAnsiTheme="minorHAnsi" w:cstheme="minorHAnsi"/>
          <w:sz w:val="26"/>
          <w:szCs w:val="26"/>
        </w:rPr>
      </w:pPr>
      <w:r w:rsidRPr="000F0D8B">
        <w:rPr>
          <w:rFonts w:asciiTheme="minorHAnsi" w:hAnsiTheme="minorHAnsi" w:cstheme="minorHAnsi"/>
          <w:sz w:val="26"/>
          <w:szCs w:val="26"/>
        </w:rPr>
        <w:t>Proiectul își propune printre obiective</w:t>
      </w:r>
      <w:r w:rsidR="00157454">
        <w:rPr>
          <w:rFonts w:asciiTheme="minorHAnsi" w:hAnsiTheme="minorHAnsi" w:cstheme="minorHAnsi"/>
          <w:sz w:val="26"/>
          <w:szCs w:val="26"/>
        </w:rPr>
        <w:t xml:space="preserve"> </w:t>
      </w:r>
      <w:r w:rsidRPr="000F0D8B">
        <w:rPr>
          <w:rFonts w:asciiTheme="minorHAnsi" w:hAnsiTheme="minorHAnsi" w:cstheme="minorHAnsi"/>
          <w:sz w:val="26"/>
          <w:szCs w:val="26"/>
        </w:rPr>
        <w:t>să contribuie la dezvoltarea și consolidarea cunoștințelor specializate privind legislația, practicile și sistemele legate de utilizarea transfrontalieră a tehnologiilor în procedurile civile și penale, în special utilizarea videoconferințelor</w:t>
      </w:r>
      <w:r w:rsidR="00157454">
        <w:rPr>
          <w:rFonts w:asciiTheme="minorHAnsi" w:hAnsiTheme="minorHAnsi" w:cstheme="minorHAnsi"/>
          <w:sz w:val="26"/>
          <w:szCs w:val="26"/>
        </w:rPr>
        <w:t>,</w:t>
      </w:r>
      <w:r w:rsidRPr="000F0D8B">
        <w:rPr>
          <w:rFonts w:asciiTheme="minorHAnsi" w:hAnsiTheme="minorHAnsi" w:cstheme="minorHAnsi"/>
          <w:sz w:val="26"/>
          <w:szCs w:val="26"/>
        </w:rPr>
        <w:t xml:space="preserve"> să îmbunătățească competențel</w:t>
      </w:r>
      <w:r w:rsidR="005B3B7D" w:rsidRPr="000F0D8B">
        <w:rPr>
          <w:rFonts w:asciiTheme="minorHAnsi" w:hAnsiTheme="minorHAnsi" w:cstheme="minorHAnsi"/>
          <w:sz w:val="26"/>
          <w:szCs w:val="26"/>
        </w:rPr>
        <w:t>e</w:t>
      </w:r>
      <w:r w:rsidRPr="000F0D8B">
        <w:rPr>
          <w:rFonts w:asciiTheme="minorHAnsi" w:hAnsiTheme="minorHAnsi" w:cstheme="minorHAnsi"/>
          <w:sz w:val="26"/>
          <w:szCs w:val="26"/>
        </w:rPr>
        <w:t xml:space="preserve"> lingvistice de bază necesare (citit, scris, vorbit și ascultat) cu privire la terminologia juridică în limba engleză pentru grefieri și executorii judecătorești</w:t>
      </w:r>
      <w:r w:rsidR="00157454">
        <w:rPr>
          <w:rFonts w:asciiTheme="minorHAnsi" w:hAnsiTheme="minorHAnsi" w:cstheme="minorHAnsi"/>
          <w:sz w:val="26"/>
          <w:szCs w:val="26"/>
        </w:rPr>
        <w:t>,</w:t>
      </w:r>
      <w:r w:rsidRPr="000F0D8B">
        <w:rPr>
          <w:rFonts w:asciiTheme="minorHAnsi" w:hAnsiTheme="minorHAnsi" w:cstheme="minorHAnsi"/>
          <w:sz w:val="26"/>
          <w:szCs w:val="26"/>
        </w:rPr>
        <w:t xml:space="preserve"> să sporească gradul de conștientizare privind noul Regulament privind digitalizarea cooperării judiciare și accesul la justiție în materie civilă și penală transfrontalieră; să ofere o platformă pentru schimbul de bune practici, informații și cunoștințe orientate spre practică; să creeze și să disemineze podcasturi video care identifică bunele practici privind utilizarea transfrontalieră a tehnologiilor informaționale și de comunicare.</w:t>
      </w:r>
    </w:p>
    <w:p w14:paraId="7197F825" w14:textId="6FE0F0E5" w:rsidR="00D40F2A" w:rsidRDefault="00D40F2A" w:rsidP="009E3AD8">
      <w:pPr>
        <w:spacing w:line="276" w:lineRule="auto"/>
        <w:ind w:firstLine="644"/>
        <w:jc w:val="both"/>
        <w:rPr>
          <w:rFonts w:asciiTheme="minorHAnsi" w:hAnsiTheme="minorHAnsi" w:cstheme="minorHAnsi"/>
          <w:sz w:val="26"/>
          <w:szCs w:val="26"/>
        </w:rPr>
      </w:pPr>
      <w:r w:rsidRPr="000F0D8B">
        <w:rPr>
          <w:rFonts w:asciiTheme="minorHAnsi" w:hAnsiTheme="minorHAnsi" w:cstheme="minorHAnsi"/>
          <w:sz w:val="26"/>
          <w:szCs w:val="26"/>
        </w:rPr>
        <w:t xml:space="preserve">În cadrul acestui proiect, </w:t>
      </w:r>
      <w:r w:rsidR="00157454">
        <w:rPr>
          <w:rFonts w:asciiTheme="minorHAnsi" w:hAnsiTheme="minorHAnsi" w:cstheme="minorHAnsi"/>
          <w:sz w:val="26"/>
          <w:szCs w:val="26"/>
        </w:rPr>
        <w:t xml:space="preserve">S.N.G. </w:t>
      </w:r>
      <w:r w:rsidRPr="000F0D8B">
        <w:rPr>
          <w:rFonts w:asciiTheme="minorHAnsi" w:hAnsiTheme="minorHAnsi" w:cstheme="minorHAnsi"/>
          <w:sz w:val="26"/>
          <w:szCs w:val="26"/>
        </w:rPr>
        <w:t xml:space="preserve">va găzdui un eveniment de formare lingvistică de </w:t>
      </w:r>
      <w:r w:rsidR="00AE0656" w:rsidRPr="000F0D8B">
        <w:rPr>
          <w:rFonts w:asciiTheme="minorHAnsi" w:hAnsiTheme="minorHAnsi" w:cstheme="minorHAnsi"/>
          <w:sz w:val="26"/>
          <w:szCs w:val="26"/>
        </w:rPr>
        <w:t>două</w:t>
      </w:r>
      <w:r w:rsidRPr="000F0D8B">
        <w:rPr>
          <w:rFonts w:asciiTheme="minorHAnsi" w:hAnsiTheme="minorHAnsi" w:cstheme="minorHAnsi"/>
          <w:sz w:val="26"/>
          <w:szCs w:val="26"/>
        </w:rPr>
        <w:t xml:space="preserve"> zile</w:t>
      </w:r>
      <w:r w:rsidR="00AE0656" w:rsidRPr="000F0D8B">
        <w:rPr>
          <w:rFonts w:asciiTheme="minorHAnsi" w:hAnsiTheme="minorHAnsi" w:cstheme="minorHAnsi"/>
          <w:sz w:val="26"/>
          <w:szCs w:val="26"/>
        </w:rPr>
        <w:t xml:space="preserve"> și jumătate</w:t>
      </w:r>
      <w:r w:rsidRPr="000F0D8B">
        <w:rPr>
          <w:rFonts w:asciiTheme="minorHAnsi" w:hAnsiTheme="minorHAnsi" w:cstheme="minorHAnsi"/>
          <w:sz w:val="26"/>
          <w:szCs w:val="26"/>
        </w:rPr>
        <w:t xml:space="preserve"> pentru un grup de 24 </w:t>
      </w:r>
      <w:r w:rsidR="000D5BDF">
        <w:rPr>
          <w:rFonts w:asciiTheme="minorHAnsi" w:hAnsiTheme="minorHAnsi" w:cstheme="minorHAnsi"/>
          <w:sz w:val="26"/>
          <w:szCs w:val="26"/>
        </w:rPr>
        <w:t xml:space="preserve">de </w:t>
      </w:r>
      <w:r w:rsidRPr="000F0D8B">
        <w:rPr>
          <w:rFonts w:asciiTheme="minorHAnsi" w:hAnsiTheme="minorHAnsi" w:cstheme="minorHAnsi"/>
          <w:sz w:val="26"/>
          <w:szCs w:val="26"/>
        </w:rPr>
        <w:t>grefieri și executori judecătorești din statele membre ale Uniunii Europene, iar la acțiunile de formare din cadrul proiectului vor participa aproximativ 26 de grefieri români.</w:t>
      </w:r>
    </w:p>
    <w:p w14:paraId="7907FE0E" w14:textId="77777777" w:rsidR="000247A7" w:rsidRPr="00AE70C1" w:rsidRDefault="000247A7" w:rsidP="000247A7">
      <w:pPr>
        <w:spacing w:line="276" w:lineRule="auto"/>
        <w:ind w:firstLine="644"/>
        <w:jc w:val="both"/>
        <w:rPr>
          <w:rFonts w:asciiTheme="minorHAnsi" w:hAnsiTheme="minorHAnsi" w:cstheme="minorHAnsi"/>
          <w:sz w:val="26"/>
          <w:szCs w:val="26"/>
        </w:rPr>
      </w:pPr>
      <w:r w:rsidRPr="00AE70C1">
        <w:rPr>
          <w:rFonts w:asciiTheme="minorHAnsi" w:hAnsiTheme="minorHAnsi" w:cstheme="minorHAnsi"/>
          <w:sz w:val="26"/>
          <w:szCs w:val="26"/>
        </w:rPr>
        <w:t>În august 2025, proiectul „Training court staff and bailiffs/judicial officers on the digitalization of judicial cooperation in civil and criminal law procedures” a fost selectat pentru cofinanțare de către Comisia Europeană (nr. proiect: 101249900).</w:t>
      </w:r>
    </w:p>
    <w:p w14:paraId="23867A21" w14:textId="3EEACAB6" w:rsidR="000247A7" w:rsidRPr="00AE70C1" w:rsidRDefault="000247A7" w:rsidP="000247A7">
      <w:pPr>
        <w:spacing w:line="276" w:lineRule="auto"/>
        <w:ind w:firstLine="644"/>
        <w:jc w:val="both"/>
        <w:rPr>
          <w:rFonts w:asciiTheme="minorHAnsi" w:hAnsiTheme="minorHAnsi" w:cstheme="minorHAnsi"/>
          <w:sz w:val="26"/>
          <w:szCs w:val="26"/>
        </w:rPr>
      </w:pPr>
      <w:r w:rsidRPr="00AE70C1">
        <w:rPr>
          <w:rFonts w:asciiTheme="minorHAnsi" w:hAnsiTheme="minorHAnsi" w:cstheme="minorHAnsi"/>
          <w:sz w:val="26"/>
          <w:szCs w:val="26"/>
        </w:rPr>
        <w:t>În etapa preliminară, S.N.G. a desemnat persoana responsabilă legal de semnarea documentelor, a transmis declarația de onoare și a semnat formularul de aderare la Acordul de Grant, împreună cu toate celelalte instituții beneficiare implicate în proiect</w:t>
      </w:r>
      <w:r w:rsidR="00EB7A2C" w:rsidRPr="00AE70C1">
        <w:rPr>
          <w:rFonts w:asciiTheme="minorHAnsi" w:hAnsiTheme="minorHAnsi" w:cstheme="minorHAnsi"/>
          <w:sz w:val="26"/>
          <w:szCs w:val="26"/>
        </w:rPr>
        <w:t>.</w:t>
      </w:r>
    </w:p>
    <w:p w14:paraId="407C9CD4" w14:textId="77777777" w:rsidR="00D40F2A" w:rsidRPr="000F0D8B" w:rsidRDefault="00D40F2A" w:rsidP="009E3AD8">
      <w:pPr>
        <w:spacing w:line="276" w:lineRule="auto"/>
        <w:ind w:firstLine="644"/>
        <w:jc w:val="both"/>
        <w:rPr>
          <w:rFonts w:asciiTheme="minorHAnsi" w:hAnsiTheme="minorHAnsi" w:cstheme="minorHAnsi"/>
          <w:b/>
          <w:bCs/>
          <w:sz w:val="26"/>
          <w:szCs w:val="26"/>
        </w:rPr>
      </w:pPr>
      <w:r w:rsidRPr="000F0D8B">
        <w:rPr>
          <w:rFonts w:asciiTheme="minorHAnsi" w:hAnsiTheme="minorHAnsi" w:cstheme="minorHAnsi"/>
          <w:b/>
          <w:bCs/>
          <w:sz w:val="26"/>
          <w:szCs w:val="26"/>
        </w:rPr>
        <w:t>CiviLink: Connecting Borders through e-CODEX Judicial Training (Conectarea frontierelor prin formare judiciară e-CODEX)</w:t>
      </w:r>
    </w:p>
    <w:p w14:paraId="07994517" w14:textId="31206C6A" w:rsidR="00D40F2A" w:rsidRPr="000F0D8B" w:rsidRDefault="00D40F2A" w:rsidP="009E3AD8">
      <w:pPr>
        <w:spacing w:line="276" w:lineRule="auto"/>
        <w:ind w:firstLine="644"/>
        <w:jc w:val="both"/>
        <w:rPr>
          <w:rFonts w:asciiTheme="minorHAnsi" w:hAnsiTheme="minorHAnsi" w:cstheme="minorHAnsi"/>
          <w:sz w:val="26"/>
          <w:szCs w:val="26"/>
        </w:rPr>
      </w:pPr>
      <w:r w:rsidRPr="000F0D8B">
        <w:rPr>
          <w:rFonts w:asciiTheme="minorHAnsi" w:hAnsiTheme="minorHAnsi" w:cstheme="minorHAnsi"/>
          <w:sz w:val="26"/>
          <w:szCs w:val="26"/>
        </w:rPr>
        <w:t>În luna martie a anului 2024, C</w:t>
      </w:r>
      <w:r w:rsidR="00157454">
        <w:rPr>
          <w:rFonts w:asciiTheme="minorHAnsi" w:hAnsiTheme="minorHAnsi" w:cstheme="minorHAnsi"/>
          <w:sz w:val="26"/>
          <w:szCs w:val="26"/>
        </w:rPr>
        <w:t>.S.M.</w:t>
      </w:r>
      <w:r w:rsidRPr="000F0D8B">
        <w:rPr>
          <w:rFonts w:asciiTheme="minorHAnsi" w:hAnsiTheme="minorHAnsi" w:cstheme="minorHAnsi"/>
          <w:sz w:val="26"/>
          <w:szCs w:val="26"/>
        </w:rPr>
        <w:t xml:space="preserve"> a aprobat solicitarea </w:t>
      </w:r>
      <w:r w:rsidR="00157454">
        <w:rPr>
          <w:rFonts w:asciiTheme="minorHAnsi" w:hAnsiTheme="minorHAnsi" w:cstheme="minorHAnsi"/>
          <w:sz w:val="26"/>
          <w:szCs w:val="26"/>
        </w:rPr>
        <w:t>S.N.G. d</w:t>
      </w:r>
      <w:r w:rsidRPr="000F0D8B">
        <w:rPr>
          <w:rFonts w:asciiTheme="minorHAnsi" w:hAnsiTheme="minorHAnsi" w:cstheme="minorHAnsi"/>
          <w:sz w:val="26"/>
          <w:szCs w:val="26"/>
        </w:rPr>
        <w:t>e a participa, în calitate de partener beneficiar, la proiectul „CiviLink: Connecting Borders through e-CODEX Judicial Training”, propus spre finanțare de I</w:t>
      </w:r>
      <w:r w:rsidR="00157454">
        <w:rPr>
          <w:rFonts w:asciiTheme="minorHAnsi" w:hAnsiTheme="minorHAnsi" w:cstheme="minorHAnsi"/>
          <w:sz w:val="26"/>
          <w:szCs w:val="26"/>
        </w:rPr>
        <w:t xml:space="preserve">.N.M. </w:t>
      </w:r>
      <w:r w:rsidRPr="000F0D8B">
        <w:rPr>
          <w:rFonts w:asciiTheme="minorHAnsi" w:hAnsiTheme="minorHAnsi" w:cstheme="minorHAnsi"/>
          <w:sz w:val="26"/>
          <w:szCs w:val="26"/>
        </w:rPr>
        <w:t>în cadrul apelului de proiecte „Call for proposals for action grants to support transnational projects on training of justice professionals covering civil law, criminal law or fundamental rights” (JUST-2024-JTRA), lansat de Comisia Europeană în decembrie 2023.</w:t>
      </w:r>
    </w:p>
    <w:p w14:paraId="1DFC2F31" w14:textId="3A194FB1" w:rsidR="00D40F2A" w:rsidRPr="000F0D8B" w:rsidRDefault="00D40F2A" w:rsidP="009E3AD8">
      <w:pPr>
        <w:spacing w:line="276" w:lineRule="auto"/>
        <w:ind w:firstLine="644"/>
        <w:jc w:val="both"/>
        <w:rPr>
          <w:rFonts w:asciiTheme="minorHAnsi" w:hAnsiTheme="minorHAnsi" w:cstheme="minorHAnsi"/>
          <w:sz w:val="26"/>
          <w:szCs w:val="26"/>
        </w:rPr>
      </w:pPr>
      <w:r w:rsidRPr="000F0D8B">
        <w:rPr>
          <w:rFonts w:asciiTheme="minorHAnsi" w:hAnsiTheme="minorHAnsi" w:cstheme="minorHAnsi"/>
          <w:sz w:val="26"/>
          <w:szCs w:val="26"/>
        </w:rPr>
        <w:t>Pe lângă coordonatorul proiectului, I</w:t>
      </w:r>
      <w:r w:rsidR="00157454">
        <w:rPr>
          <w:rFonts w:asciiTheme="minorHAnsi" w:hAnsiTheme="minorHAnsi" w:cstheme="minorHAnsi"/>
          <w:sz w:val="26"/>
          <w:szCs w:val="26"/>
        </w:rPr>
        <w:t>.N.M.</w:t>
      </w:r>
      <w:r w:rsidRPr="000F0D8B">
        <w:rPr>
          <w:rFonts w:asciiTheme="minorHAnsi" w:hAnsiTheme="minorHAnsi" w:cstheme="minorHAnsi"/>
          <w:sz w:val="26"/>
          <w:szCs w:val="26"/>
        </w:rPr>
        <w:t xml:space="preserve">, și partenerul beneficiar, </w:t>
      </w:r>
      <w:r w:rsidR="00157454">
        <w:rPr>
          <w:rFonts w:asciiTheme="minorHAnsi" w:hAnsiTheme="minorHAnsi" w:cstheme="minorHAnsi"/>
          <w:sz w:val="26"/>
          <w:szCs w:val="26"/>
        </w:rPr>
        <w:t xml:space="preserve">S.N.G., </w:t>
      </w:r>
      <w:r w:rsidRPr="000F0D8B">
        <w:rPr>
          <w:rFonts w:asciiTheme="minorHAnsi" w:hAnsiTheme="minorHAnsi" w:cstheme="minorHAnsi"/>
          <w:sz w:val="26"/>
          <w:szCs w:val="26"/>
        </w:rPr>
        <w:t xml:space="preserve">la implementarea proiectului mai participă și alte cinci instituții judiciare prestigioase din Bulgaria, Italia, Polonia, Portugalia și Spania, alături de </w:t>
      </w:r>
      <w:r w:rsidRPr="000F0D8B">
        <w:rPr>
          <w:rFonts w:asciiTheme="minorHAnsi" w:eastAsia="Calibri" w:hAnsiTheme="minorHAnsi" w:cstheme="minorHAnsi"/>
          <w:iCs/>
          <w:sz w:val="26"/>
          <w:szCs w:val="26"/>
        </w:rPr>
        <w:t>E</w:t>
      </w:r>
      <w:r w:rsidR="004412AD"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J</w:t>
      </w:r>
      <w:r w:rsidR="004412AD"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T</w:t>
      </w:r>
      <w:r w:rsidR="004412AD" w:rsidRPr="000F0D8B">
        <w:rPr>
          <w:rFonts w:asciiTheme="minorHAnsi" w:eastAsia="Calibri" w:hAnsiTheme="minorHAnsi" w:cstheme="minorHAnsi"/>
          <w:iCs/>
          <w:sz w:val="26"/>
          <w:szCs w:val="26"/>
        </w:rPr>
        <w:t>.</w:t>
      </w:r>
      <w:r w:rsidRPr="000F0D8B">
        <w:rPr>
          <w:rFonts w:asciiTheme="minorHAnsi" w:eastAsia="Calibri" w:hAnsiTheme="minorHAnsi" w:cstheme="minorHAnsi"/>
          <w:iCs/>
          <w:sz w:val="26"/>
          <w:szCs w:val="26"/>
        </w:rPr>
        <w:t>N</w:t>
      </w:r>
      <w:r w:rsidR="004412AD" w:rsidRPr="000F0D8B">
        <w:rPr>
          <w:rFonts w:asciiTheme="minorHAnsi" w:eastAsia="Calibri" w:hAnsiTheme="minorHAnsi" w:cstheme="minorHAnsi"/>
          <w:iCs/>
          <w:sz w:val="26"/>
          <w:szCs w:val="26"/>
        </w:rPr>
        <w:t>.</w:t>
      </w:r>
      <w:r w:rsidRPr="000F0D8B">
        <w:rPr>
          <w:rFonts w:asciiTheme="minorHAnsi" w:hAnsiTheme="minorHAnsi" w:cstheme="minorHAnsi"/>
          <w:sz w:val="26"/>
          <w:szCs w:val="26"/>
        </w:rPr>
        <w:t>.</w:t>
      </w:r>
    </w:p>
    <w:p w14:paraId="6EAB283D" w14:textId="2CBF877D" w:rsidR="00D40F2A" w:rsidRPr="000F0D8B" w:rsidRDefault="00D40F2A" w:rsidP="009E3AD8">
      <w:pPr>
        <w:spacing w:line="276" w:lineRule="auto"/>
        <w:ind w:firstLine="644"/>
        <w:jc w:val="both"/>
        <w:rPr>
          <w:rFonts w:asciiTheme="minorHAnsi" w:hAnsiTheme="minorHAnsi" w:cstheme="minorHAnsi"/>
          <w:sz w:val="26"/>
          <w:szCs w:val="26"/>
        </w:rPr>
      </w:pPr>
      <w:r w:rsidRPr="000F0D8B">
        <w:rPr>
          <w:rFonts w:asciiTheme="minorHAnsi" w:hAnsiTheme="minorHAnsi" w:cstheme="minorHAnsi"/>
          <w:sz w:val="26"/>
          <w:szCs w:val="26"/>
        </w:rPr>
        <w:t xml:space="preserve">Proiectul a fost selectat pentru finanțare de Comisia Europeană, iar la finalul lunii octombrie 2024 a fost semnat Acordul de Finanțare pe portalul EU Funding &amp; Tenders. Implementarea proiectului a început la data de 6 ianuarie 2025 și se va desfășura pe o perioadă de 23 de luni, timp în care participanții se vor angaja într-o serie de activități diverse, menite să faciliteze schimbul de bune practici și să întărească legăturile profesionale. Programul de formare din acest </w:t>
      </w:r>
      <w:r w:rsidRPr="000F0D8B">
        <w:rPr>
          <w:rFonts w:asciiTheme="minorHAnsi" w:hAnsiTheme="minorHAnsi" w:cstheme="minorHAnsi"/>
          <w:sz w:val="26"/>
          <w:szCs w:val="26"/>
        </w:rPr>
        <w:lastRenderedPageBreak/>
        <w:t xml:space="preserve">proiect se adresează unui număr de peste 260 de judecători și grefieri implicați în soluționarea litigiilor civile europene. Un punct de interes pentru </w:t>
      </w:r>
      <w:r w:rsidR="00157454">
        <w:rPr>
          <w:rFonts w:asciiTheme="minorHAnsi" w:hAnsiTheme="minorHAnsi" w:cstheme="minorHAnsi"/>
          <w:sz w:val="26"/>
          <w:szCs w:val="26"/>
        </w:rPr>
        <w:t xml:space="preserve">S.N.G. </w:t>
      </w:r>
      <w:r w:rsidRPr="000F0D8B">
        <w:rPr>
          <w:rFonts w:asciiTheme="minorHAnsi" w:hAnsiTheme="minorHAnsi" w:cstheme="minorHAnsi"/>
          <w:sz w:val="26"/>
          <w:szCs w:val="26"/>
        </w:rPr>
        <w:t>îl reprezintă selecția a 41 de grefieri români care vor participa activ în cadrul proiectului la activitățile de tip webinar și la seminare organizate în capitale europene precum București, Barcelona, Sofia și Lisabona</w:t>
      </w:r>
      <w:r w:rsidR="00157454">
        <w:rPr>
          <w:rFonts w:asciiTheme="minorHAnsi" w:hAnsiTheme="minorHAnsi" w:cstheme="minorHAnsi"/>
          <w:sz w:val="26"/>
          <w:szCs w:val="26"/>
        </w:rPr>
        <w:t xml:space="preserve">, </w:t>
      </w:r>
      <w:r w:rsidRPr="000F0D8B">
        <w:rPr>
          <w:rFonts w:asciiTheme="minorHAnsi" w:hAnsiTheme="minorHAnsi" w:cstheme="minorHAnsi"/>
          <w:sz w:val="26"/>
          <w:szCs w:val="26"/>
        </w:rPr>
        <w:t>contribui</w:t>
      </w:r>
      <w:r w:rsidR="00157454">
        <w:rPr>
          <w:rFonts w:asciiTheme="minorHAnsi" w:hAnsiTheme="minorHAnsi" w:cstheme="minorHAnsi"/>
          <w:sz w:val="26"/>
          <w:szCs w:val="26"/>
        </w:rPr>
        <w:t>nd</w:t>
      </w:r>
      <w:r w:rsidRPr="000F0D8B">
        <w:rPr>
          <w:rFonts w:asciiTheme="minorHAnsi" w:hAnsiTheme="minorHAnsi" w:cstheme="minorHAnsi"/>
          <w:sz w:val="26"/>
          <w:szCs w:val="26"/>
        </w:rPr>
        <w:t xml:space="preserve"> esențial la schimbul de experiență</w:t>
      </w:r>
      <w:r w:rsidR="00157454">
        <w:rPr>
          <w:rFonts w:asciiTheme="minorHAnsi" w:hAnsiTheme="minorHAnsi" w:cstheme="minorHAnsi"/>
          <w:sz w:val="26"/>
          <w:szCs w:val="26"/>
        </w:rPr>
        <w:t xml:space="preserve">, </w:t>
      </w:r>
      <w:r w:rsidRPr="000F0D8B">
        <w:rPr>
          <w:rFonts w:asciiTheme="minorHAnsi" w:hAnsiTheme="minorHAnsi" w:cstheme="minorHAnsi"/>
          <w:sz w:val="26"/>
          <w:szCs w:val="26"/>
        </w:rPr>
        <w:t>la extinderea și consolidarea rețelelor profesionale.</w:t>
      </w:r>
    </w:p>
    <w:p w14:paraId="3733AA44" w14:textId="653BF36E" w:rsidR="00D40F2A" w:rsidRPr="000F0D8B" w:rsidRDefault="00D40F2A" w:rsidP="009E3AD8">
      <w:pPr>
        <w:spacing w:line="276" w:lineRule="auto"/>
        <w:ind w:firstLine="644"/>
        <w:jc w:val="both"/>
        <w:rPr>
          <w:rFonts w:asciiTheme="minorHAnsi" w:hAnsiTheme="minorHAnsi" w:cstheme="minorHAnsi"/>
          <w:sz w:val="26"/>
          <w:szCs w:val="26"/>
        </w:rPr>
      </w:pPr>
      <w:r w:rsidRPr="000F0D8B">
        <w:rPr>
          <w:rFonts w:asciiTheme="minorHAnsi" w:hAnsiTheme="minorHAnsi" w:cstheme="minorHAnsi"/>
          <w:sz w:val="26"/>
          <w:szCs w:val="26"/>
        </w:rPr>
        <w:t xml:space="preserve">În acest sens, în cadrul proiectului se vor organiza șase seminare transnaționale și interprofesionale (două în </w:t>
      </w:r>
      <w:r w:rsidR="00157454">
        <w:rPr>
          <w:rFonts w:asciiTheme="minorHAnsi" w:hAnsiTheme="minorHAnsi" w:cstheme="minorHAnsi"/>
          <w:sz w:val="26"/>
          <w:szCs w:val="26"/>
        </w:rPr>
        <w:t xml:space="preserve">anul </w:t>
      </w:r>
      <w:r w:rsidRPr="000F0D8B">
        <w:rPr>
          <w:rFonts w:asciiTheme="minorHAnsi" w:hAnsiTheme="minorHAnsi" w:cstheme="minorHAnsi"/>
          <w:sz w:val="26"/>
          <w:szCs w:val="26"/>
        </w:rPr>
        <w:t xml:space="preserve">2025 și patru în </w:t>
      </w:r>
      <w:r w:rsidR="00157454">
        <w:rPr>
          <w:rFonts w:asciiTheme="minorHAnsi" w:hAnsiTheme="minorHAnsi" w:cstheme="minorHAnsi"/>
          <w:sz w:val="26"/>
          <w:szCs w:val="26"/>
        </w:rPr>
        <w:t xml:space="preserve">anul </w:t>
      </w:r>
      <w:r w:rsidRPr="000F0D8B">
        <w:rPr>
          <w:rFonts w:asciiTheme="minorHAnsi" w:hAnsiTheme="minorHAnsi" w:cstheme="minorHAnsi"/>
          <w:sz w:val="26"/>
          <w:szCs w:val="26"/>
        </w:rPr>
        <w:t>2026), fiecare precedat de un webinar introductiv, susținute de tutoriale și podcasturi, urmând să se încheie cu o conferință în cadrul căreia se vor disemina rezultatele și cunoștințele acumulate.</w:t>
      </w:r>
    </w:p>
    <w:p w14:paraId="5417C127" w14:textId="4A446C03" w:rsidR="00D40F2A" w:rsidRPr="000F0D8B" w:rsidRDefault="00D40F2A" w:rsidP="009E3AD8">
      <w:pPr>
        <w:spacing w:line="276" w:lineRule="auto"/>
        <w:ind w:firstLine="644"/>
        <w:jc w:val="both"/>
        <w:rPr>
          <w:rFonts w:asciiTheme="minorHAnsi" w:hAnsiTheme="minorHAnsi" w:cstheme="minorHAnsi"/>
          <w:sz w:val="26"/>
          <w:szCs w:val="26"/>
        </w:rPr>
      </w:pPr>
      <w:r w:rsidRPr="000F0D8B">
        <w:rPr>
          <w:rFonts w:asciiTheme="minorHAnsi" w:hAnsiTheme="minorHAnsi" w:cstheme="minorHAnsi"/>
          <w:sz w:val="26"/>
          <w:szCs w:val="26"/>
        </w:rPr>
        <w:t>O atenție specială va fi acordată Regulamentelor (U</w:t>
      </w:r>
      <w:r w:rsidR="00521F8C" w:rsidRPr="000F0D8B">
        <w:rPr>
          <w:rFonts w:asciiTheme="minorHAnsi" w:hAnsiTheme="minorHAnsi" w:cstheme="minorHAnsi"/>
          <w:sz w:val="26"/>
          <w:szCs w:val="26"/>
        </w:rPr>
        <w:t>.</w:t>
      </w:r>
      <w:r w:rsidRPr="000F0D8B">
        <w:rPr>
          <w:rFonts w:asciiTheme="minorHAnsi" w:hAnsiTheme="minorHAnsi" w:cstheme="minorHAnsi"/>
          <w:sz w:val="26"/>
          <w:szCs w:val="26"/>
        </w:rPr>
        <w:t>E</w:t>
      </w:r>
      <w:r w:rsidR="00521F8C" w:rsidRPr="000F0D8B">
        <w:rPr>
          <w:rFonts w:asciiTheme="minorHAnsi" w:hAnsiTheme="minorHAnsi" w:cstheme="minorHAnsi"/>
          <w:sz w:val="26"/>
          <w:szCs w:val="26"/>
        </w:rPr>
        <w:t>.</w:t>
      </w:r>
      <w:r w:rsidRPr="000F0D8B">
        <w:rPr>
          <w:rFonts w:asciiTheme="minorHAnsi" w:hAnsiTheme="minorHAnsi" w:cstheme="minorHAnsi"/>
          <w:sz w:val="26"/>
          <w:szCs w:val="26"/>
        </w:rPr>
        <w:t xml:space="preserve">) </w:t>
      </w:r>
      <w:r w:rsidR="00881CFE">
        <w:rPr>
          <w:rFonts w:asciiTheme="minorHAnsi" w:hAnsiTheme="minorHAnsi" w:cstheme="minorHAnsi"/>
          <w:sz w:val="26"/>
          <w:szCs w:val="26"/>
        </w:rPr>
        <w:t xml:space="preserve">nr. </w:t>
      </w:r>
      <w:r w:rsidRPr="000F0D8B">
        <w:rPr>
          <w:rFonts w:asciiTheme="minorHAnsi" w:hAnsiTheme="minorHAnsi" w:cstheme="minorHAnsi"/>
          <w:sz w:val="26"/>
          <w:szCs w:val="26"/>
        </w:rPr>
        <w:t>2020/1783</w:t>
      </w:r>
      <w:r w:rsidR="00881CFE">
        <w:rPr>
          <w:rFonts w:asciiTheme="minorHAnsi" w:hAnsiTheme="minorHAnsi" w:cstheme="minorHAnsi"/>
          <w:sz w:val="26"/>
          <w:szCs w:val="26"/>
        </w:rPr>
        <w:t>,</w:t>
      </w:r>
      <w:r w:rsidRPr="000F0D8B">
        <w:rPr>
          <w:rFonts w:asciiTheme="minorHAnsi" w:hAnsiTheme="minorHAnsi" w:cstheme="minorHAnsi"/>
          <w:sz w:val="26"/>
          <w:szCs w:val="26"/>
        </w:rPr>
        <w:t xml:space="preserve"> </w:t>
      </w:r>
      <w:r w:rsidR="00881CFE">
        <w:rPr>
          <w:rFonts w:asciiTheme="minorHAnsi" w:hAnsiTheme="minorHAnsi" w:cstheme="minorHAnsi"/>
          <w:sz w:val="26"/>
          <w:szCs w:val="26"/>
        </w:rPr>
        <w:t xml:space="preserve">nr. </w:t>
      </w:r>
      <w:r w:rsidRPr="000F0D8B">
        <w:rPr>
          <w:rFonts w:asciiTheme="minorHAnsi" w:hAnsiTheme="minorHAnsi" w:cstheme="minorHAnsi"/>
          <w:sz w:val="26"/>
          <w:szCs w:val="26"/>
        </w:rPr>
        <w:t>2020/1784 și complexităților e-CODEX, inclusiv din perspectiva standardelor de protecție a datelor din Uniunea Europeană. Proiectul reflectă o angajare fermă pentru aplicarea eficientă a legislației U</w:t>
      </w:r>
      <w:r w:rsidR="00521F8C" w:rsidRPr="000F0D8B">
        <w:rPr>
          <w:rFonts w:asciiTheme="minorHAnsi" w:hAnsiTheme="minorHAnsi" w:cstheme="minorHAnsi"/>
          <w:sz w:val="26"/>
          <w:szCs w:val="26"/>
        </w:rPr>
        <w:t>.</w:t>
      </w:r>
      <w:r w:rsidRPr="000F0D8B">
        <w:rPr>
          <w:rFonts w:asciiTheme="minorHAnsi" w:hAnsiTheme="minorHAnsi" w:cstheme="minorHAnsi"/>
          <w:sz w:val="26"/>
          <w:szCs w:val="26"/>
        </w:rPr>
        <w:t>E</w:t>
      </w:r>
      <w:r w:rsidR="00521F8C" w:rsidRPr="000F0D8B">
        <w:rPr>
          <w:rFonts w:asciiTheme="minorHAnsi" w:hAnsiTheme="minorHAnsi" w:cstheme="minorHAnsi"/>
          <w:sz w:val="26"/>
          <w:szCs w:val="26"/>
        </w:rPr>
        <w:t>.</w:t>
      </w:r>
      <w:r w:rsidRPr="000F0D8B">
        <w:rPr>
          <w:rFonts w:asciiTheme="minorHAnsi" w:hAnsiTheme="minorHAnsi" w:cstheme="minorHAnsi"/>
          <w:sz w:val="26"/>
          <w:szCs w:val="26"/>
        </w:rPr>
        <w:t xml:space="preserve"> și pentru adaptarea la noile tehnologii, contribuind la îmbunătățirea abilităților digitale și la eficientizarea procedurilor judiciare. Această inițiativă nu numai că răspunde nevoilor actuale de formare, dar este și în deplină concordanță cu prioritățile U</w:t>
      </w:r>
      <w:r w:rsidR="00521F8C" w:rsidRPr="000F0D8B">
        <w:rPr>
          <w:rFonts w:asciiTheme="minorHAnsi" w:hAnsiTheme="minorHAnsi" w:cstheme="minorHAnsi"/>
          <w:sz w:val="26"/>
          <w:szCs w:val="26"/>
        </w:rPr>
        <w:t>.</w:t>
      </w:r>
      <w:r w:rsidRPr="000F0D8B">
        <w:rPr>
          <w:rFonts w:asciiTheme="minorHAnsi" w:hAnsiTheme="minorHAnsi" w:cstheme="minorHAnsi"/>
          <w:sz w:val="26"/>
          <w:szCs w:val="26"/>
        </w:rPr>
        <w:t>E</w:t>
      </w:r>
      <w:r w:rsidR="00521F8C" w:rsidRPr="000F0D8B">
        <w:rPr>
          <w:rFonts w:asciiTheme="minorHAnsi" w:hAnsiTheme="minorHAnsi" w:cstheme="minorHAnsi"/>
          <w:sz w:val="26"/>
          <w:szCs w:val="26"/>
        </w:rPr>
        <w:t>.</w:t>
      </w:r>
      <w:r w:rsidRPr="000F0D8B">
        <w:rPr>
          <w:rFonts w:asciiTheme="minorHAnsi" w:hAnsiTheme="minorHAnsi" w:cstheme="minorHAnsi"/>
          <w:sz w:val="26"/>
          <w:szCs w:val="26"/>
        </w:rPr>
        <w:t xml:space="preserve"> privind digitalizarea în domeniul judiciar și protecția drepturilor fundamentale, marcând progres</w:t>
      </w:r>
      <w:r w:rsidR="00881CFE">
        <w:rPr>
          <w:rFonts w:asciiTheme="minorHAnsi" w:hAnsiTheme="minorHAnsi" w:cstheme="minorHAnsi"/>
          <w:sz w:val="26"/>
          <w:szCs w:val="26"/>
        </w:rPr>
        <w:t>ul</w:t>
      </w:r>
      <w:r w:rsidRPr="000F0D8B">
        <w:rPr>
          <w:rFonts w:asciiTheme="minorHAnsi" w:hAnsiTheme="minorHAnsi" w:cstheme="minorHAnsi"/>
          <w:sz w:val="26"/>
          <w:szCs w:val="26"/>
        </w:rPr>
        <w:t xml:space="preserve"> către o justiție adaptată erei digitale.</w:t>
      </w:r>
    </w:p>
    <w:p w14:paraId="2E59D5D4" w14:textId="41100B73" w:rsidR="00D40F2A" w:rsidRPr="000F0D8B" w:rsidRDefault="00D40F2A" w:rsidP="009E3AD8">
      <w:pPr>
        <w:spacing w:line="276" w:lineRule="auto"/>
        <w:ind w:firstLine="646"/>
        <w:jc w:val="both"/>
        <w:rPr>
          <w:rFonts w:asciiTheme="minorHAnsi" w:hAnsiTheme="minorHAnsi" w:cstheme="minorHAnsi"/>
          <w:sz w:val="26"/>
          <w:szCs w:val="26"/>
        </w:rPr>
      </w:pPr>
      <w:r w:rsidRPr="000F0D8B">
        <w:rPr>
          <w:rFonts w:asciiTheme="minorHAnsi" w:hAnsiTheme="minorHAnsi" w:cstheme="minorHAnsi"/>
          <w:sz w:val="26"/>
          <w:szCs w:val="26"/>
        </w:rPr>
        <w:t xml:space="preserve">La data de 24 martie 2025 a avut loc prima reuniune a Comitetului Director din cadrul proiectului CiviLink, la care </w:t>
      </w:r>
      <w:r w:rsidR="00847BB4">
        <w:rPr>
          <w:rFonts w:asciiTheme="minorHAnsi" w:hAnsiTheme="minorHAnsi" w:cstheme="minorHAnsi"/>
          <w:sz w:val="26"/>
          <w:szCs w:val="26"/>
        </w:rPr>
        <w:t xml:space="preserve">S.N.G. </w:t>
      </w:r>
      <w:r w:rsidRPr="000F0D8B">
        <w:rPr>
          <w:rFonts w:asciiTheme="minorHAnsi" w:hAnsiTheme="minorHAnsi" w:cstheme="minorHAnsi"/>
          <w:sz w:val="26"/>
          <w:szCs w:val="26"/>
        </w:rPr>
        <w:t>a fost reprezentată de directorul adjunct responsabil cu formarea profesională continuă, semnatar legal al proiectului, și de un reprezentant al Departamentului de Relații Internaționale, desemnat responsabil cu implementarea proiectului. Întâlnirea, desfășurată în format hibrid, a avut ca scop discutarea și adoptarea documentelor strategice ce vor fundamenta implementarea și monitorizarea proiectului, printre care: planul de lucru detaliat,</w:t>
      </w:r>
      <w:r w:rsidR="00AC3F5A">
        <w:rPr>
          <w:rFonts w:asciiTheme="minorHAnsi" w:hAnsiTheme="minorHAnsi" w:cstheme="minorHAnsi"/>
          <w:sz w:val="26"/>
          <w:szCs w:val="26"/>
        </w:rPr>
        <w:t xml:space="preserve"> </w:t>
      </w:r>
      <w:r w:rsidRPr="000F0D8B">
        <w:rPr>
          <w:rFonts w:asciiTheme="minorHAnsi" w:hAnsiTheme="minorHAnsi" w:cstheme="minorHAnsi"/>
          <w:sz w:val="26"/>
          <w:szCs w:val="26"/>
        </w:rPr>
        <w:t>procedura de selecție a experților în cadrul proiectului</w:t>
      </w:r>
      <w:r w:rsidR="00AC3F5A">
        <w:rPr>
          <w:rFonts w:asciiTheme="minorHAnsi" w:hAnsiTheme="minorHAnsi" w:cstheme="minorHAnsi"/>
          <w:sz w:val="26"/>
          <w:szCs w:val="26"/>
        </w:rPr>
        <w:t>,</w:t>
      </w:r>
      <w:r w:rsidRPr="000F0D8B">
        <w:rPr>
          <w:rFonts w:asciiTheme="minorHAnsi" w:hAnsiTheme="minorHAnsi" w:cstheme="minorHAnsi"/>
          <w:sz w:val="26"/>
          <w:szCs w:val="26"/>
        </w:rPr>
        <w:t xml:space="preserve"> criteriile de selecție a participanților la activitățile de instruire</w:t>
      </w:r>
      <w:r w:rsidR="00AC3F5A">
        <w:rPr>
          <w:rFonts w:asciiTheme="minorHAnsi" w:hAnsiTheme="minorHAnsi" w:cstheme="minorHAnsi"/>
          <w:sz w:val="26"/>
          <w:szCs w:val="26"/>
        </w:rPr>
        <w:t>,</w:t>
      </w:r>
      <w:r w:rsidRPr="000F0D8B">
        <w:rPr>
          <w:rFonts w:asciiTheme="minorHAnsi" w:hAnsiTheme="minorHAnsi" w:cstheme="minorHAnsi"/>
          <w:sz w:val="26"/>
          <w:szCs w:val="26"/>
        </w:rPr>
        <w:t xml:space="preserve"> strategia de comunicare și diseminare a proiectului, inclusiv crearea unei pagini web dedicată proiectului.</w:t>
      </w:r>
    </w:p>
    <w:p w14:paraId="476CE5A1" w14:textId="5BC72C77" w:rsidR="00D40F2A" w:rsidRPr="000F0D8B" w:rsidRDefault="00D40F2A" w:rsidP="009E3AD8">
      <w:pPr>
        <w:spacing w:line="276" w:lineRule="auto"/>
        <w:ind w:firstLine="644"/>
        <w:jc w:val="both"/>
        <w:rPr>
          <w:rFonts w:asciiTheme="minorHAnsi" w:hAnsiTheme="minorHAnsi" w:cstheme="minorHAnsi"/>
          <w:sz w:val="26"/>
          <w:szCs w:val="26"/>
        </w:rPr>
      </w:pPr>
      <w:r w:rsidRPr="000F0D8B">
        <w:rPr>
          <w:rFonts w:asciiTheme="minorHAnsi" w:hAnsiTheme="minorHAnsi" w:cstheme="minorHAnsi"/>
          <w:sz w:val="26"/>
          <w:szCs w:val="26"/>
        </w:rPr>
        <w:t xml:space="preserve">În luna iulie 2025, </w:t>
      </w:r>
      <w:r w:rsidR="00AC3F5A">
        <w:rPr>
          <w:rFonts w:asciiTheme="minorHAnsi" w:hAnsiTheme="minorHAnsi" w:cstheme="minorHAnsi"/>
          <w:sz w:val="26"/>
          <w:szCs w:val="26"/>
        </w:rPr>
        <w:t xml:space="preserve">S.N.G. </w:t>
      </w:r>
      <w:r w:rsidRPr="000F0D8B">
        <w:rPr>
          <w:rFonts w:asciiTheme="minorHAnsi" w:hAnsiTheme="minorHAnsi" w:cstheme="minorHAnsi"/>
          <w:sz w:val="26"/>
          <w:szCs w:val="26"/>
        </w:rPr>
        <w:t xml:space="preserve">a semnat și Consortium Agreement în cadrul proiectului, document prin care au fost stabilite procedurile de colaborare dintre partenerii consorțiului, inclusiv responsabilitățile fiecărei părți și repartizarea bugetului alocat proiectului. </w:t>
      </w:r>
    </w:p>
    <w:p w14:paraId="37B2337F" w14:textId="7248085C" w:rsidR="00D40F2A" w:rsidRPr="00AE70C1" w:rsidRDefault="00D40F2A" w:rsidP="009E3AD8">
      <w:pPr>
        <w:spacing w:line="276" w:lineRule="auto"/>
        <w:ind w:firstLine="644"/>
        <w:jc w:val="both"/>
        <w:rPr>
          <w:rFonts w:asciiTheme="minorHAnsi" w:hAnsiTheme="minorHAnsi" w:cstheme="minorHAnsi"/>
          <w:sz w:val="26"/>
          <w:szCs w:val="26"/>
        </w:rPr>
      </w:pPr>
      <w:r w:rsidRPr="00AE70C1">
        <w:rPr>
          <w:rFonts w:asciiTheme="minorHAnsi" w:hAnsiTheme="minorHAnsi" w:cstheme="minorHAnsi"/>
          <w:sz w:val="26"/>
          <w:szCs w:val="26"/>
        </w:rPr>
        <w:t xml:space="preserve">Primul ciclu de formare (octombrie 2025) </w:t>
      </w:r>
      <w:r w:rsidR="004C700E" w:rsidRPr="00AE70C1">
        <w:rPr>
          <w:rFonts w:asciiTheme="minorHAnsi" w:hAnsiTheme="minorHAnsi" w:cstheme="minorHAnsi"/>
          <w:sz w:val="26"/>
          <w:szCs w:val="26"/>
        </w:rPr>
        <w:t xml:space="preserve">a </w:t>
      </w:r>
      <w:r w:rsidRPr="00AE70C1">
        <w:rPr>
          <w:rFonts w:asciiTheme="minorHAnsi" w:hAnsiTheme="minorHAnsi" w:cstheme="minorHAnsi"/>
          <w:sz w:val="26"/>
          <w:szCs w:val="26"/>
        </w:rPr>
        <w:t>inclu</w:t>
      </w:r>
      <w:r w:rsidR="004C700E" w:rsidRPr="00AE70C1">
        <w:rPr>
          <w:rFonts w:asciiTheme="minorHAnsi" w:hAnsiTheme="minorHAnsi" w:cstheme="minorHAnsi"/>
          <w:sz w:val="26"/>
          <w:szCs w:val="26"/>
        </w:rPr>
        <w:t>s</w:t>
      </w:r>
      <w:r w:rsidRPr="00AE70C1">
        <w:rPr>
          <w:rFonts w:asciiTheme="minorHAnsi" w:hAnsiTheme="minorHAnsi" w:cstheme="minorHAnsi"/>
          <w:sz w:val="26"/>
          <w:szCs w:val="26"/>
        </w:rPr>
        <w:t xml:space="preserve"> un webinar introductiv (8 octombrie 2025) și un seminar </w:t>
      </w:r>
      <w:r w:rsidRPr="00AE70C1">
        <w:rPr>
          <w:rFonts w:asciiTheme="minorHAnsi" w:eastAsia="Calibri" w:hAnsiTheme="minorHAnsi" w:cstheme="minorHAnsi"/>
          <w:iCs/>
          <w:sz w:val="26"/>
          <w:szCs w:val="26"/>
        </w:rPr>
        <w:t>face-to-face</w:t>
      </w:r>
      <w:r w:rsidRPr="00AE70C1">
        <w:rPr>
          <w:rFonts w:asciiTheme="minorHAnsi" w:hAnsiTheme="minorHAnsi" w:cstheme="minorHAnsi"/>
          <w:sz w:val="26"/>
          <w:szCs w:val="26"/>
        </w:rPr>
        <w:t xml:space="preserve"> de două zile, organizat la București (30 </w:t>
      </w:r>
      <w:r w:rsidR="00DD6D60" w:rsidRPr="00AE70C1">
        <w:rPr>
          <w:rFonts w:asciiTheme="minorHAnsi" w:hAnsiTheme="minorHAnsi" w:cstheme="minorHAnsi"/>
          <w:sz w:val="26"/>
          <w:szCs w:val="26"/>
        </w:rPr>
        <w:t>–</w:t>
      </w:r>
      <w:r w:rsidRPr="00AE70C1">
        <w:rPr>
          <w:rFonts w:asciiTheme="minorHAnsi" w:hAnsiTheme="minorHAnsi" w:cstheme="minorHAnsi"/>
          <w:sz w:val="26"/>
          <w:szCs w:val="26"/>
        </w:rPr>
        <w:t xml:space="preserve"> 31</w:t>
      </w:r>
      <w:r w:rsidR="00881CFE" w:rsidRPr="00AE70C1">
        <w:rPr>
          <w:rFonts w:asciiTheme="minorHAnsi" w:hAnsiTheme="minorHAnsi" w:cstheme="minorHAnsi"/>
          <w:sz w:val="26"/>
          <w:szCs w:val="26"/>
        </w:rPr>
        <w:t xml:space="preserve"> octombrie </w:t>
      </w:r>
      <w:r w:rsidRPr="00AE70C1">
        <w:rPr>
          <w:rFonts w:asciiTheme="minorHAnsi" w:hAnsiTheme="minorHAnsi" w:cstheme="minorHAnsi"/>
          <w:sz w:val="26"/>
          <w:szCs w:val="26"/>
        </w:rPr>
        <w:t>2025). În prealabil, participanții</w:t>
      </w:r>
      <w:r w:rsidR="00D0483B" w:rsidRPr="00AE70C1">
        <w:rPr>
          <w:rFonts w:asciiTheme="minorHAnsi" w:hAnsiTheme="minorHAnsi" w:cstheme="minorHAnsi"/>
          <w:sz w:val="26"/>
          <w:szCs w:val="26"/>
        </w:rPr>
        <w:t xml:space="preserve"> au</w:t>
      </w:r>
      <w:r w:rsidRPr="00AE70C1">
        <w:rPr>
          <w:rFonts w:asciiTheme="minorHAnsi" w:hAnsiTheme="minorHAnsi" w:cstheme="minorHAnsi"/>
          <w:sz w:val="26"/>
          <w:szCs w:val="26"/>
        </w:rPr>
        <w:t xml:space="preserve"> trebui</w:t>
      </w:r>
      <w:r w:rsidR="00D0483B" w:rsidRPr="00AE70C1">
        <w:rPr>
          <w:rFonts w:asciiTheme="minorHAnsi" w:hAnsiTheme="minorHAnsi" w:cstheme="minorHAnsi"/>
          <w:sz w:val="26"/>
          <w:szCs w:val="26"/>
        </w:rPr>
        <w:t>t</w:t>
      </w:r>
      <w:r w:rsidRPr="00AE70C1">
        <w:rPr>
          <w:rFonts w:asciiTheme="minorHAnsi" w:hAnsiTheme="minorHAnsi" w:cstheme="minorHAnsi"/>
          <w:sz w:val="26"/>
          <w:szCs w:val="26"/>
        </w:rPr>
        <w:t xml:space="preserve"> să parcurgă trei tutoriale video dedicate familiarizării cu sistemul e-CODEX. La acest ciclu au fost selectați 6 grefieri români (plus 4 rezerve), selecția finală fiind realizată de I</w:t>
      </w:r>
      <w:r w:rsidR="0070619F" w:rsidRPr="00AE70C1">
        <w:rPr>
          <w:rFonts w:asciiTheme="minorHAnsi" w:hAnsiTheme="minorHAnsi" w:cstheme="minorHAnsi"/>
          <w:sz w:val="26"/>
          <w:szCs w:val="26"/>
        </w:rPr>
        <w:t>.</w:t>
      </w:r>
      <w:r w:rsidRPr="00AE70C1">
        <w:rPr>
          <w:rFonts w:asciiTheme="minorHAnsi" w:hAnsiTheme="minorHAnsi" w:cstheme="minorHAnsi"/>
          <w:sz w:val="26"/>
          <w:szCs w:val="26"/>
        </w:rPr>
        <w:t>N</w:t>
      </w:r>
      <w:r w:rsidR="0070619F" w:rsidRPr="00AE70C1">
        <w:rPr>
          <w:rFonts w:asciiTheme="minorHAnsi" w:hAnsiTheme="minorHAnsi" w:cstheme="minorHAnsi"/>
          <w:sz w:val="26"/>
          <w:szCs w:val="26"/>
        </w:rPr>
        <w:t>.</w:t>
      </w:r>
      <w:r w:rsidRPr="00AE70C1">
        <w:rPr>
          <w:rFonts w:asciiTheme="minorHAnsi" w:hAnsiTheme="minorHAnsi" w:cstheme="minorHAnsi"/>
          <w:sz w:val="26"/>
          <w:szCs w:val="26"/>
        </w:rPr>
        <w:t>M</w:t>
      </w:r>
      <w:r w:rsidR="0070619F" w:rsidRPr="00AE70C1">
        <w:rPr>
          <w:rFonts w:asciiTheme="minorHAnsi" w:hAnsiTheme="minorHAnsi" w:cstheme="minorHAnsi"/>
          <w:sz w:val="26"/>
          <w:szCs w:val="26"/>
        </w:rPr>
        <w:t>.</w:t>
      </w:r>
      <w:r w:rsidRPr="00AE70C1">
        <w:rPr>
          <w:rFonts w:asciiTheme="minorHAnsi" w:hAnsiTheme="minorHAnsi" w:cstheme="minorHAnsi"/>
          <w:sz w:val="26"/>
          <w:szCs w:val="26"/>
        </w:rPr>
        <w:t>. Webinarul</w:t>
      </w:r>
      <w:r w:rsidR="00D0483B" w:rsidRPr="00AE70C1">
        <w:rPr>
          <w:rFonts w:asciiTheme="minorHAnsi" w:hAnsiTheme="minorHAnsi" w:cstheme="minorHAnsi"/>
          <w:sz w:val="26"/>
          <w:szCs w:val="26"/>
        </w:rPr>
        <w:t xml:space="preserve"> a</w:t>
      </w:r>
      <w:r w:rsidRPr="00AE70C1">
        <w:rPr>
          <w:rFonts w:asciiTheme="minorHAnsi" w:hAnsiTheme="minorHAnsi" w:cstheme="minorHAnsi"/>
          <w:sz w:val="26"/>
          <w:szCs w:val="26"/>
        </w:rPr>
        <w:t xml:space="preserve"> acoper</w:t>
      </w:r>
      <w:r w:rsidR="00D0483B" w:rsidRPr="00AE70C1">
        <w:rPr>
          <w:rFonts w:asciiTheme="minorHAnsi" w:hAnsiTheme="minorHAnsi" w:cstheme="minorHAnsi"/>
          <w:sz w:val="26"/>
          <w:szCs w:val="26"/>
        </w:rPr>
        <w:t>it</w:t>
      </w:r>
      <w:r w:rsidRPr="00AE70C1">
        <w:rPr>
          <w:rFonts w:asciiTheme="minorHAnsi" w:hAnsiTheme="minorHAnsi" w:cstheme="minorHAnsi"/>
          <w:sz w:val="26"/>
          <w:szCs w:val="26"/>
        </w:rPr>
        <w:t xml:space="preserve"> tematici precum cadrul legal, arhitectura tehnică a sistemului, demonstrații practice (SoD și ToE), protecția datelor, terminologie juridică. Seminarul </w:t>
      </w:r>
      <w:r w:rsidR="00D0483B" w:rsidRPr="00AE70C1">
        <w:rPr>
          <w:rFonts w:asciiTheme="minorHAnsi" w:hAnsiTheme="minorHAnsi" w:cstheme="minorHAnsi"/>
          <w:sz w:val="26"/>
          <w:szCs w:val="26"/>
        </w:rPr>
        <w:t xml:space="preserve">a </w:t>
      </w:r>
      <w:r w:rsidRPr="00AE70C1">
        <w:rPr>
          <w:rFonts w:asciiTheme="minorHAnsi" w:hAnsiTheme="minorHAnsi" w:cstheme="minorHAnsi"/>
          <w:sz w:val="26"/>
          <w:szCs w:val="26"/>
        </w:rPr>
        <w:t>cuprin</w:t>
      </w:r>
      <w:r w:rsidR="00D0483B" w:rsidRPr="00AE70C1">
        <w:rPr>
          <w:rFonts w:asciiTheme="minorHAnsi" w:hAnsiTheme="minorHAnsi" w:cstheme="minorHAnsi"/>
          <w:sz w:val="26"/>
          <w:szCs w:val="26"/>
        </w:rPr>
        <w:t>s</w:t>
      </w:r>
      <w:r w:rsidRPr="00AE70C1">
        <w:rPr>
          <w:rFonts w:asciiTheme="minorHAnsi" w:hAnsiTheme="minorHAnsi" w:cstheme="minorHAnsi"/>
          <w:sz w:val="26"/>
          <w:szCs w:val="26"/>
        </w:rPr>
        <w:t xml:space="preserve"> sesiuni teoretice și ateliere practice, incluzând simulări complete de utilizare a e-CODEX și un workshop dedicat protecției datelor și erorilor frecvente, încheindu-se cu o evaluare și sesiune de feedback.</w:t>
      </w:r>
    </w:p>
    <w:p w14:paraId="4A6E5917" w14:textId="567D87F6" w:rsidR="00D40F2A" w:rsidRPr="00AE70C1" w:rsidRDefault="00D40F2A" w:rsidP="009E3AD8">
      <w:pPr>
        <w:spacing w:line="276" w:lineRule="auto"/>
        <w:ind w:firstLine="644"/>
        <w:jc w:val="both"/>
        <w:rPr>
          <w:rFonts w:asciiTheme="minorHAnsi" w:hAnsiTheme="minorHAnsi" w:cstheme="minorHAnsi"/>
          <w:sz w:val="26"/>
          <w:szCs w:val="26"/>
        </w:rPr>
      </w:pPr>
      <w:r w:rsidRPr="00AE70C1">
        <w:rPr>
          <w:rFonts w:asciiTheme="minorHAnsi" w:hAnsiTheme="minorHAnsi" w:cstheme="minorHAnsi"/>
          <w:sz w:val="26"/>
          <w:szCs w:val="26"/>
        </w:rPr>
        <w:t>Pentru cel de-al doilea ciclu de formare (noiembrie 2025)</w:t>
      </w:r>
      <w:r w:rsidR="00BC2C8E" w:rsidRPr="00AE70C1">
        <w:rPr>
          <w:rFonts w:asciiTheme="minorHAnsi" w:hAnsiTheme="minorHAnsi" w:cstheme="minorHAnsi"/>
          <w:sz w:val="26"/>
          <w:szCs w:val="26"/>
        </w:rPr>
        <w:t>,</w:t>
      </w:r>
      <w:r w:rsidRPr="00AE70C1">
        <w:rPr>
          <w:rFonts w:asciiTheme="minorHAnsi" w:hAnsiTheme="minorHAnsi" w:cstheme="minorHAnsi"/>
          <w:sz w:val="26"/>
          <w:szCs w:val="26"/>
        </w:rPr>
        <w:t xml:space="preserve"> procedura de selecție a fost lansată în luna septembrie 2025, cu termen limită 17 septembrie</w:t>
      </w:r>
      <w:r w:rsidR="00881CFE" w:rsidRPr="00AE70C1">
        <w:rPr>
          <w:rFonts w:asciiTheme="minorHAnsi" w:hAnsiTheme="minorHAnsi" w:cstheme="minorHAnsi"/>
          <w:sz w:val="26"/>
          <w:szCs w:val="26"/>
        </w:rPr>
        <w:t xml:space="preserve"> 2025</w:t>
      </w:r>
      <w:r w:rsidRPr="00AE70C1">
        <w:rPr>
          <w:rFonts w:asciiTheme="minorHAnsi" w:hAnsiTheme="minorHAnsi" w:cstheme="minorHAnsi"/>
          <w:sz w:val="26"/>
          <w:szCs w:val="26"/>
        </w:rPr>
        <w:t>. În urma acesteia, au fost selectați 6 grefieri</w:t>
      </w:r>
      <w:r w:rsidR="00BC2C8E" w:rsidRPr="00AE70C1">
        <w:rPr>
          <w:rFonts w:asciiTheme="minorHAnsi" w:hAnsiTheme="minorHAnsi" w:cstheme="minorHAnsi"/>
          <w:sz w:val="26"/>
          <w:szCs w:val="26"/>
        </w:rPr>
        <w:t xml:space="preserve"> români</w:t>
      </w:r>
      <w:r w:rsidRPr="00AE70C1">
        <w:rPr>
          <w:rFonts w:asciiTheme="minorHAnsi" w:hAnsiTheme="minorHAnsi" w:cstheme="minorHAnsi"/>
          <w:sz w:val="26"/>
          <w:szCs w:val="26"/>
        </w:rPr>
        <w:t xml:space="preserve">, precum și o listă de 5 rezerve. Ciclul </w:t>
      </w:r>
      <w:r w:rsidR="00BC2C8E" w:rsidRPr="00AE70C1">
        <w:rPr>
          <w:rFonts w:asciiTheme="minorHAnsi" w:hAnsiTheme="minorHAnsi" w:cstheme="minorHAnsi"/>
          <w:sz w:val="26"/>
          <w:szCs w:val="26"/>
        </w:rPr>
        <w:t xml:space="preserve">a </w:t>
      </w:r>
      <w:r w:rsidRPr="00AE70C1">
        <w:rPr>
          <w:rFonts w:asciiTheme="minorHAnsi" w:hAnsiTheme="minorHAnsi" w:cstheme="minorHAnsi"/>
          <w:sz w:val="26"/>
          <w:szCs w:val="26"/>
        </w:rPr>
        <w:t>inclu</w:t>
      </w:r>
      <w:r w:rsidR="00BC2C8E" w:rsidRPr="00AE70C1">
        <w:rPr>
          <w:rFonts w:asciiTheme="minorHAnsi" w:hAnsiTheme="minorHAnsi" w:cstheme="minorHAnsi"/>
          <w:sz w:val="26"/>
          <w:szCs w:val="26"/>
        </w:rPr>
        <w:t>s</w:t>
      </w:r>
      <w:r w:rsidRPr="00AE70C1">
        <w:rPr>
          <w:rFonts w:asciiTheme="minorHAnsi" w:hAnsiTheme="minorHAnsi" w:cstheme="minorHAnsi"/>
          <w:sz w:val="26"/>
          <w:szCs w:val="26"/>
        </w:rPr>
        <w:t xml:space="preserve"> un webinar introductiv (5 noiembrie 2025) și un seminar </w:t>
      </w:r>
      <w:r w:rsidRPr="00AE70C1">
        <w:rPr>
          <w:rFonts w:asciiTheme="minorHAnsi" w:eastAsia="Calibri" w:hAnsiTheme="minorHAnsi" w:cstheme="minorHAnsi"/>
          <w:iCs/>
          <w:sz w:val="26"/>
          <w:szCs w:val="26"/>
        </w:rPr>
        <w:t>face-to-face</w:t>
      </w:r>
      <w:r w:rsidRPr="00AE70C1">
        <w:rPr>
          <w:rFonts w:asciiTheme="minorHAnsi" w:hAnsiTheme="minorHAnsi" w:cstheme="minorHAnsi"/>
          <w:sz w:val="26"/>
          <w:szCs w:val="26"/>
        </w:rPr>
        <w:t xml:space="preserve"> de două zile, organizat la Barcelona (20 </w:t>
      </w:r>
      <w:r w:rsidR="00F63BAE" w:rsidRPr="00AE70C1">
        <w:rPr>
          <w:rFonts w:asciiTheme="minorHAnsi" w:hAnsiTheme="minorHAnsi" w:cstheme="minorHAnsi"/>
          <w:sz w:val="26"/>
          <w:szCs w:val="26"/>
        </w:rPr>
        <w:t>–</w:t>
      </w:r>
      <w:r w:rsidRPr="00AE70C1">
        <w:rPr>
          <w:rFonts w:asciiTheme="minorHAnsi" w:hAnsiTheme="minorHAnsi" w:cstheme="minorHAnsi"/>
          <w:sz w:val="26"/>
          <w:szCs w:val="26"/>
        </w:rPr>
        <w:t xml:space="preserve"> 21</w:t>
      </w:r>
      <w:r w:rsidR="00881CFE" w:rsidRPr="00AE70C1">
        <w:rPr>
          <w:rFonts w:asciiTheme="minorHAnsi" w:hAnsiTheme="minorHAnsi" w:cstheme="minorHAnsi"/>
          <w:sz w:val="26"/>
          <w:szCs w:val="26"/>
        </w:rPr>
        <w:t xml:space="preserve"> noiembrie </w:t>
      </w:r>
      <w:r w:rsidRPr="00AE70C1">
        <w:rPr>
          <w:rFonts w:asciiTheme="minorHAnsi" w:hAnsiTheme="minorHAnsi" w:cstheme="minorHAnsi"/>
          <w:sz w:val="26"/>
          <w:szCs w:val="26"/>
        </w:rPr>
        <w:lastRenderedPageBreak/>
        <w:t xml:space="preserve">2025). Înainte de participarea la activitățile propriu-zise, toți participanții </w:t>
      </w:r>
      <w:r w:rsidR="00BC2C8E" w:rsidRPr="00AE70C1">
        <w:rPr>
          <w:rFonts w:asciiTheme="minorHAnsi" w:hAnsiTheme="minorHAnsi" w:cstheme="minorHAnsi"/>
          <w:sz w:val="26"/>
          <w:szCs w:val="26"/>
        </w:rPr>
        <w:t xml:space="preserve">au </w:t>
      </w:r>
      <w:r w:rsidRPr="00AE70C1">
        <w:rPr>
          <w:rFonts w:asciiTheme="minorHAnsi" w:hAnsiTheme="minorHAnsi" w:cstheme="minorHAnsi"/>
          <w:sz w:val="26"/>
          <w:szCs w:val="26"/>
        </w:rPr>
        <w:t>trebui</w:t>
      </w:r>
      <w:r w:rsidR="00BC2C8E" w:rsidRPr="00AE70C1">
        <w:rPr>
          <w:rFonts w:asciiTheme="minorHAnsi" w:hAnsiTheme="minorHAnsi" w:cstheme="minorHAnsi"/>
          <w:sz w:val="26"/>
          <w:szCs w:val="26"/>
        </w:rPr>
        <w:t>t</w:t>
      </w:r>
      <w:r w:rsidRPr="00AE70C1">
        <w:rPr>
          <w:rFonts w:asciiTheme="minorHAnsi" w:hAnsiTheme="minorHAnsi" w:cstheme="minorHAnsi"/>
          <w:sz w:val="26"/>
          <w:szCs w:val="26"/>
        </w:rPr>
        <w:t xml:space="preserve"> să parcurgă trei tutoriale video menite să asigure o familiarizare inițială cu sistemul e-CODEX.</w:t>
      </w:r>
    </w:p>
    <w:p w14:paraId="2EE97600" w14:textId="2478B34C" w:rsidR="00BC2C8E" w:rsidRPr="00AE70C1" w:rsidRDefault="00BC2C8E" w:rsidP="00BC2C8E">
      <w:pPr>
        <w:spacing w:line="276" w:lineRule="auto"/>
        <w:ind w:firstLine="720"/>
        <w:jc w:val="both"/>
        <w:rPr>
          <w:rFonts w:asciiTheme="minorHAnsi" w:hAnsiTheme="minorHAnsi" w:cstheme="minorHAnsi"/>
          <w:sz w:val="26"/>
          <w:szCs w:val="26"/>
        </w:rPr>
      </w:pPr>
      <w:r w:rsidRPr="00AE70C1">
        <w:rPr>
          <w:rFonts w:asciiTheme="minorHAnsi" w:hAnsiTheme="minorHAnsi" w:cstheme="minorHAnsi"/>
          <w:sz w:val="26"/>
          <w:szCs w:val="26"/>
        </w:rPr>
        <w:t>Pentru cel de-al</w:t>
      </w:r>
      <w:r w:rsidRPr="00AE70C1">
        <w:rPr>
          <w:rFonts w:asciiTheme="minorHAnsi" w:hAnsiTheme="minorHAnsi" w:cstheme="minorHAnsi"/>
          <w:iCs/>
          <w:sz w:val="26"/>
          <w:szCs w:val="26"/>
        </w:rPr>
        <w:t xml:space="preserve"> treilea ciclu de formare (februarie 2026), </w:t>
      </w:r>
      <w:r w:rsidRPr="00AE70C1">
        <w:rPr>
          <w:rFonts w:asciiTheme="minorHAnsi" w:hAnsiTheme="minorHAnsi" w:cstheme="minorHAnsi"/>
          <w:sz w:val="26"/>
          <w:szCs w:val="26"/>
        </w:rPr>
        <w:t xml:space="preserve">procedura de selecție a fost lansată în luna noiembrie 2025, cu termen limită </w:t>
      </w:r>
      <w:r w:rsidR="00AE70C1" w:rsidRPr="00AE70C1">
        <w:rPr>
          <w:rFonts w:asciiTheme="minorHAnsi" w:hAnsiTheme="minorHAnsi" w:cstheme="minorHAnsi"/>
          <w:sz w:val="26"/>
          <w:szCs w:val="26"/>
        </w:rPr>
        <w:t>0</w:t>
      </w:r>
      <w:r w:rsidRPr="00AE70C1">
        <w:rPr>
          <w:rFonts w:asciiTheme="minorHAnsi" w:hAnsiTheme="minorHAnsi" w:cstheme="minorHAnsi"/>
          <w:sz w:val="26"/>
          <w:szCs w:val="26"/>
        </w:rPr>
        <w:t>7 decembrie</w:t>
      </w:r>
      <w:r w:rsidR="00AE70C1" w:rsidRPr="00AE70C1">
        <w:rPr>
          <w:rFonts w:asciiTheme="minorHAnsi" w:hAnsiTheme="minorHAnsi" w:cstheme="minorHAnsi"/>
          <w:sz w:val="26"/>
          <w:szCs w:val="26"/>
        </w:rPr>
        <w:t xml:space="preserve"> 2025</w:t>
      </w:r>
      <w:r w:rsidRPr="00AE70C1">
        <w:rPr>
          <w:rFonts w:asciiTheme="minorHAnsi" w:hAnsiTheme="minorHAnsi" w:cstheme="minorHAnsi"/>
          <w:sz w:val="26"/>
          <w:szCs w:val="26"/>
        </w:rPr>
        <w:t xml:space="preserve">. În urma acesteia, au fost selectați 6 grefieri români, precum și o listă de 4 rezerve. Ciclul include un webinar introductiv (11 februarie 2026) și un seminar </w:t>
      </w:r>
      <w:r w:rsidRPr="00AE70C1">
        <w:rPr>
          <w:rFonts w:asciiTheme="minorHAnsi" w:eastAsia="Calibri" w:hAnsiTheme="minorHAnsi" w:cstheme="minorHAnsi"/>
          <w:iCs/>
          <w:sz w:val="26"/>
          <w:szCs w:val="26"/>
        </w:rPr>
        <w:t>face-to-face</w:t>
      </w:r>
      <w:r w:rsidRPr="00AE70C1">
        <w:rPr>
          <w:rFonts w:asciiTheme="minorHAnsi" w:hAnsiTheme="minorHAnsi" w:cstheme="minorHAnsi"/>
          <w:sz w:val="26"/>
          <w:szCs w:val="26"/>
        </w:rPr>
        <w:t xml:space="preserve"> de două zile, organizat la București (24 – 25 februarie 2026). Înainte de participarea la activitățile propriu-zise, toți participanții trebuie să parcurgă trei tutoriale video menite să asigure o familiarizare inițială cu sistemul e-CODEX.</w:t>
      </w:r>
    </w:p>
    <w:p w14:paraId="4D60AA94" w14:textId="3D296AA2" w:rsidR="00BC2C8E" w:rsidRPr="00AE70C1" w:rsidRDefault="00BC2C8E" w:rsidP="00BC2C8E">
      <w:pPr>
        <w:spacing w:line="276" w:lineRule="auto"/>
        <w:ind w:firstLine="720"/>
        <w:jc w:val="both"/>
        <w:rPr>
          <w:rFonts w:asciiTheme="minorHAnsi" w:hAnsiTheme="minorHAnsi" w:cstheme="minorHAnsi"/>
          <w:sz w:val="26"/>
          <w:szCs w:val="26"/>
        </w:rPr>
      </w:pPr>
      <w:r w:rsidRPr="00AE70C1">
        <w:rPr>
          <w:rFonts w:asciiTheme="minorHAnsi" w:hAnsiTheme="minorHAnsi" w:cstheme="minorHAnsi"/>
          <w:iCs/>
          <w:sz w:val="26"/>
          <w:szCs w:val="26"/>
        </w:rPr>
        <w:t>Ciclul patru de formare</w:t>
      </w:r>
      <w:r w:rsidRPr="00AE70C1">
        <w:rPr>
          <w:rFonts w:asciiTheme="minorHAnsi" w:hAnsiTheme="minorHAnsi" w:cstheme="minorHAnsi"/>
          <w:sz w:val="26"/>
          <w:szCs w:val="26"/>
        </w:rPr>
        <w:t xml:space="preserve"> a avut procedura de selecție lansată în decembrie 2025, cu termen limită de depunere a candidaturilor la data de </w:t>
      </w:r>
      <w:r w:rsidR="00AE70C1" w:rsidRPr="00AE70C1">
        <w:rPr>
          <w:rFonts w:asciiTheme="minorHAnsi" w:hAnsiTheme="minorHAnsi" w:cstheme="minorHAnsi"/>
          <w:sz w:val="26"/>
          <w:szCs w:val="26"/>
        </w:rPr>
        <w:t>0</w:t>
      </w:r>
      <w:r w:rsidRPr="00AE70C1">
        <w:rPr>
          <w:rFonts w:asciiTheme="minorHAnsi" w:hAnsiTheme="minorHAnsi" w:cstheme="minorHAnsi"/>
          <w:sz w:val="26"/>
          <w:szCs w:val="26"/>
        </w:rPr>
        <w:t xml:space="preserve">4 ianuarie 2026. Pentru acest ciclu vor fi selectați 4 grefieri români. Programul de formare include un webinar introductiv, care va avea loc </w:t>
      </w:r>
      <w:r w:rsidR="00AE70C1" w:rsidRPr="00AE70C1">
        <w:rPr>
          <w:rFonts w:asciiTheme="minorHAnsi" w:hAnsiTheme="minorHAnsi" w:cstheme="minorHAnsi"/>
          <w:sz w:val="26"/>
          <w:szCs w:val="26"/>
        </w:rPr>
        <w:t>în data de 0</w:t>
      </w:r>
      <w:r w:rsidRPr="00AE70C1">
        <w:rPr>
          <w:rFonts w:asciiTheme="minorHAnsi" w:hAnsiTheme="minorHAnsi" w:cstheme="minorHAnsi"/>
          <w:sz w:val="26"/>
          <w:szCs w:val="26"/>
        </w:rPr>
        <w:t xml:space="preserve">5 martie 2026, precum și un seminar </w:t>
      </w:r>
      <w:r w:rsidRPr="00AE70C1">
        <w:rPr>
          <w:rFonts w:asciiTheme="minorHAnsi" w:eastAsia="Calibri" w:hAnsiTheme="minorHAnsi" w:cstheme="minorHAnsi"/>
          <w:iCs/>
          <w:sz w:val="26"/>
          <w:szCs w:val="26"/>
        </w:rPr>
        <w:t>face-to-face</w:t>
      </w:r>
      <w:r w:rsidRPr="00AE70C1">
        <w:rPr>
          <w:rFonts w:asciiTheme="minorHAnsi" w:hAnsiTheme="minorHAnsi" w:cstheme="minorHAnsi"/>
          <w:sz w:val="26"/>
          <w:szCs w:val="26"/>
        </w:rPr>
        <w:t xml:space="preserve"> cu durata de două zile, organizat la Sofia, în perioada 17 – 18 martie 2026. Anterior participării la activitățile propriu-zise, toți participanții sunt obligați să parcurgă trei tutoriale video, destinate familiarizării inițiale cu sistemul e-CODEX.</w:t>
      </w:r>
    </w:p>
    <w:p w14:paraId="74F422ED" w14:textId="48C3183C" w:rsidR="006C1588" w:rsidRPr="000F0D8B" w:rsidRDefault="006C1588" w:rsidP="009E3AD8">
      <w:pPr>
        <w:pStyle w:val="Heading2"/>
        <w:keepLines w:val="0"/>
        <w:rPr>
          <w:rFonts w:cstheme="minorHAnsi"/>
          <w:color w:val="auto"/>
          <w:lang w:val="ro-RO"/>
        </w:rPr>
      </w:pPr>
      <w:bookmarkStart w:id="56" w:name="_Toc219287949"/>
      <w:r w:rsidRPr="000F0D8B">
        <w:rPr>
          <w:rFonts w:cstheme="minorHAnsi"/>
          <w:color w:val="auto"/>
          <w:lang w:val="ro-RO"/>
        </w:rPr>
        <w:t>I.6.</w:t>
      </w:r>
      <w:bookmarkStart w:id="57" w:name="_Toc430867110"/>
      <w:r w:rsidR="004C16C8" w:rsidRPr="000F0D8B">
        <w:rPr>
          <w:rFonts w:cstheme="minorHAnsi"/>
          <w:color w:val="auto"/>
          <w:lang w:val="ro-RO"/>
        </w:rPr>
        <w:t xml:space="preserve"> </w:t>
      </w:r>
      <w:r w:rsidRPr="000F0D8B">
        <w:rPr>
          <w:rFonts w:cstheme="minorHAnsi"/>
          <w:color w:val="auto"/>
          <w:lang w:val="ro-RO"/>
        </w:rPr>
        <w:t>Apărarea independenţei, imparţialităţii şi a reputaţiei profesionale</w:t>
      </w:r>
      <w:bookmarkStart w:id="58" w:name="_Toc430867111"/>
      <w:bookmarkEnd w:id="56"/>
      <w:bookmarkEnd w:id="57"/>
    </w:p>
    <w:p w14:paraId="71D49F44" w14:textId="1EEFCF59" w:rsidR="00CE1FDC" w:rsidRPr="000F0D8B" w:rsidRDefault="00CE1FDC" w:rsidP="00F24907">
      <w:pPr>
        <w:spacing w:line="276" w:lineRule="auto"/>
        <w:ind w:firstLine="709"/>
        <w:jc w:val="both"/>
        <w:rPr>
          <w:rStyle w:val="Strong"/>
          <w:rFonts w:asciiTheme="minorHAnsi" w:hAnsiTheme="minorHAnsi" w:cstheme="minorHAnsi"/>
          <w:b w:val="0"/>
          <w:bCs w:val="0"/>
          <w:sz w:val="26"/>
          <w:szCs w:val="26"/>
        </w:rPr>
      </w:pPr>
      <w:r w:rsidRPr="000F0D8B">
        <w:rPr>
          <w:rStyle w:val="Strong"/>
          <w:rFonts w:asciiTheme="minorHAnsi" w:hAnsiTheme="minorHAnsi" w:cstheme="minorHAnsi"/>
          <w:b w:val="0"/>
          <w:bCs w:val="0"/>
          <w:sz w:val="26"/>
          <w:szCs w:val="26"/>
        </w:rPr>
        <w:t>C</w:t>
      </w:r>
      <w:r w:rsidR="00F24907">
        <w:rPr>
          <w:rStyle w:val="Strong"/>
          <w:rFonts w:asciiTheme="minorHAnsi" w:hAnsiTheme="minorHAnsi" w:cstheme="minorHAnsi"/>
          <w:b w:val="0"/>
          <w:bCs w:val="0"/>
          <w:sz w:val="26"/>
          <w:szCs w:val="26"/>
        </w:rPr>
        <w:t>.S.M.</w:t>
      </w:r>
      <w:r w:rsidRPr="000F0D8B">
        <w:rPr>
          <w:rStyle w:val="Strong"/>
          <w:rFonts w:asciiTheme="minorHAnsi" w:hAnsiTheme="minorHAnsi" w:cstheme="minorHAnsi"/>
          <w:b w:val="0"/>
          <w:bCs w:val="0"/>
          <w:sz w:val="26"/>
          <w:szCs w:val="26"/>
        </w:rPr>
        <w:t xml:space="preserve"> are consacrat, prin Constituție și prin art. 1 din Legea nr. 305/2022 privind Consiliul Superior al Magistraturii, rolul de garant al independenței justiției.</w:t>
      </w:r>
      <w:r w:rsidR="00F24907">
        <w:rPr>
          <w:rStyle w:val="Strong"/>
          <w:rFonts w:asciiTheme="minorHAnsi" w:hAnsiTheme="minorHAnsi" w:cstheme="minorHAnsi"/>
          <w:b w:val="0"/>
          <w:bCs w:val="0"/>
          <w:sz w:val="26"/>
          <w:szCs w:val="26"/>
        </w:rPr>
        <w:t xml:space="preserve"> </w:t>
      </w:r>
      <w:r w:rsidRPr="000F0D8B">
        <w:rPr>
          <w:rStyle w:val="Strong"/>
          <w:rFonts w:asciiTheme="minorHAnsi" w:hAnsiTheme="minorHAnsi" w:cstheme="minorHAnsi"/>
          <w:b w:val="0"/>
          <w:bCs w:val="0"/>
          <w:sz w:val="26"/>
          <w:szCs w:val="26"/>
        </w:rPr>
        <w:t>În exercitarea acestui rol fundamental, Consiliul nu se limitează la protejarea independenței instituționale, ci intervine activ și pentru apărarea reputației profesionale, a independenței și a imparțialității judecătorilor și procurorilor.</w:t>
      </w:r>
    </w:p>
    <w:p w14:paraId="04EEECF1" w14:textId="77777777" w:rsidR="00CE1FDC" w:rsidRPr="000F0D8B" w:rsidRDefault="00CE1FDC" w:rsidP="009E3AD8">
      <w:pPr>
        <w:spacing w:line="276" w:lineRule="auto"/>
        <w:ind w:firstLine="709"/>
        <w:jc w:val="both"/>
        <w:rPr>
          <w:rStyle w:val="Strong"/>
          <w:rFonts w:asciiTheme="minorHAnsi" w:hAnsiTheme="minorHAnsi" w:cstheme="minorHAnsi"/>
          <w:b w:val="0"/>
          <w:bCs w:val="0"/>
          <w:sz w:val="26"/>
          <w:szCs w:val="26"/>
        </w:rPr>
      </w:pPr>
      <w:r w:rsidRPr="000F0D8B">
        <w:rPr>
          <w:rStyle w:val="Strong"/>
          <w:rFonts w:asciiTheme="minorHAnsi" w:hAnsiTheme="minorHAnsi" w:cstheme="minorHAnsi"/>
          <w:b w:val="0"/>
          <w:bCs w:val="0"/>
          <w:sz w:val="26"/>
          <w:szCs w:val="26"/>
        </w:rPr>
        <w:t>Independența judecătorilor şi a procurorilor constituie o garanție esențială a înfăptuirii justiției și o premisă indispensabilă a statului de drept. Respectarea acestei garanții asigură imparțialitatea în soluționarea cauzelor și consolidează încrederea publicului în sistemul judiciar.</w:t>
      </w:r>
    </w:p>
    <w:p w14:paraId="5D048921" w14:textId="77777777" w:rsidR="00CE1FDC" w:rsidRPr="000F0D8B" w:rsidRDefault="00CE1FDC" w:rsidP="009E3AD8">
      <w:pPr>
        <w:spacing w:line="276" w:lineRule="auto"/>
        <w:ind w:firstLine="709"/>
        <w:jc w:val="both"/>
        <w:rPr>
          <w:rStyle w:val="Strong"/>
          <w:rFonts w:asciiTheme="minorHAnsi" w:hAnsiTheme="minorHAnsi" w:cstheme="minorHAnsi"/>
          <w:b w:val="0"/>
          <w:bCs w:val="0"/>
          <w:sz w:val="26"/>
          <w:szCs w:val="26"/>
        </w:rPr>
      </w:pPr>
      <w:r w:rsidRPr="000F0D8B">
        <w:rPr>
          <w:rStyle w:val="Strong"/>
          <w:rFonts w:asciiTheme="minorHAnsi" w:hAnsiTheme="minorHAnsi" w:cstheme="minorHAnsi"/>
          <w:b w:val="0"/>
          <w:bCs w:val="0"/>
          <w:sz w:val="26"/>
          <w:szCs w:val="26"/>
        </w:rPr>
        <w:t>Pentru ca actul de justiție să fie perceput ca imparțial, publicul trebuie să aibă convingerea fermă că judecătorii și procurorii își exercită atribuțiile cu independență și obiectivitate. Atunci când această încredere este afectată, chiar și la nivel de percepție, se poate diminua nu doar aparența de imparțialitate, ci și încrederea în independența individuală a magistraților sau în sistemul judiciar în ansamblu.</w:t>
      </w:r>
    </w:p>
    <w:p w14:paraId="120D9DF1" w14:textId="77777777" w:rsidR="00CE1FDC" w:rsidRPr="000F0D8B" w:rsidRDefault="00CE1FDC" w:rsidP="009E3AD8">
      <w:pPr>
        <w:spacing w:line="276" w:lineRule="auto"/>
        <w:ind w:firstLine="709"/>
        <w:jc w:val="both"/>
        <w:rPr>
          <w:rStyle w:val="Strong"/>
          <w:rFonts w:asciiTheme="minorHAnsi" w:hAnsiTheme="minorHAnsi" w:cstheme="minorHAnsi"/>
          <w:b w:val="0"/>
          <w:bCs w:val="0"/>
          <w:sz w:val="26"/>
          <w:szCs w:val="26"/>
        </w:rPr>
      </w:pPr>
      <w:r w:rsidRPr="000F0D8B">
        <w:rPr>
          <w:rStyle w:val="Strong"/>
          <w:rFonts w:asciiTheme="minorHAnsi" w:hAnsiTheme="minorHAnsi" w:cstheme="minorHAnsi"/>
          <w:b w:val="0"/>
          <w:bCs w:val="0"/>
          <w:sz w:val="26"/>
          <w:szCs w:val="26"/>
        </w:rPr>
        <w:t>În același timp, reputația profesională a judecătorilor și procurorilor trebuie să se raporteze la aceleași standarde de integritate și rigoare, pentru a asigura un act de justiție de calitate și credibil în fața societății.</w:t>
      </w:r>
    </w:p>
    <w:p w14:paraId="2F70F00F" w14:textId="0660D59B" w:rsidR="00CE1FDC" w:rsidRPr="000F0D8B" w:rsidRDefault="00CE1FDC" w:rsidP="009E3AD8">
      <w:pPr>
        <w:spacing w:line="276" w:lineRule="auto"/>
        <w:ind w:firstLine="709"/>
        <w:jc w:val="both"/>
        <w:rPr>
          <w:rStyle w:val="Strong"/>
          <w:rFonts w:asciiTheme="minorHAnsi" w:hAnsiTheme="minorHAnsi" w:cstheme="minorHAnsi"/>
          <w:b w:val="0"/>
          <w:bCs w:val="0"/>
          <w:sz w:val="26"/>
          <w:szCs w:val="26"/>
        </w:rPr>
      </w:pPr>
      <w:r w:rsidRPr="000F0D8B">
        <w:rPr>
          <w:rStyle w:val="Strong"/>
          <w:rFonts w:asciiTheme="minorHAnsi" w:hAnsiTheme="minorHAnsi" w:cstheme="minorHAnsi"/>
          <w:b w:val="0"/>
          <w:bCs w:val="0"/>
          <w:sz w:val="26"/>
          <w:szCs w:val="26"/>
        </w:rPr>
        <w:t>Astfel, ori de câte ori circumstanțele o impun, C</w:t>
      </w:r>
      <w:r w:rsidR="00040359">
        <w:rPr>
          <w:rStyle w:val="Strong"/>
          <w:rFonts w:asciiTheme="minorHAnsi" w:hAnsiTheme="minorHAnsi" w:cstheme="minorHAnsi"/>
          <w:b w:val="0"/>
          <w:bCs w:val="0"/>
          <w:sz w:val="26"/>
          <w:szCs w:val="26"/>
        </w:rPr>
        <w:t xml:space="preserve">.S.M. </w:t>
      </w:r>
      <w:r w:rsidRPr="000F0D8B">
        <w:rPr>
          <w:rStyle w:val="Strong"/>
          <w:rFonts w:asciiTheme="minorHAnsi" w:hAnsiTheme="minorHAnsi" w:cstheme="minorHAnsi"/>
          <w:b w:val="0"/>
          <w:bCs w:val="0"/>
          <w:sz w:val="26"/>
          <w:szCs w:val="26"/>
        </w:rPr>
        <w:t>adoptă măsuri pentru a crea condițiile necesare desfășurării activității magistraților în deplină independență și imparțialitate, apărând atât independenţa, imparţialitatea și reputația profesională individuală, cât și independența sistemului judiciar în ansamblul său.</w:t>
      </w:r>
    </w:p>
    <w:p w14:paraId="1AB62A32" w14:textId="77777777" w:rsidR="00CE1FDC" w:rsidRPr="000F0D8B" w:rsidRDefault="00CE1FDC" w:rsidP="009E3AD8">
      <w:pPr>
        <w:spacing w:line="276" w:lineRule="auto"/>
        <w:ind w:firstLine="709"/>
        <w:jc w:val="both"/>
        <w:rPr>
          <w:rStyle w:val="Strong"/>
          <w:rFonts w:asciiTheme="minorHAnsi" w:hAnsiTheme="minorHAnsi" w:cstheme="minorHAnsi"/>
          <w:b w:val="0"/>
          <w:bCs w:val="0"/>
          <w:sz w:val="26"/>
          <w:szCs w:val="26"/>
        </w:rPr>
      </w:pPr>
      <w:r w:rsidRPr="000F0D8B">
        <w:rPr>
          <w:rStyle w:val="Strong"/>
          <w:rFonts w:asciiTheme="minorHAnsi" w:hAnsiTheme="minorHAnsi" w:cstheme="minorHAnsi"/>
          <w:b w:val="0"/>
          <w:bCs w:val="0"/>
          <w:sz w:val="26"/>
          <w:szCs w:val="26"/>
        </w:rPr>
        <w:t>În mod corespunzător, judecătorii și procurorii au datoria de a respecta cele mai înalte standarde de integritate profesională și morală, precum și imaginea pe care o proiectează în conștiința publică asupra modului în care își îndeplinesc rolul.</w:t>
      </w:r>
    </w:p>
    <w:p w14:paraId="4CB9AC31" w14:textId="0694F729" w:rsidR="004640CD" w:rsidRPr="00AE70C1" w:rsidRDefault="00CE1FDC" w:rsidP="009E3AD8">
      <w:pPr>
        <w:spacing w:line="276" w:lineRule="auto"/>
        <w:ind w:firstLine="709"/>
        <w:jc w:val="both"/>
        <w:rPr>
          <w:rStyle w:val="Strong"/>
          <w:rFonts w:asciiTheme="minorHAnsi" w:hAnsiTheme="minorHAnsi" w:cstheme="minorHAnsi"/>
          <w:b w:val="0"/>
          <w:bCs w:val="0"/>
          <w:sz w:val="26"/>
          <w:szCs w:val="26"/>
        </w:rPr>
      </w:pPr>
      <w:r w:rsidRPr="00AE70C1">
        <w:rPr>
          <w:rStyle w:val="Strong"/>
          <w:rFonts w:asciiTheme="minorHAnsi" w:hAnsiTheme="minorHAnsi" w:cstheme="minorHAnsi"/>
          <w:b w:val="0"/>
          <w:bCs w:val="0"/>
          <w:sz w:val="26"/>
          <w:szCs w:val="26"/>
        </w:rPr>
        <w:t xml:space="preserve">Secţia pentru judecători a Consiliului Superior al Magistraturii, în perioada ianuarie 2025 – </w:t>
      </w:r>
      <w:r w:rsidR="007334E1" w:rsidRPr="00AE70C1">
        <w:rPr>
          <w:rStyle w:val="Strong"/>
          <w:rFonts w:asciiTheme="minorHAnsi" w:hAnsiTheme="minorHAnsi" w:cstheme="minorHAnsi"/>
          <w:b w:val="0"/>
          <w:bCs w:val="0"/>
          <w:sz w:val="26"/>
          <w:szCs w:val="26"/>
        </w:rPr>
        <w:t>31 decembrie</w:t>
      </w:r>
      <w:r w:rsidR="00285FCF" w:rsidRPr="00AE70C1">
        <w:rPr>
          <w:rStyle w:val="Strong"/>
          <w:rFonts w:asciiTheme="minorHAnsi" w:hAnsiTheme="minorHAnsi" w:cstheme="minorHAnsi"/>
          <w:b w:val="0"/>
          <w:bCs w:val="0"/>
          <w:sz w:val="26"/>
          <w:szCs w:val="26"/>
        </w:rPr>
        <w:t xml:space="preserve"> </w:t>
      </w:r>
      <w:r w:rsidRPr="00AE70C1">
        <w:rPr>
          <w:rStyle w:val="Strong"/>
          <w:rFonts w:asciiTheme="minorHAnsi" w:hAnsiTheme="minorHAnsi" w:cstheme="minorHAnsi"/>
          <w:b w:val="0"/>
          <w:bCs w:val="0"/>
          <w:sz w:val="26"/>
          <w:szCs w:val="26"/>
        </w:rPr>
        <w:t xml:space="preserve">2025, a soluţionat </w:t>
      </w:r>
      <w:r w:rsidR="00285FCF" w:rsidRPr="00AE70C1">
        <w:rPr>
          <w:rStyle w:val="Strong"/>
          <w:rFonts w:asciiTheme="minorHAnsi" w:hAnsiTheme="minorHAnsi" w:cstheme="minorHAnsi"/>
          <w:b w:val="0"/>
          <w:bCs w:val="0"/>
          <w:sz w:val="26"/>
          <w:szCs w:val="26"/>
        </w:rPr>
        <w:t>7</w:t>
      </w:r>
      <w:r w:rsidRPr="00AE70C1">
        <w:rPr>
          <w:rStyle w:val="Strong"/>
          <w:rFonts w:asciiTheme="minorHAnsi" w:hAnsiTheme="minorHAnsi" w:cstheme="minorHAnsi"/>
          <w:b w:val="0"/>
          <w:bCs w:val="0"/>
          <w:sz w:val="26"/>
          <w:szCs w:val="26"/>
        </w:rPr>
        <w:t xml:space="preserve"> sesizări având ca obiect apărarea reputaţiei profesionale şi/sau a independenţei şi imparţialităţii judecătorilor. </w:t>
      </w:r>
    </w:p>
    <w:p w14:paraId="597D8339" w14:textId="13DAD212" w:rsidR="00CE1FDC" w:rsidRPr="002F6DF0" w:rsidRDefault="00CE1FDC" w:rsidP="009E3AD8">
      <w:pPr>
        <w:spacing w:line="276" w:lineRule="auto"/>
        <w:ind w:firstLine="709"/>
        <w:jc w:val="both"/>
        <w:rPr>
          <w:rStyle w:val="Strong"/>
          <w:rFonts w:asciiTheme="minorHAnsi" w:hAnsiTheme="minorHAnsi" w:cstheme="minorHAnsi"/>
          <w:b w:val="0"/>
          <w:bCs w:val="0"/>
          <w:sz w:val="26"/>
          <w:szCs w:val="26"/>
        </w:rPr>
      </w:pPr>
      <w:r w:rsidRPr="002F6DF0">
        <w:rPr>
          <w:rStyle w:val="Strong"/>
          <w:rFonts w:asciiTheme="minorHAnsi" w:hAnsiTheme="minorHAnsi" w:cstheme="minorHAnsi"/>
          <w:b w:val="0"/>
          <w:bCs w:val="0"/>
          <w:sz w:val="26"/>
          <w:szCs w:val="26"/>
        </w:rPr>
        <w:t xml:space="preserve">Au fost pronunţate </w:t>
      </w:r>
      <w:r w:rsidR="004640CD" w:rsidRPr="002F6DF0">
        <w:rPr>
          <w:rStyle w:val="Strong"/>
          <w:rFonts w:asciiTheme="minorHAnsi" w:hAnsiTheme="minorHAnsi" w:cstheme="minorHAnsi"/>
          <w:b w:val="0"/>
          <w:bCs w:val="0"/>
          <w:sz w:val="26"/>
          <w:szCs w:val="26"/>
        </w:rPr>
        <w:t>6</w:t>
      </w:r>
      <w:r w:rsidRPr="002F6DF0">
        <w:rPr>
          <w:rStyle w:val="Strong"/>
          <w:rFonts w:asciiTheme="minorHAnsi" w:hAnsiTheme="minorHAnsi" w:cstheme="minorHAnsi"/>
          <w:b w:val="0"/>
          <w:bCs w:val="0"/>
          <w:sz w:val="26"/>
          <w:szCs w:val="26"/>
        </w:rPr>
        <w:t xml:space="preserve"> hotărâri de admitere</w:t>
      </w:r>
      <w:r w:rsidR="004640CD" w:rsidRPr="002F6DF0">
        <w:rPr>
          <w:rStyle w:val="Strong"/>
          <w:rFonts w:asciiTheme="minorHAnsi" w:hAnsiTheme="minorHAnsi" w:cstheme="minorHAnsi"/>
          <w:b w:val="0"/>
          <w:bCs w:val="0"/>
          <w:sz w:val="26"/>
          <w:szCs w:val="26"/>
        </w:rPr>
        <w:t xml:space="preserve"> şi o hotărâre de respingere</w:t>
      </w:r>
      <w:r w:rsidRPr="002F6DF0">
        <w:rPr>
          <w:rStyle w:val="Strong"/>
          <w:rFonts w:asciiTheme="minorHAnsi" w:hAnsiTheme="minorHAnsi" w:cstheme="minorHAnsi"/>
          <w:b w:val="0"/>
          <w:bCs w:val="0"/>
          <w:sz w:val="26"/>
          <w:szCs w:val="26"/>
        </w:rPr>
        <w:t>, astfel:</w:t>
      </w:r>
    </w:p>
    <w:p w14:paraId="3F20115A" w14:textId="0A33B626" w:rsidR="00CE1FDC" w:rsidRPr="002F6DF0" w:rsidRDefault="00CE1FDC" w:rsidP="009E3AD8">
      <w:pPr>
        <w:spacing w:line="276" w:lineRule="auto"/>
        <w:ind w:firstLine="709"/>
        <w:jc w:val="both"/>
        <w:rPr>
          <w:rStyle w:val="Strong"/>
          <w:rFonts w:asciiTheme="minorHAnsi" w:hAnsiTheme="minorHAnsi" w:cstheme="minorHAnsi"/>
          <w:b w:val="0"/>
          <w:bCs w:val="0"/>
          <w:sz w:val="26"/>
          <w:szCs w:val="26"/>
        </w:rPr>
      </w:pPr>
      <w:r w:rsidRPr="002F6DF0">
        <w:rPr>
          <w:rStyle w:val="Strong"/>
          <w:rFonts w:asciiTheme="minorHAnsi" w:hAnsiTheme="minorHAnsi" w:cstheme="minorHAnsi"/>
          <w:b w:val="0"/>
          <w:bCs w:val="0"/>
          <w:sz w:val="26"/>
          <w:szCs w:val="26"/>
        </w:rPr>
        <w:lastRenderedPageBreak/>
        <w:t>1. Prin Hotărârea nr. 254</w:t>
      </w:r>
      <w:r w:rsidR="007563D4" w:rsidRPr="002F6DF0">
        <w:rPr>
          <w:rStyle w:val="Strong"/>
          <w:rFonts w:asciiTheme="minorHAnsi" w:hAnsiTheme="minorHAnsi" w:cstheme="minorHAnsi"/>
          <w:b w:val="0"/>
          <w:bCs w:val="0"/>
          <w:sz w:val="26"/>
          <w:szCs w:val="26"/>
        </w:rPr>
        <w:t>/</w:t>
      </w:r>
      <w:r w:rsidRPr="002F6DF0">
        <w:rPr>
          <w:rStyle w:val="Strong"/>
          <w:rFonts w:asciiTheme="minorHAnsi" w:hAnsiTheme="minorHAnsi" w:cstheme="minorHAnsi"/>
          <w:b w:val="0"/>
          <w:bCs w:val="0"/>
          <w:sz w:val="26"/>
          <w:szCs w:val="26"/>
        </w:rPr>
        <w:t>14.02.2025, Secţia pentru judecători a constatat</w:t>
      </w:r>
      <w:r w:rsidR="004640CD" w:rsidRPr="002F6DF0">
        <w:rPr>
          <w:rStyle w:val="Strong"/>
          <w:rFonts w:asciiTheme="minorHAnsi" w:hAnsiTheme="minorHAnsi" w:cstheme="minorHAnsi"/>
          <w:b w:val="0"/>
          <w:bCs w:val="0"/>
          <w:sz w:val="26"/>
          <w:szCs w:val="26"/>
        </w:rPr>
        <w:t xml:space="preserve"> </w:t>
      </w:r>
      <w:r w:rsidRPr="002F6DF0">
        <w:rPr>
          <w:rStyle w:val="Strong"/>
          <w:rFonts w:asciiTheme="minorHAnsi" w:hAnsiTheme="minorHAnsi" w:cstheme="minorHAnsi"/>
          <w:b w:val="0"/>
          <w:bCs w:val="0"/>
          <w:sz w:val="26"/>
          <w:szCs w:val="26"/>
        </w:rPr>
        <w:t>încălcarea independenţei puterii judecătoreşti, ca urmare a declaraţiilor procurorului general al Parchetului de pe lângă Înalta Curte de Casaţie şi Justiţie, redate în contextul discursului susţinut la bilanţul Direcţiei de Investigare a Infracţiunilor de Criminalitate Organizată şi Terorism.</w:t>
      </w:r>
    </w:p>
    <w:p w14:paraId="4C4675E6" w14:textId="5EE20A5E" w:rsidR="00CE1FDC" w:rsidRPr="002F6DF0" w:rsidRDefault="00CE1FDC" w:rsidP="009E3AD8">
      <w:pPr>
        <w:spacing w:line="276" w:lineRule="auto"/>
        <w:ind w:firstLine="709"/>
        <w:jc w:val="both"/>
        <w:rPr>
          <w:rStyle w:val="Strong"/>
          <w:rFonts w:asciiTheme="minorHAnsi" w:hAnsiTheme="minorHAnsi" w:cstheme="minorHAnsi"/>
          <w:b w:val="0"/>
          <w:bCs w:val="0"/>
          <w:sz w:val="26"/>
          <w:szCs w:val="26"/>
        </w:rPr>
      </w:pPr>
      <w:r w:rsidRPr="002F6DF0">
        <w:rPr>
          <w:rStyle w:val="Strong"/>
          <w:rFonts w:asciiTheme="minorHAnsi" w:hAnsiTheme="minorHAnsi" w:cstheme="minorHAnsi"/>
          <w:b w:val="0"/>
          <w:bCs w:val="0"/>
          <w:sz w:val="26"/>
          <w:szCs w:val="26"/>
        </w:rPr>
        <w:t>2. Prin Hotărârea nr. 1944</w:t>
      </w:r>
      <w:r w:rsidR="007563D4" w:rsidRPr="002F6DF0">
        <w:rPr>
          <w:rStyle w:val="Strong"/>
          <w:rFonts w:asciiTheme="minorHAnsi" w:hAnsiTheme="minorHAnsi" w:cstheme="minorHAnsi"/>
          <w:b w:val="0"/>
          <w:bCs w:val="0"/>
          <w:sz w:val="26"/>
          <w:szCs w:val="26"/>
        </w:rPr>
        <w:t>/</w:t>
      </w:r>
      <w:r w:rsidRPr="002F6DF0">
        <w:rPr>
          <w:rStyle w:val="Strong"/>
          <w:rFonts w:asciiTheme="minorHAnsi" w:hAnsiTheme="minorHAnsi" w:cstheme="minorHAnsi"/>
          <w:b w:val="0"/>
          <w:bCs w:val="0"/>
          <w:sz w:val="26"/>
          <w:szCs w:val="26"/>
        </w:rPr>
        <w:t>10.09.2025, Secţia pentru judecători a hotărât</w:t>
      </w:r>
      <w:r w:rsidR="004640CD" w:rsidRPr="002F6DF0">
        <w:rPr>
          <w:rStyle w:val="Strong"/>
          <w:rFonts w:asciiTheme="minorHAnsi" w:hAnsiTheme="minorHAnsi" w:cstheme="minorHAnsi"/>
          <w:b w:val="0"/>
          <w:bCs w:val="0"/>
          <w:sz w:val="26"/>
          <w:szCs w:val="26"/>
        </w:rPr>
        <w:t xml:space="preserve"> </w:t>
      </w:r>
      <w:r w:rsidRPr="002F6DF0">
        <w:rPr>
          <w:rStyle w:val="Strong"/>
          <w:rFonts w:asciiTheme="minorHAnsi" w:hAnsiTheme="minorHAnsi" w:cstheme="minorHAnsi"/>
          <w:b w:val="0"/>
          <w:bCs w:val="0"/>
          <w:sz w:val="26"/>
          <w:szCs w:val="26"/>
        </w:rPr>
        <w:t>admiterea cererii vizând apărarea independenţei judecătorilor și respingerea, ca inadmisibilă, a cererii vizând apărarea reputaţiei profesionale a judecătorilor, formulat</w:t>
      </w:r>
      <w:r w:rsidR="002A5F6F" w:rsidRPr="002F6DF0">
        <w:rPr>
          <w:rStyle w:val="Strong"/>
          <w:rFonts w:asciiTheme="minorHAnsi" w:hAnsiTheme="minorHAnsi" w:cstheme="minorHAnsi"/>
          <w:b w:val="0"/>
          <w:bCs w:val="0"/>
          <w:sz w:val="26"/>
          <w:szCs w:val="26"/>
        </w:rPr>
        <w:t>ă de o persoană juridică.</w:t>
      </w:r>
    </w:p>
    <w:p w14:paraId="138DED2E" w14:textId="20B490CA" w:rsidR="00285FCF" w:rsidRPr="002F6DF0" w:rsidRDefault="00285FCF" w:rsidP="009E3AD8">
      <w:pPr>
        <w:spacing w:line="276" w:lineRule="auto"/>
        <w:ind w:firstLine="709"/>
        <w:jc w:val="both"/>
        <w:rPr>
          <w:rFonts w:asciiTheme="minorHAnsi" w:hAnsiTheme="minorHAnsi" w:cstheme="minorHAnsi"/>
          <w:sz w:val="26"/>
          <w:szCs w:val="26"/>
        </w:rPr>
      </w:pPr>
      <w:r w:rsidRPr="002F6DF0">
        <w:rPr>
          <w:rFonts w:asciiTheme="minorHAnsi" w:hAnsiTheme="minorHAnsi" w:cstheme="minorHAnsi"/>
          <w:sz w:val="26"/>
          <w:szCs w:val="26"/>
        </w:rPr>
        <w:t xml:space="preserve">3. </w:t>
      </w:r>
      <w:r w:rsidR="004640CD" w:rsidRPr="002F6DF0">
        <w:rPr>
          <w:rFonts w:asciiTheme="minorHAnsi" w:hAnsiTheme="minorHAnsi" w:cstheme="minorHAnsi"/>
          <w:sz w:val="26"/>
          <w:szCs w:val="26"/>
        </w:rPr>
        <w:t xml:space="preserve">Prin Hotărârea nr. 2115/16.10.2025, </w:t>
      </w:r>
      <w:r w:rsidRPr="002F6DF0">
        <w:rPr>
          <w:rFonts w:asciiTheme="minorHAnsi" w:hAnsiTheme="minorHAnsi" w:cstheme="minorHAnsi"/>
          <w:sz w:val="26"/>
          <w:szCs w:val="26"/>
        </w:rPr>
        <w:t xml:space="preserve">Secţia pentru judecători a hotărât admiterea cererii de apărare a reputației profesionale formulate de </w:t>
      </w:r>
      <w:r w:rsidR="004640CD" w:rsidRPr="002F6DF0">
        <w:rPr>
          <w:rFonts w:asciiTheme="minorHAnsi" w:hAnsiTheme="minorHAnsi" w:cstheme="minorHAnsi"/>
          <w:sz w:val="26"/>
          <w:szCs w:val="26"/>
        </w:rPr>
        <w:t xml:space="preserve">un judecător din </w:t>
      </w:r>
      <w:r w:rsidRPr="002F6DF0">
        <w:rPr>
          <w:rFonts w:asciiTheme="minorHAnsi" w:hAnsiTheme="minorHAnsi" w:cstheme="minorHAnsi"/>
          <w:sz w:val="26"/>
          <w:szCs w:val="26"/>
        </w:rPr>
        <w:t xml:space="preserve">cadrul Înaltei Curți de Casație și Justiție. Hotărârea nr. 2115/16.10.2025 </w:t>
      </w:r>
    </w:p>
    <w:p w14:paraId="377D504A" w14:textId="4A236AA7" w:rsidR="00285FCF" w:rsidRPr="002F6DF0" w:rsidRDefault="00285FCF" w:rsidP="004640CD">
      <w:pPr>
        <w:spacing w:line="276" w:lineRule="auto"/>
        <w:ind w:firstLine="709"/>
        <w:jc w:val="both"/>
        <w:rPr>
          <w:rFonts w:asciiTheme="minorHAnsi" w:hAnsiTheme="minorHAnsi" w:cstheme="minorHAnsi"/>
          <w:sz w:val="26"/>
          <w:szCs w:val="26"/>
        </w:rPr>
      </w:pPr>
      <w:r w:rsidRPr="002F6DF0">
        <w:rPr>
          <w:rFonts w:asciiTheme="minorHAnsi" w:hAnsiTheme="minorHAnsi" w:cstheme="minorHAnsi"/>
          <w:sz w:val="26"/>
          <w:szCs w:val="26"/>
        </w:rPr>
        <w:t xml:space="preserve">4. </w:t>
      </w:r>
      <w:r w:rsidR="004640CD" w:rsidRPr="002F6DF0">
        <w:rPr>
          <w:rFonts w:asciiTheme="minorHAnsi" w:hAnsiTheme="minorHAnsi" w:cstheme="minorHAnsi"/>
          <w:sz w:val="26"/>
          <w:szCs w:val="26"/>
        </w:rPr>
        <w:t xml:space="preserve">Prin Hotrărârea nr. 2116/16.10.2025, </w:t>
      </w:r>
      <w:r w:rsidRPr="002F6DF0">
        <w:rPr>
          <w:rFonts w:asciiTheme="minorHAnsi" w:hAnsiTheme="minorHAnsi" w:cstheme="minorHAnsi"/>
          <w:sz w:val="26"/>
          <w:szCs w:val="26"/>
        </w:rPr>
        <w:t>Secţia pentru judecători a constatat încălcarea independenţei judecătorilor din cadrul Înaltei Curți de Casație și Justiție față de opiniile exprimate în spațiul public de către un deputat, fost ministru al justiției, și preluate ulterior în mass</w:t>
      </w:r>
      <w:r w:rsidR="004640CD" w:rsidRPr="002F6DF0">
        <w:rPr>
          <w:rFonts w:asciiTheme="minorHAnsi" w:hAnsiTheme="minorHAnsi" w:cstheme="minorHAnsi"/>
          <w:sz w:val="26"/>
          <w:szCs w:val="26"/>
        </w:rPr>
        <w:t>-</w:t>
      </w:r>
      <w:r w:rsidRPr="002F6DF0">
        <w:rPr>
          <w:rFonts w:asciiTheme="minorHAnsi" w:hAnsiTheme="minorHAnsi" w:cstheme="minorHAnsi"/>
          <w:sz w:val="26"/>
          <w:szCs w:val="26"/>
        </w:rPr>
        <w:t>media, în contextul pronunțării unor hotărâri de achitare în materie penală.</w:t>
      </w:r>
    </w:p>
    <w:p w14:paraId="416F6FBD" w14:textId="4BBF5744" w:rsidR="00285FCF" w:rsidRPr="002F6DF0" w:rsidRDefault="00285FCF" w:rsidP="004640CD">
      <w:pPr>
        <w:spacing w:line="276" w:lineRule="auto"/>
        <w:ind w:firstLine="709"/>
        <w:jc w:val="both"/>
        <w:rPr>
          <w:rFonts w:asciiTheme="minorHAnsi" w:hAnsiTheme="minorHAnsi" w:cstheme="minorHAnsi"/>
          <w:sz w:val="26"/>
          <w:szCs w:val="26"/>
        </w:rPr>
      </w:pPr>
      <w:r w:rsidRPr="002F6DF0">
        <w:rPr>
          <w:rFonts w:asciiTheme="minorHAnsi" w:hAnsiTheme="minorHAnsi" w:cstheme="minorHAnsi"/>
          <w:sz w:val="26"/>
          <w:szCs w:val="26"/>
        </w:rPr>
        <w:t xml:space="preserve">5. </w:t>
      </w:r>
      <w:r w:rsidR="004640CD" w:rsidRPr="002F6DF0">
        <w:rPr>
          <w:rFonts w:asciiTheme="minorHAnsi" w:hAnsiTheme="minorHAnsi" w:cstheme="minorHAnsi"/>
          <w:sz w:val="26"/>
          <w:szCs w:val="26"/>
        </w:rPr>
        <w:t xml:space="preserve">Prin Hotărârea nr. 2204/06.11.2025, </w:t>
      </w:r>
      <w:r w:rsidRPr="002F6DF0">
        <w:rPr>
          <w:rFonts w:asciiTheme="minorHAnsi" w:hAnsiTheme="minorHAnsi" w:cstheme="minorHAnsi"/>
          <w:sz w:val="26"/>
          <w:szCs w:val="26"/>
        </w:rPr>
        <w:t xml:space="preserve">Secţia pentru judecători a hotărât admiterea cererii privind apărarea reputației profesionale formulate de </w:t>
      </w:r>
      <w:r w:rsidR="004640CD" w:rsidRPr="002F6DF0">
        <w:rPr>
          <w:rFonts w:asciiTheme="minorHAnsi" w:hAnsiTheme="minorHAnsi" w:cstheme="minorHAnsi"/>
          <w:sz w:val="26"/>
          <w:szCs w:val="26"/>
        </w:rPr>
        <w:t>un judecător, preşedinte al</w:t>
      </w:r>
      <w:r w:rsidRPr="002F6DF0">
        <w:rPr>
          <w:rFonts w:asciiTheme="minorHAnsi" w:hAnsiTheme="minorHAnsi" w:cstheme="minorHAnsi"/>
          <w:sz w:val="26"/>
          <w:szCs w:val="26"/>
        </w:rPr>
        <w:t xml:space="preserve"> Judecătoriei Satu Mare</w:t>
      </w:r>
      <w:r w:rsidR="004640CD" w:rsidRPr="002F6DF0">
        <w:rPr>
          <w:rFonts w:asciiTheme="minorHAnsi" w:hAnsiTheme="minorHAnsi" w:cstheme="minorHAnsi"/>
          <w:sz w:val="26"/>
          <w:szCs w:val="26"/>
        </w:rPr>
        <w:t>.</w:t>
      </w:r>
    </w:p>
    <w:p w14:paraId="3AA6B7B0" w14:textId="0683BA4D" w:rsidR="00285FCF" w:rsidRPr="002F6DF0" w:rsidRDefault="00285FCF" w:rsidP="009E3AD8">
      <w:pPr>
        <w:spacing w:line="276" w:lineRule="auto"/>
        <w:ind w:firstLine="709"/>
        <w:jc w:val="both"/>
        <w:rPr>
          <w:rStyle w:val="Strong"/>
          <w:rFonts w:asciiTheme="minorHAnsi" w:hAnsiTheme="minorHAnsi" w:cstheme="minorHAnsi"/>
          <w:b w:val="0"/>
          <w:bCs w:val="0"/>
          <w:sz w:val="26"/>
          <w:szCs w:val="26"/>
        </w:rPr>
      </w:pPr>
      <w:r w:rsidRPr="002F6DF0">
        <w:rPr>
          <w:rFonts w:asciiTheme="minorHAnsi" w:hAnsiTheme="minorHAnsi" w:cstheme="minorHAnsi"/>
          <w:sz w:val="26"/>
          <w:szCs w:val="26"/>
        </w:rPr>
        <w:t xml:space="preserve">6. </w:t>
      </w:r>
      <w:r w:rsidR="004640CD" w:rsidRPr="002F6DF0">
        <w:rPr>
          <w:rFonts w:asciiTheme="minorHAnsi" w:hAnsiTheme="minorHAnsi" w:cstheme="minorHAnsi"/>
          <w:sz w:val="26"/>
          <w:szCs w:val="26"/>
        </w:rPr>
        <w:t xml:space="preserve">Prin Hotărârea nr. 2206/06.11.2025, </w:t>
      </w:r>
      <w:r w:rsidRPr="002F6DF0">
        <w:rPr>
          <w:rFonts w:asciiTheme="minorHAnsi" w:hAnsiTheme="minorHAnsi" w:cstheme="minorHAnsi"/>
          <w:sz w:val="26"/>
          <w:szCs w:val="26"/>
        </w:rPr>
        <w:t xml:space="preserve">Secţia pentru judecători a hotărât respingerea cererii privind apărarea reputației profesionale formulate de </w:t>
      </w:r>
      <w:r w:rsidR="004640CD" w:rsidRPr="002F6DF0">
        <w:rPr>
          <w:rFonts w:asciiTheme="minorHAnsi" w:hAnsiTheme="minorHAnsi" w:cstheme="minorHAnsi"/>
          <w:sz w:val="26"/>
          <w:szCs w:val="26"/>
        </w:rPr>
        <w:t>un</w:t>
      </w:r>
      <w:r w:rsidRPr="002F6DF0">
        <w:rPr>
          <w:rFonts w:asciiTheme="minorHAnsi" w:hAnsiTheme="minorHAnsi" w:cstheme="minorHAnsi"/>
          <w:sz w:val="26"/>
          <w:szCs w:val="26"/>
        </w:rPr>
        <w:t xml:space="preserve"> judecător </w:t>
      </w:r>
      <w:r w:rsidR="004640CD" w:rsidRPr="002F6DF0">
        <w:rPr>
          <w:rFonts w:asciiTheme="minorHAnsi" w:hAnsiTheme="minorHAnsi" w:cstheme="minorHAnsi"/>
          <w:sz w:val="26"/>
          <w:szCs w:val="26"/>
        </w:rPr>
        <w:t xml:space="preserve">din cadrul </w:t>
      </w:r>
      <w:r w:rsidRPr="002F6DF0">
        <w:rPr>
          <w:rFonts w:asciiTheme="minorHAnsi" w:hAnsiTheme="minorHAnsi" w:cstheme="minorHAnsi"/>
          <w:sz w:val="26"/>
          <w:szCs w:val="26"/>
        </w:rPr>
        <w:t>Judecători</w:t>
      </w:r>
      <w:r w:rsidR="004640CD" w:rsidRPr="002F6DF0">
        <w:rPr>
          <w:rFonts w:asciiTheme="minorHAnsi" w:hAnsiTheme="minorHAnsi" w:cstheme="minorHAnsi"/>
          <w:sz w:val="26"/>
          <w:szCs w:val="26"/>
        </w:rPr>
        <w:t>ei</w:t>
      </w:r>
      <w:r w:rsidRPr="002F6DF0">
        <w:rPr>
          <w:rFonts w:asciiTheme="minorHAnsi" w:hAnsiTheme="minorHAnsi" w:cstheme="minorHAnsi"/>
          <w:sz w:val="26"/>
          <w:szCs w:val="26"/>
        </w:rPr>
        <w:t xml:space="preserve"> Iași</w:t>
      </w:r>
      <w:r w:rsidR="004640CD" w:rsidRPr="002F6DF0">
        <w:rPr>
          <w:rFonts w:asciiTheme="minorHAnsi" w:hAnsiTheme="minorHAnsi" w:cstheme="minorHAnsi"/>
          <w:sz w:val="26"/>
          <w:szCs w:val="26"/>
        </w:rPr>
        <w:t>.</w:t>
      </w:r>
    </w:p>
    <w:p w14:paraId="1019515D" w14:textId="068ED359" w:rsidR="00285FCF" w:rsidRPr="000F0D8B" w:rsidRDefault="00285FCF" w:rsidP="009E3AD8">
      <w:pPr>
        <w:spacing w:line="276" w:lineRule="auto"/>
        <w:ind w:firstLine="709"/>
        <w:jc w:val="both"/>
        <w:rPr>
          <w:rStyle w:val="Strong"/>
          <w:rFonts w:asciiTheme="minorHAnsi" w:hAnsiTheme="minorHAnsi" w:cstheme="minorHAnsi"/>
          <w:b w:val="0"/>
          <w:bCs w:val="0"/>
          <w:sz w:val="26"/>
          <w:szCs w:val="26"/>
        </w:rPr>
      </w:pPr>
      <w:r w:rsidRPr="002F6DF0">
        <w:rPr>
          <w:rFonts w:asciiTheme="minorHAnsi" w:hAnsiTheme="minorHAnsi" w:cstheme="minorHAnsi"/>
          <w:sz w:val="26"/>
          <w:szCs w:val="26"/>
        </w:rPr>
        <w:t xml:space="preserve">7. </w:t>
      </w:r>
      <w:r w:rsidR="004640CD" w:rsidRPr="002F6DF0">
        <w:rPr>
          <w:rFonts w:asciiTheme="minorHAnsi" w:hAnsiTheme="minorHAnsi" w:cstheme="minorHAnsi"/>
          <w:sz w:val="26"/>
          <w:szCs w:val="26"/>
        </w:rPr>
        <w:t xml:space="preserve">Prin Hotărârea nr. 2520/13.11.2025, </w:t>
      </w:r>
      <w:r w:rsidRPr="002F6DF0">
        <w:rPr>
          <w:rFonts w:asciiTheme="minorHAnsi" w:hAnsiTheme="minorHAnsi" w:cstheme="minorHAnsi"/>
          <w:sz w:val="26"/>
          <w:szCs w:val="26"/>
        </w:rPr>
        <w:t>Secţia pentru judecători a hotărât admiterea cererii privind apărarea independenței și imparțialității judecătorilor, respectiv de apărare a reputației profesionale a doamnelor judecător din cadrul Curții de Apel Timișoara.</w:t>
      </w:r>
    </w:p>
    <w:p w14:paraId="4625C7FB" w14:textId="2EB2AD35" w:rsidR="00CE1FDC" w:rsidRPr="000F0D8B" w:rsidRDefault="00CE1FDC" w:rsidP="009E3AD8">
      <w:pPr>
        <w:spacing w:line="276" w:lineRule="auto"/>
        <w:ind w:firstLine="709"/>
        <w:jc w:val="both"/>
        <w:rPr>
          <w:rStyle w:val="Strong"/>
          <w:rFonts w:asciiTheme="minorHAnsi" w:hAnsiTheme="minorHAnsi" w:cstheme="minorHAnsi"/>
          <w:b w:val="0"/>
          <w:bCs w:val="0"/>
          <w:sz w:val="26"/>
          <w:szCs w:val="26"/>
        </w:rPr>
      </w:pPr>
      <w:r w:rsidRPr="00AE70C1">
        <w:rPr>
          <w:rStyle w:val="Strong"/>
          <w:rFonts w:asciiTheme="minorHAnsi" w:hAnsiTheme="minorHAnsi" w:cstheme="minorHAnsi"/>
          <w:b w:val="0"/>
          <w:bCs w:val="0"/>
          <w:sz w:val="26"/>
          <w:szCs w:val="26"/>
        </w:rPr>
        <w:t xml:space="preserve">În aceeaşi perioadă de referinţă, </w:t>
      </w:r>
      <w:r w:rsidR="006C3A54" w:rsidRPr="00AE70C1">
        <w:rPr>
          <w:rStyle w:val="Strong"/>
          <w:rFonts w:asciiTheme="minorHAnsi" w:hAnsiTheme="minorHAnsi" w:cstheme="minorHAnsi"/>
          <w:b w:val="0"/>
          <w:bCs w:val="0"/>
          <w:sz w:val="26"/>
          <w:szCs w:val="26"/>
        </w:rPr>
        <w:t xml:space="preserve">ianuarie </w:t>
      </w:r>
      <w:r w:rsidRPr="00AE70C1">
        <w:rPr>
          <w:rStyle w:val="Strong"/>
          <w:rFonts w:asciiTheme="minorHAnsi" w:hAnsiTheme="minorHAnsi" w:cstheme="minorHAnsi"/>
          <w:b w:val="0"/>
          <w:bCs w:val="0"/>
          <w:sz w:val="26"/>
          <w:szCs w:val="26"/>
        </w:rPr>
        <w:t xml:space="preserve">2025 </w:t>
      </w:r>
      <w:r w:rsidR="006C3A54" w:rsidRPr="00AE70C1">
        <w:rPr>
          <w:rStyle w:val="Strong"/>
          <w:rFonts w:asciiTheme="minorHAnsi" w:hAnsiTheme="minorHAnsi" w:cstheme="minorHAnsi"/>
          <w:b w:val="0"/>
          <w:bCs w:val="0"/>
          <w:sz w:val="26"/>
          <w:szCs w:val="26"/>
        </w:rPr>
        <w:t>–</w:t>
      </w:r>
      <w:r w:rsidRPr="00AE70C1">
        <w:rPr>
          <w:rStyle w:val="Strong"/>
          <w:rFonts w:asciiTheme="minorHAnsi" w:hAnsiTheme="minorHAnsi" w:cstheme="minorHAnsi"/>
          <w:b w:val="0"/>
          <w:bCs w:val="0"/>
          <w:sz w:val="26"/>
          <w:szCs w:val="26"/>
        </w:rPr>
        <w:t xml:space="preserve"> </w:t>
      </w:r>
      <w:r w:rsidR="0023276C" w:rsidRPr="00AE70C1">
        <w:rPr>
          <w:rStyle w:val="Strong"/>
          <w:rFonts w:asciiTheme="minorHAnsi" w:hAnsiTheme="minorHAnsi" w:cstheme="minorHAnsi"/>
          <w:b w:val="0"/>
          <w:bCs w:val="0"/>
          <w:sz w:val="26"/>
          <w:szCs w:val="26"/>
        </w:rPr>
        <w:t>31 decembrie</w:t>
      </w:r>
      <w:r w:rsidR="006C3A54" w:rsidRPr="00AE70C1">
        <w:rPr>
          <w:rStyle w:val="Strong"/>
          <w:rFonts w:asciiTheme="minorHAnsi" w:hAnsiTheme="minorHAnsi" w:cstheme="minorHAnsi"/>
          <w:b w:val="0"/>
          <w:bCs w:val="0"/>
          <w:sz w:val="26"/>
          <w:szCs w:val="26"/>
        </w:rPr>
        <w:t xml:space="preserve"> </w:t>
      </w:r>
      <w:r w:rsidRPr="00AE70C1">
        <w:rPr>
          <w:rStyle w:val="Strong"/>
          <w:rFonts w:asciiTheme="minorHAnsi" w:hAnsiTheme="minorHAnsi" w:cstheme="minorHAnsi"/>
          <w:b w:val="0"/>
          <w:bCs w:val="0"/>
          <w:sz w:val="26"/>
          <w:szCs w:val="26"/>
        </w:rPr>
        <w:t xml:space="preserve">2025, Secţia </w:t>
      </w:r>
      <w:r w:rsidRPr="000F0D8B">
        <w:rPr>
          <w:rStyle w:val="Strong"/>
          <w:rFonts w:asciiTheme="minorHAnsi" w:hAnsiTheme="minorHAnsi" w:cstheme="minorHAnsi"/>
          <w:b w:val="0"/>
          <w:bCs w:val="0"/>
          <w:sz w:val="26"/>
          <w:szCs w:val="26"/>
        </w:rPr>
        <w:t xml:space="preserve">pentru procurori </w:t>
      </w:r>
      <w:r w:rsidR="003C51AC">
        <w:rPr>
          <w:rStyle w:val="Strong"/>
          <w:rFonts w:asciiTheme="minorHAnsi" w:hAnsiTheme="minorHAnsi" w:cstheme="minorHAnsi"/>
          <w:b w:val="0"/>
          <w:bCs w:val="0"/>
          <w:sz w:val="26"/>
          <w:szCs w:val="26"/>
        </w:rPr>
        <w:t xml:space="preserve">a Consiliului Superior al Magistraturii </w:t>
      </w:r>
      <w:r w:rsidRPr="000F0D8B">
        <w:rPr>
          <w:rStyle w:val="Strong"/>
          <w:rFonts w:asciiTheme="minorHAnsi" w:hAnsiTheme="minorHAnsi" w:cstheme="minorHAnsi"/>
          <w:b w:val="0"/>
          <w:bCs w:val="0"/>
          <w:sz w:val="26"/>
          <w:szCs w:val="26"/>
        </w:rPr>
        <w:t xml:space="preserve">a pronunțat 7 hotărâri având ca obiect cereri/sesizări privind apărarea reputaţiei profesionale şi/sau a independenţei şi imparţialităţii procurorilor, dintre care 6 hotărâri de admitere şi o hotărâre de respingere, astfel: </w:t>
      </w:r>
    </w:p>
    <w:p w14:paraId="3275B057" w14:textId="708A886B" w:rsidR="00CE1FDC" w:rsidRPr="000F0D8B" w:rsidRDefault="00CE1FDC" w:rsidP="009E3AD8">
      <w:pPr>
        <w:tabs>
          <w:tab w:val="left" w:pos="993"/>
        </w:tabs>
        <w:spacing w:line="276" w:lineRule="auto"/>
        <w:ind w:firstLine="709"/>
        <w:jc w:val="both"/>
        <w:rPr>
          <w:rStyle w:val="Strong"/>
          <w:rFonts w:asciiTheme="minorHAnsi" w:hAnsiTheme="minorHAnsi" w:cstheme="minorHAnsi"/>
          <w:b w:val="0"/>
          <w:bCs w:val="0"/>
          <w:sz w:val="26"/>
          <w:szCs w:val="26"/>
        </w:rPr>
      </w:pPr>
      <w:r w:rsidRPr="000F0D8B">
        <w:rPr>
          <w:rStyle w:val="Strong"/>
          <w:rFonts w:asciiTheme="minorHAnsi" w:hAnsiTheme="minorHAnsi" w:cstheme="minorHAnsi"/>
          <w:b w:val="0"/>
          <w:bCs w:val="0"/>
          <w:sz w:val="26"/>
          <w:szCs w:val="26"/>
        </w:rPr>
        <w:t>1.</w:t>
      </w:r>
      <w:r w:rsidRPr="000F0D8B">
        <w:rPr>
          <w:rStyle w:val="Strong"/>
          <w:rFonts w:asciiTheme="minorHAnsi" w:hAnsiTheme="minorHAnsi" w:cstheme="minorHAnsi"/>
          <w:b w:val="0"/>
          <w:bCs w:val="0"/>
          <w:sz w:val="26"/>
          <w:szCs w:val="26"/>
        </w:rPr>
        <w:tab/>
        <w:t>Prin Hotărârea nr. 132/20.02.2025, Secţia pentru procurori, cu unanimitatea voturilor membrilor prezenţi, a hotărât apărarea independenței și reputației profesionale a procurorilor în raport cu declarațiile unui europarlamentar.</w:t>
      </w:r>
    </w:p>
    <w:p w14:paraId="67FAD05F" w14:textId="65C22900" w:rsidR="00CE1FDC" w:rsidRPr="000F0D8B" w:rsidRDefault="00CE1FDC" w:rsidP="009E3AD8">
      <w:pPr>
        <w:tabs>
          <w:tab w:val="left" w:pos="709"/>
          <w:tab w:val="left" w:pos="851"/>
          <w:tab w:val="left" w:pos="1134"/>
        </w:tabs>
        <w:spacing w:line="276" w:lineRule="auto"/>
        <w:ind w:firstLine="709"/>
        <w:jc w:val="both"/>
        <w:rPr>
          <w:rStyle w:val="Strong"/>
          <w:rFonts w:asciiTheme="minorHAnsi" w:hAnsiTheme="minorHAnsi" w:cstheme="minorHAnsi"/>
          <w:b w:val="0"/>
          <w:bCs w:val="0"/>
          <w:sz w:val="26"/>
          <w:szCs w:val="26"/>
        </w:rPr>
      </w:pPr>
      <w:r w:rsidRPr="000F0D8B">
        <w:rPr>
          <w:rStyle w:val="Strong"/>
          <w:rFonts w:asciiTheme="minorHAnsi" w:hAnsiTheme="minorHAnsi" w:cstheme="minorHAnsi"/>
          <w:b w:val="0"/>
          <w:bCs w:val="0"/>
          <w:sz w:val="26"/>
          <w:szCs w:val="26"/>
        </w:rPr>
        <w:t>2.</w:t>
      </w:r>
      <w:r w:rsidR="007A0E19" w:rsidRPr="000F0D8B">
        <w:rPr>
          <w:rStyle w:val="Strong"/>
          <w:rFonts w:asciiTheme="minorHAnsi" w:hAnsiTheme="minorHAnsi" w:cstheme="minorHAnsi"/>
          <w:b w:val="0"/>
          <w:bCs w:val="0"/>
          <w:sz w:val="26"/>
          <w:szCs w:val="26"/>
        </w:rPr>
        <w:t xml:space="preserve"> </w:t>
      </w:r>
      <w:r w:rsidRPr="000F0D8B">
        <w:rPr>
          <w:rStyle w:val="Strong"/>
          <w:rFonts w:asciiTheme="minorHAnsi" w:hAnsiTheme="minorHAnsi" w:cstheme="minorHAnsi"/>
          <w:b w:val="0"/>
          <w:bCs w:val="0"/>
          <w:sz w:val="26"/>
          <w:szCs w:val="26"/>
        </w:rPr>
        <w:t xml:space="preserve">Prin Hotărârea nr. 143/04.03.2025, Secţia pentru procurori a hotărât, cu unanimitate, admiterea cererii de apărare a reputației profesionale formulate de </w:t>
      </w:r>
      <w:r w:rsidR="003C51AC">
        <w:rPr>
          <w:rStyle w:val="Strong"/>
          <w:rFonts w:asciiTheme="minorHAnsi" w:hAnsiTheme="minorHAnsi" w:cstheme="minorHAnsi"/>
          <w:b w:val="0"/>
          <w:bCs w:val="0"/>
          <w:sz w:val="26"/>
          <w:szCs w:val="26"/>
        </w:rPr>
        <w:t xml:space="preserve">un procuror din </w:t>
      </w:r>
      <w:r w:rsidRPr="000F0D8B">
        <w:rPr>
          <w:rStyle w:val="Strong"/>
          <w:rFonts w:asciiTheme="minorHAnsi" w:hAnsiTheme="minorHAnsi" w:cstheme="minorHAnsi"/>
          <w:b w:val="0"/>
          <w:bCs w:val="0"/>
          <w:sz w:val="26"/>
          <w:szCs w:val="26"/>
        </w:rPr>
        <w:t>cadrul Parchetului de pe lângă Înalta Curte de Casație și Justiție.</w:t>
      </w:r>
    </w:p>
    <w:p w14:paraId="1C18B364" w14:textId="64ABC4AE" w:rsidR="00CE1FDC" w:rsidRPr="000F0D8B" w:rsidRDefault="00CE1FDC" w:rsidP="009E3AD8">
      <w:pPr>
        <w:spacing w:line="276" w:lineRule="auto"/>
        <w:ind w:firstLine="709"/>
        <w:jc w:val="both"/>
        <w:rPr>
          <w:rStyle w:val="Strong"/>
          <w:rFonts w:asciiTheme="minorHAnsi" w:hAnsiTheme="minorHAnsi" w:cstheme="minorHAnsi"/>
          <w:b w:val="0"/>
          <w:bCs w:val="0"/>
          <w:sz w:val="26"/>
          <w:szCs w:val="26"/>
        </w:rPr>
      </w:pPr>
      <w:r w:rsidRPr="000F0D8B">
        <w:rPr>
          <w:rStyle w:val="Strong"/>
          <w:rFonts w:asciiTheme="minorHAnsi" w:hAnsiTheme="minorHAnsi" w:cstheme="minorHAnsi"/>
          <w:b w:val="0"/>
          <w:bCs w:val="0"/>
          <w:sz w:val="26"/>
          <w:szCs w:val="26"/>
        </w:rPr>
        <w:t>3. Prin Hotărârea nr. 164/11.03.2025, Secţia pentru procurori, cu unanimitatea voturilor membrilor prezenţi, a hotărât apărarea independenței și imparțialității procurorului de caz din cadrul Parchetului de pe lângă Înalta Curte de Casație și Justiție, în raport cu declarațiile unui parlamentar.</w:t>
      </w:r>
    </w:p>
    <w:p w14:paraId="7AA6C5DC" w14:textId="11FF6353" w:rsidR="00CE1FDC" w:rsidRPr="000F0D8B" w:rsidRDefault="00CE1FDC" w:rsidP="009E3AD8">
      <w:pPr>
        <w:spacing w:line="276" w:lineRule="auto"/>
        <w:ind w:firstLine="709"/>
        <w:jc w:val="both"/>
        <w:rPr>
          <w:rStyle w:val="Strong"/>
          <w:rFonts w:asciiTheme="minorHAnsi" w:hAnsiTheme="minorHAnsi" w:cstheme="minorHAnsi"/>
          <w:b w:val="0"/>
          <w:bCs w:val="0"/>
          <w:sz w:val="26"/>
          <w:szCs w:val="26"/>
        </w:rPr>
      </w:pPr>
      <w:r w:rsidRPr="000F0D8B">
        <w:rPr>
          <w:rStyle w:val="Strong"/>
          <w:rFonts w:asciiTheme="minorHAnsi" w:hAnsiTheme="minorHAnsi" w:cstheme="minorHAnsi"/>
          <w:b w:val="0"/>
          <w:bCs w:val="0"/>
          <w:sz w:val="26"/>
          <w:szCs w:val="26"/>
        </w:rPr>
        <w:t xml:space="preserve">4. Prin Hotărârea nr. 428/10.06.2025, Secţia pentru procurori, cu majoritatea voturilor membrilor prezenţi, a hotărât respingerea cererii de apărare a independenței profesionale formulate de </w:t>
      </w:r>
      <w:r w:rsidR="002A679A">
        <w:rPr>
          <w:rStyle w:val="Strong"/>
          <w:rFonts w:asciiTheme="minorHAnsi" w:hAnsiTheme="minorHAnsi" w:cstheme="minorHAnsi"/>
          <w:b w:val="0"/>
          <w:bCs w:val="0"/>
          <w:sz w:val="26"/>
          <w:szCs w:val="26"/>
        </w:rPr>
        <w:t>un</w:t>
      </w:r>
      <w:r w:rsidRPr="000F0D8B">
        <w:rPr>
          <w:rStyle w:val="Strong"/>
          <w:rFonts w:asciiTheme="minorHAnsi" w:hAnsiTheme="minorHAnsi" w:cstheme="minorHAnsi"/>
          <w:b w:val="0"/>
          <w:bCs w:val="0"/>
          <w:sz w:val="26"/>
          <w:szCs w:val="26"/>
        </w:rPr>
        <w:t xml:space="preserve"> procuror</w:t>
      </w:r>
      <w:r w:rsidR="002A679A">
        <w:rPr>
          <w:rStyle w:val="Strong"/>
          <w:rFonts w:asciiTheme="minorHAnsi" w:hAnsiTheme="minorHAnsi" w:cstheme="minorHAnsi"/>
          <w:b w:val="0"/>
          <w:bCs w:val="0"/>
          <w:sz w:val="26"/>
          <w:szCs w:val="26"/>
        </w:rPr>
        <w:t xml:space="preserve"> din</w:t>
      </w:r>
      <w:r w:rsidRPr="000F0D8B">
        <w:rPr>
          <w:rStyle w:val="Strong"/>
          <w:rFonts w:asciiTheme="minorHAnsi" w:hAnsiTheme="minorHAnsi" w:cstheme="minorHAnsi"/>
          <w:b w:val="0"/>
          <w:bCs w:val="0"/>
          <w:sz w:val="26"/>
          <w:szCs w:val="26"/>
        </w:rPr>
        <w:t xml:space="preserve"> cadrul Parchetului de pe lângă Înalta Curte de Casație și Justiție.</w:t>
      </w:r>
    </w:p>
    <w:p w14:paraId="6B019483" w14:textId="27FC600D" w:rsidR="00CE1FDC" w:rsidRPr="000F0D8B" w:rsidRDefault="00CE1FDC" w:rsidP="009E3AD8">
      <w:pPr>
        <w:spacing w:line="276" w:lineRule="auto"/>
        <w:ind w:firstLine="709"/>
        <w:jc w:val="both"/>
        <w:rPr>
          <w:rStyle w:val="Strong"/>
          <w:rFonts w:asciiTheme="minorHAnsi" w:hAnsiTheme="minorHAnsi" w:cstheme="minorHAnsi"/>
          <w:b w:val="0"/>
          <w:bCs w:val="0"/>
          <w:sz w:val="26"/>
          <w:szCs w:val="26"/>
        </w:rPr>
      </w:pPr>
      <w:r w:rsidRPr="000F0D8B">
        <w:rPr>
          <w:rStyle w:val="Strong"/>
          <w:rFonts w:asciiTheme="minorHAnsi" w:hAnsiTheme="minorHAnsi" w:cstheme="minorHAnsi"/>
          <w:b w:val="0"/>
          <w:bCs w:val="0"/>
          <w:sz w:val="26"/>
          <w:szCs w:val="26"/>
        </w:rPr>
        <w:t>5. Prin Hotărârile nr. 465 şi</w:t>
      </w:r>
      <w:r w:rsidR="00FF0147">
        <w:rPr>
          <w:rStyle w:val="Strong"/>
          <w:rFonts w:asciiTheme="minorHAnsi" w:hAnsiTheme="minorHAnsi" w:cstheme="minorHAnsi"/>
          <w:b w:val="0"/>
          <w:bCs w:val="0"/>
          <w:sz w:val="26"/>
          <w:szCs w:val="26"/>
        </w:rPr>
        <w:t xml:space="preserve"> nr.</w:t>
      </w:r>
      <w:r w:rsidRPr="000F0D8B">
        <w:rPr>
          <w:rStyle w:val="Strong"/>
          <w:rFonts w:asciiTheme="minorHAnsi" w:hAnsiTheme="minorHAnsi" w:cstheme="minorHAnsi"/>
          <w:b w:val="0"/>
          <w:bCs w:val="0"/>
          <w:sz w:val="26"/>
          <w:szCs w:val="26"/>
        </w:rPr>
        <w:t xml:space="preserve"> 466</w:t>
      </w:r>
      <w:r w:rsidR="001C423C">
        <w:rPr>
          <w:rStyle w:val="Strong"/>
          <w:rFonts w:asciiTheme="minorHAnsi" w:hAnsiTheme="minorHAnsi" w:cstheme="minorHAnsi"/>
          <w:b w:val="0"/>
          <w:bCs w:val="0"/>
          <w:sz w:val="26"/>
          <w:szCs w:val="26"/>
        </w:rPr>
        <w:t>/</w:t>
      </w:r>
      <w:r w:rsidRPr="000F0D8B">
        <w:rPr>
          <w:rStyle w:val="Strong"/>
          <w:rFonts w:asciiTheme="minorHAnsi" w:hAnsiTheme="minorHAnsi" w:cstheme="minorHAnsi"/>
          <w:b w:val="0"/>
          <w:bCs w:val="0"/>
          <w:sz w:val="26"/>
          <w:szCs w:val="26"/>
        </w:rPr>
        <w:t xml:space="preserve">17.06.2025, Secţia pentru procurori, cu majoritatea voturilor membrilor prezenţi, a hotărât admiterea cererilor de apărare a reputaţiei profesionale formulate de </w:t>
      </w:r>
      <w:r w:rsidR="002A679A">
        <w:rPr>
          <w:rStyle w:val="Strong"/>
          <w:rFonts w:asciiTheme="minorHAnsi" w:hAnsiTheme="minorHAnsi" w:cstheme="minorHAnsi"/>
          <w:b w:val="0"/>
          <w:bCs w:val="0"/>
          <w:sz w:val="26"/>
          <w:szCs w:val="26"/>
        </w:rPr>
        <w:t>către</w:t>
      </w:r>
      <w:r w:rsidRPr="000F0D8B">
        <w:rPr>
          <w:rStyle w:val="Strong"/>
          <w:rFonts w:asciiTheme="minorHAnsi" w:hAnsiTheme="minorHAnsi" w:cstheme="minorHAnsi"/>
          <w:b w:val="0"/>
          <w:bCs w:val="0"/>
          <w:sz w:val="26"/>
          <w:szCs w:val="26"/>
        </w:rPr>
        <w:t xml:space="preserve"> procuror</w:t>
      </w:r>
      <w:r w:rsidR="002A679A">
        <w:rPr>
          <w:rStyle w:val="Strong"/>
          <w:rFonts w:asciiTheme="minorHAnsi" w:hAnsiTheme="minorHAnsi" w:cstheme="minorHAnsi"/>
          <w:b w:val="0"/>
          <w:bCs w:val="0"/>
          <w:sz w:val="26"/>
          <w:szCs w:val="26"/>
        </w:rPr>
        <w:t>ul</w:t>
      </w:r>
      <w:r w:rsidRPr="000F0D8B">
        <w:rPr>
          <w:rStyle w:val="Strong"/>
          <w:rFonts w:asciiTheme="minorHAnsi" w:hAnsiTheme="minorHAnsi" w:cstheme="minorHAnsi"/>
          <w:b w:val="0"/>
          <w:bCs w:val="0"/>
          <w:sz w:val="26"/>
          <w:szCs w:val="26"/>
        </w:rPr>
        <w:t>-şef al Direcţiei Naţionale Anticorupţie.</w:t>
      </w:r>
    </w:p>
    <w:p w14:paraId="36AB4EB7" w14:textId="3E20E28C" w:rsidR="00CE1FDC" w:rsidRPr="000F0D8B" w:rsidRDefault="00CE1FDC" w:rsidP="009E3AD8">
      <w:pPr>
        <w:spacing w:line="276" w:lineRule="auto"/>
        <w:ind w:firstLine="709"/>
        <w:jc w:val="both"/>
        <w:rPr>
          <w:rStyle w:val="Strong"/>
          <w:rFonts w:asciiTheme="minorHAnsi" w:hAnsiTheme="minorHAnsi" w:cstheme="minorHAnsi"/>
          <w:b w:val="0"/>
          <w:bCs w:val="0"/>
          <w:sz w:val="26"/>
          <w:szCs w:val="26"/>
        </w:rPr>
      </w:pPr>
      <w:r w:rsidRPr="000F0D8B">
        <w:rPr>
          <w:rStyle w:val="Strong"/>
          <w:rFonts w:asciiTheme="minorHAnsi" w:hAnsiTheme="minorHAnsi" w:cstheme="minorHAnsi"/>
          <w:b w:val="0"/>
          <w:bCs w:val="0"/>
          <w:sz w:val="26"/>
          <w:szCs w:val="26"/>
        </w:rPr>
        <w:lastRenderedPageBreak/>
        <w:t>6. Prin Hotărârea nr. 557/25.07.2025, Secţia pentru procurori, cu unanimitatea voturilor membrilor prezenţi, a hotărât apărarea independenței procurorilor din cadrul Direcției Naționale Anticorupție.</w:t>
      </w:r>
    </w:p>
    <w:p w14:paraId="64F79653" w14:textId="74DC25E4" w:rsidR="00CE1FDC" w:rsidRDefault="00CE1FDC" w:rsidP="006E27A5">
      <w:pPr>
        <w:spacing w:line="276" w:lineRule="auto"/>
        <w:ind w:firstLine="709"/>
        <w:jc w:val="both"/>
        <w:rPr>
          <w:rStyle w:val="Strong"/>
          <w:rFonts w:asciiTheme="minorHAnsi" w:hAnsiTheme="minorHAnsi" w:cstheme="minorHAnsi"/>
          <w:b w:val="0"/>
          <w:bCs w:val="0"/>
          <w:sz w:val="26"/>
          <w:szCs w:val="26"/>
        </w:rPr>
      </w:pPr>
      <w:r w:rsidRPr="000F0D8B">
        <w:rPr>
          <w:rStyle w:val="Strong"/>
          <w:rFonts w:asciiTheme="minorHAnsi" w:hAnsiTheme="minorHAnsi" w:cstheme="minorHAnsi"/>
          <w:b w:val="0"/>
          <w:bCs w:val="0"/>
          <w:sz w:val="26"/>
          <w:szCs w:val="26"/>
        </w:rPr>
        <w:t xml:space="preserve">7. Prin Hotărârea nr. 789/14.10.2025, Secţia pentru procurori a hotărât admiterea cererii de apărare a reputației profesionale formulate de </w:t>
      </w:r>
      <w:r w:rsidR="002A679A">
        <w:rPr>
          <w:rStyle w:val="Strong"/>
          <w:rFonts w:asciiTheme="minorHAnsi" w:hAnsiTheme="minorHAnsi" w:cstheme="minorHAnsi"/>
          <w:b w:val="0"/>
          <w:bCs w:val="0"/>
          <w:sz w:val="26"/>
          <w:szCs w:val="26"/>
        </w:rPr>
        <w:t>trei procurori din</w:t>
      </w:r>
      <w:r w:rsidRPr="000F0D8B">
        <w:rPr>
          <w:rStyle w:val="Strong"/>
          <w:rFonts w:asciiTheme="minorHAnsi" w:hAnsiTheme="minorHAnsi" w:cstheme="minorHAnsi"/>
          <w:b w:val="0"/>
          <w:bCs w:val="0"/>
          <w:sz w:val="26"/>
          <w:szCs w:val="26"/>
        </w:rPr>
        <w:t xml:space="preserve"> cadrul Direcției Naționale Anticorupție - Serviciul Teritorial Cluj și Biroul Teritorial Baia Mare. </w:t>
      </w:r>
    </w:p>
    <w:p w14:paraId="791DC5EB" w14:textId="3D84373B" w:rsidR="00572AA0" w:rsidRPr="00AE70C1" w:rsidRDefault="00572AA0" w:rsidP="00C603B4">
      <w:pPr>
        <w:spacing w:line="276" w:lineRule="auto"/>
        <w:ind w:firstLine="709"/>
        <w:jc w:val="both"/>
        <w:rPr>
          <w:rFonts w:asciiTheme="minorHAnsi" w:hAnsiTheme="minorHAnsi" w:cstheme="minorHAnsi"/>
          <w:sz w:val="26"/>
          <w:szCs w:val="26"/>
        </w:rPr>
      </w:pPr>
      <w:r w:rsidRPr="00AE70C1">
        <w:rPr>
          <w:rFonts w:asciiTheme="minorHAnsi" w:hAnsiTheme="minorHAnsi" w:cstheme="minorHAnsi"/>
          <w:sz w:val="26"/>
          <w:szCs w:val="26"/>
        </w:rPr>
        <w:t>Se impune precizarea că în perioada 01</w:t>
      </w:r>
      <w:r w:rsidR="00AE70C1" w:rsidRPr="00AE70C1">
        <w:rPr>
          <w:rFonts w:asciiTheme="minorHAnsi" w:hAnsiTheme="minorHAnsi" w:cstheme="minorHAnsi"/>
          <w:sz w:val="26"/>
          <w:szCs w:val="26"/>
        </w:rPr>
        <w:t xml:space="preserve"> ianuarie </w:t>
      </w:r>
      <w:r w:rsidRPr="00AE70C1">
        <w:rPr>
          <w:rFonts w:asciiTheme="minorHAnsi" w:hAnsiTheme="minorHAnsi" w:cstheme="minorHAnsi"/>
          <w:sz w:val="26"/>
          <w:szCs w:val="26"/>
        </w:rPr>
        <w:t>– 31</w:t>
      </w:r>
      <w:r w:rsidR="00AE70C1" w:rsidRPr="00AE70C1">
        <w:rPr>
          <w:rFonts w:asciiTheme="minorHAnsi" w:hAnsiTheme="minorHAnsi" w:cstheme="minorHAnsi"/>
          <w:sz w:val="26"/>
          <w:szCs w:val="26"/>
        </w:rPr>
        <w:t xml:space="preserve"> decembrie </w:t>
      </w:r>
      <w:r w:rsidRPr="00AE70C1">
        <w:rPr>
          <w:rFonts w:asciiTheme="minorHAnsi" w:hAnsiTheme="minorHAnsi" w:cstheme="minorHAnsi"/>
          <w:sz w:val="26"/>
          <w:szCs w:val="26"/>
        </w:rPr>
        <w:t xml:space="preserve">2025, </w:t>
      </w:r>
      <w:r w:rsidR="00AE70C1" w:rsidRPr="00AE70C1">
        <w:rPr>
          <w:rFonts w:asciiTheme="minorHAnsi" w:hAnsiTheme="minorHAnsi" w:cstheme="minorHAnsi"/>
          <w:sz w:val="26"/>
          <w:szCs w:val="26"/>
        </w:rPr>
        <w:t xml:space="preserve">pe rolul </w:t>
      </w:r>
      <w:r w:rsidRPr="00AE70C1">
        <w:rPr>
          <w:rFonts w:asciiTheme="minorHAnsi" w:hAnsiTheme="minorHAnsi" w:cstheme="minorHAnsi"/>
          <w:sz w:val="26"/>
          <w:szCs w:val="26"/>
        </w:rPr>
        <w:t>Plenul</w:t>
      </w:r>
      <w:r w:rsidR="00AE70C1" w:rsidRPr="00AE70C1">
        <w:rPr>
          <w:rFonts w:asciiTheme="minorHAnsi" w:hAnsiTheme="minorHAnsi" w:cstheme="minorHAnsi"/>
          <w:sz w:val="26"/>
          <w:szCs w:val="26"/>
        </w:rPr>
        <w:t>ui</w:t>
      </w:r>
      <w:r w:rsidRPr="00AE70C1">
        <w:rPr>
          <w:rFonts w:asciiTheme="minorHAnsi" w:hAnsiTheme="minorHAnsi" w:cstheme="minorHAnsi"/>
          <w:sz w:val="26"/>
          <w:szCs w:val="26"/>
        </w:rPr>
        <w:t xml:space="preserve"> Consiliului</w:t>
      </w:r>
      <w:r w:rsidR="00AE70C1" w:rsidRPr="00AE70C1">
        <w:rPr>
          <w:rFonts w:asciiTheme="minorHAnsi" w:hAnsiTheme="minorHAnsi" w:cstheme="minorHAnsi"/>
          <w:sz w:val="26"/>
          <w:szCs w:val="26"/>
        </w:rPr>
        <w:t xml:space="preserve"> Superior al Magistraturii </w:t>
      </w:r>
      <w:r w:rsidRPr="00AE70C1">
        <w:rPr>
          <w:rFonts w:asciiTheme="minorHAnsi" w:hAnsiTheme="minorHAnsi" w:cstheme="minorHAnsi"/>
          <w:sz w:val="26"/>
          <w:szCs w:val="26"/>
        </w:rPr>
        <w:t>nu au fost înregistrate cereri/sesizări de apărare a independenţei autorităţii judecătoreşti.</w:t>
      </w:r>
    </w:p>
    <w:p w14:paraId="61221DBF" w14:textId="41071C74" w:rsidR="00572AA0" w:rsidRPr="00AE70C1" w:rsidRDefault="00572AA0" w:rsidP="00AE70C1">
      <w:pPr>
        <w:spacing w:line="276" w:lineRule="auto"/>
        <w:ind w:firstLine="709"/>
        <w:jc w:val="both"/>
        <w:rPr>
          <w:rFonts w:asciiTheme="minorHAnsi" w:hAnsiTheme="minorHAnsi" w:cstheme="minorHAnsi"/>
          <w:sz w:val="26"/>
          <w:szCs w:val="26"/>
        </w:rPr>
      </w:pPr>
      <w:r w:rsidRPr="00AE70C1">
        <w:rPr>
          <w:rFonts w:asciiTheme="minorHAnsi" w:hAnsiTheme="minorHAnsi" w:cstheme="minorHAnsi"/>
          <w:sz w:val="26"/>
          <w:szCs w:val="26"/>
        </w:rPr>
        <w:t>În perioada de referință au existat critici nejustificate aduse justiției din partea unor persoane publice și factori politici, în scopul decredibilizării sistemului judiciar cu consecința încălcării independenței judecătorilor și procurorilor.</w:t>
      </w:r>
      <w:r w:rsidR="00AE70C1" w:rsidRPr="00AE70C1">
        <w:rPr>
          <w:rFonts w:asciiTheme="minorHAnsi" w:hAnsiTheme="minorHAnsi" w:cstheme="minorHAnsi"/>
          <w:sz w:val="26"/>
          <w:szCs w:val="26"/>
        </w:rPr>
        <w:t xml:space="preserve"> </w:t>
      </w:r>
      <w:r w:rsidRPr="00AE70C1">
        <w:rPr>
          <w:rFonts w:asciiTheme="minorHAnsi" w:hAnsiTheme="minorHAnsi" w:cstheme="minorHAnsi"/>
          <w:sz w:val="26"/>
          <w:szCs w:val="26"/>
        </w:rPr>
        <w:t>Consiliul a reacționat, în mod public, de fiecare dată când s-a impus, prin emiterea unor comunicate de presă și transmiterea acestora către mass-media în vederea diseminării în spațiul public.</w:t>
      </w:r>
      <w:r w:rsidR="00AE70C1" w:rsidRPr="00AE70C1">
        <w:rPr>
          <w:rFonts w:asciiTheme="minorHAnsi" w:hAnsiTheme="minorHAnsi" w:cstheme="minorHAnsi"/>
          <w:sz w:val="26"/>
          <w:szCs w:val="26"/>
        </w:rPr>
        <w:t xml:space="preserve"> </w:t>
      </w:r>
      <w:r w:rsidRPr="00AE70C1">
        <w:rPr>
          <w:rFonts w:asciiTheme="minorHAnsi" w:hAnsiTheme="minorHAnsi" w:cstheme="minorHAnsi"/>
          <w:sz w:val="26"/>
          <w:szCs w:val="26"/>
        </w:rPr>
        <w:t>Pozițiile publice exprimate în cursul anului 2025 se regăsesc publicate pe site-ul oficial al Consiliului.</w:t>
      </w:r>
    </w:p>
    <w:p w14:paraId="68E1A265" w14:textId="6B182BDB" w:rsidR="00614FA7" w:rsidRPr="000F0D8B" w:rsidRDefault="00CE1FDC" w:rsidP="002A679A">
      <w:pPr>
        <w:spacing w:line="276" w:lineRule="auto"/>
        <w:ind w:firstLine="709"/>
        <w:jc w:val="both"/>
        <w:rPr>
          <w:rStyle w:val="Strong"/>
          <w:rFonts w:asciiTheme="minorHAnsi" w:hAnsiTheme="minorHAnsi" w:cstheme="minorHAnsi"/>
          <w:b w:val="0"/>
          <w:bCs w:val="0"/>
          <w:sz w:val="26"/>
          <w:szCs w:val="26"/>
        </w:rPr>
      </w:pPr>
      <w:r w:rsidRPr="000F0D8B">
        <w:rPr>
          <w:rStyle w:val="Strong"/>
          <w:rFonts w:asciiTheme="minorHAnsi" w:hAnsiTheme="minorHAnsi" w:cstheme="minorHAnsi"/>
          <w:b w:val="0"/>
          <w:bCs w:val="0"/>
          <w:sz w:val="26"/>
          <w:szCs w:val="26"/>
        </w:rPr>
        <w:t>Totodată, Secţia pentru judecători</w:t>
      </w:r>
      <w:r w:rsidR="002A679A">
        <w:rPr>
          <w:rStyle w:val="Strong"/>
          <w:rFonts w:asciiTheme="minorHAnsi" w:hAnsiTheme="minorHAnsi" w:cstheme="minorHAnsi"/>
          <w:b w:val="0"/>
          <w:bCs w:val="0"/>
          <w:sz w:val="26"/>
          <w:szCs w:val="26"/>
        </w:rPr>
        <w:t xml:space="preserve"> prin </w:t>
      </w:r>
      <w:r w:rsidR="002A679A" w:rsidRPr="000F0D8B">
        <w:rPr>
          <w:rStyle w:val="Strong"/>
          <w:rFonts w:asciiTheme="minorHAnsi" w:hAnsiTheme="minorHAnsi" w:cstheme="minorHAnsi"/>
          <w:b w:val="0"/>
          <w:bCs w:val="0"/>
          <w:sz w:val="26"/>
          <w:szCs w:val="26"/>
        </w:rPr>
        <w:t>Hotărârea nr. 1885/21.08.2025</w:t>
      </w:r>
      <w:r w:rsidR="002A679A">
        <w:rPr>
          <w:rStyle w:val="Strong"/>
          <w:rFonts w:asciiTheme="minorHAnsi" w:hAnsiTheme="minorHAnsi" w:cstheme="minorHAnsi"/>
          <w:b w:val="0"/>
          <w:bCs w:val="0"/>
          <w:sz w:val="26"/>
          <w:szCs w:val="26"/>
        </w:rPr>
        <w:t xml:space="preserve">, </w:t>
      </w:r>
      <w:r w:rsidR="002A679A" w:rsidRPr="000F0D8B">
        <w:rPr>
          <w:rStyle w:val="Strong"/>
          <w:rFonts w:asciiTheme="minorHAnsi" w:hAnsiTheme="minorHAnsi" w:cstheme="minorHAnsi"/>
          <w:b w:val="0"/>
          <w:bCs w:val="0"/>
          <w:sz w:val="26"/>
          <w:szCs w:val="26"/>
        </w:rPr>
        <w:t xml:space="preserve">respectiv </w:t>
      </w:r>
      <w:r w:rsidR="002A679A">
        <w:rPr>
          <w:rStyle w:val="Strong"/>
          <w:rFonts w:asciiTheme="minorHAnsi" w:hAnsiTheme="minorHAnsi" w:cstheme="minorHAnsi"/>
          <w:b w:val="0"/>
          <w:bCs w:val="0"/>
          <w:sz w:val="26"/>
          <w:szCs w:val="26"/>
        </w:rPr>
        <w:t xml:space="preserve">Secţia pentru procurori prin </w:t>
      </w:r>
      <w:r w:rsidR="002A679A" w:rsidRPr="000F0D8B">
        <w:rPr>
          <w:rStyle w:val="Strong"/>
          <w:rFonts w:asciiTheme="minorHAnsi" w:hAnsiTheme="minorHAnsi" w:cstheme="minorHAnsi"/>
          <w:b w:val="0"/>
          <w:bCs w:val="0"/>
          <w:sz w:val="26"/>
          <w:szCs w:val="26"/>
        </w:rPr>
        <w:t>Hotărârea nr. 596/21.08.2025</w:t>
      </w:r>
      <w:r w:rsidR="002A679A">
        <w:rPr>
          <w:rStyle w:val="Strong"/>
          <w:rFonts w:asciiTheme="minorHAnsi" w:hAnsiTheme="minorHAnsi" w:cstheme="minorHAnsi"/>
          <w:b w:val="0"/>
          <w:bCs w:val="0"/>
          <w:sz w:val="26"/>
          <w:szCs w:val="26"/>
        </w:rPr>
        <w:t xml:space="preserve"> </w:t>
      </w:r>
      <w:r w:rsidRPr="000F0D8B">
        <w:rPr>
          <w:rStyle w:val="Strong"/>
          <w:rFonts w:asciiTheme="minorHAnsi" w:hAnsiTheme="minorHAnsi" w:cstheme="minorHAnsi"/>
          <w:b w:val="0"/>
          <w:bCs w:val="0"/>
          <w:sz w:val="26"/>
          <w:szCs w:val="26"/>
        </w:rPr>
        <w:t>au hotărât convocarea Adunărilor generale</w:t>
      </w:r>
      <w:r w:rsidR="002A679A">
        <w:rPr>
          <w:rStyle w:val="Strong"/>
          <w:rFonts w:asciiTheme="minorHAnsi" w:hAnsiTheme="minorHAnsi" w:cstheme="minorHAnsi"/>
          <w:b w:val="0"/>
          <w:bCs w:val="0"/>
          <w:sz w:val="26"/>
          <w:szCs w:val="26"/>
        </w:rPr>
        <w:t xml:space="preserve"> ale judecătorilor şi procurorilor </w:t>
      </w:r>
      <w:r w:rsidRPr="000F0D8B">
        <w:rPr>
          <w:rStyle w:val="Strong"/>
          <w:rFonts w:asciiTheme="minorHAnsi" w:hAnsiTheme="minorHAnsi" w:cstheme="minorHAnsi"/>
          <w:b w:val="0"/>
          <w:bCs w:val="0"/>
          <w:sz w:val="26"/>
          <w:szCs w:val="26"/>
        </w:rPr>
        <w:t>pentru exprimarea unui punct de vedere referitor la proiectul de act normativ privind modificarea pensiilor de serviciu comunicat de Ministerul Muncii și luarea măsurilor necesare în vederea protejării statutului magistraților și a independenței justiției.</w:t>
      </w:r>
    </w:p>
    <w:p w14:paraId="54ECC9D8" w14:textId="02E178EB" w:rsidR="006C1588" w:rsidRPr="000F0D8B" w:rsidRDefault="006C1588" w:rsidP="009E3AD8">
      <w:pPr>
        <w:pStyle w:val="Heading2"/>
        <w:keepLines w:val="0"/>
        <w:jc w:val="both"/>
        <w:rPr>
          <w:rFonts w:cstheme="minorHAnsi"/>
          <w:color w:val="auto"/>
          <w:lang w:val="ro-RO"/>
        </w:rPr>
      </w:pPr>
      <w:bookmarkStart w:id="59" w:name="_Toc219287950"/>
      <w:r w:rsidRPr="000F0D8B">
        <w:rPr>
          <w:rFonts w:cstheme="minorHAnsi"/>
          <w:color w:val="auto"/>
          <w:lang w:val="ro-RO"/>
        </w:rPr>
        <w:t>I.7.</w:t>
      </w:r>
      <w:r w:rsidR="004C16C8" w:rsidRPr="000F0D8B">
        <w:rPr>
          <w:rFonts w:cstheme="minorHAnsi"/>
          <w:color w:val="auto"/>
          <w:lang w:val="ro-RO"/>
        </w:rPr>
        <w:t xml:space="preserve"> </w:t>
      </w:r>
      <w:r w:rsidRPr="000F0D8B">
        <w:rPr>
          <w:rFonts w:cstheme="minorHAnsi"/>
          <w:color w:val="auto"/>
          <w:lang w:val="ro-RO"/>
        </w:rPr>
        <w:t xml:space="preserve">Raporturile Consiliului Superior al Magistraturii cu puterea legislativă şi cea </w:t>
      </w:r>
      <w:r w:rsidR="00B30BCF" w:rsidRPr="000F0D8B">
        <w:rPr>
          <w:rFonts w:cstheme="minorHAnsi"/>
          <w:color w:val="auto"/>
          <w:lang w:val="ro-RO"/>
        </w:rPr>
        <w:t xml:space="preserve"> </w:t>
      </w:r>
      <w:r w:rsidRPr="000F0D8B">
        <w:rPr>
          <w:rFonts w:cstheme="minorHAnsi"/>
          <w:color w:val="auto"/>
          <w:lang w:val="ro-RO"/>
        </w:rPr>
        <w:t>executivă</w:t>
      </w:r>
      <w:bookmarkStart w:id="60" w:name="_Toc375653690"/>
      <w:bookmarkStart w:id="61" w:name="_Toc430867112"/>
      <w:bookmarkEnd w:id="58"/>
      <w:bookmarkEnd w:id="59"/>
    </w:p>
    <w:p w14:paraId="2542F9FF" w14:textId="77777777" w:rsidR="00170A5F" w:rsidRPr="00170A5F" w:rsidRDefault="00170A5F" w:rsidP="009E3AD8">
      <w:pPr>
        <w:spacing w:line="276" w:lineRule="auto"/>
        <w:ind w:firstLine="708"/>
        <w:jc w:val="both"/>
        <w:rPr>
          <w:rFonts w:asciiTheme="minorHAnsi" w:hAnsiTheme="minorHAnsi" w:cstheme="minorHAnsi"/>
          <w:sz w:val="26"/>
          <w:szCs w:val="26"/>
        </w:rPr>
      </w:pPr>
      <w:r w:rsidRPr="00170A5F">
        <w:rPr>
          <w:rFonts w:asciiTheme="minorHAnsi" w:hAnsiTheme="minorHAnsi" w:cstheme="minorHAnsi"/>
          <w:b/>
          <w:sz w:val="26"/>
          <w:szCs w:val="26"/>
        </w:rPr>
        <w:t>A.</w:t>
      </w:r>
      <w:r w:rsidRPr="00170A5F">
        <w:rPr>
          <w:rFonts w:asciiTheme="minorHAnsi" w:hAnsiTheme="minorHAnsi" w:cstheme="minorHAnsi"/>
          <w:sz w:val="26"/>
          <w:szCs w:val="26"/>
        </w:rPr>
        <w:t xml:space="preserve"> În cursul anului 2025, </w:t>
      </w:r>
      <w:r w:rsidRPr="00170A5F">
        <w:rPr>
          <w:rFonts w:asciiTheme="minorHAnsi" w:hAnsiTheme="minorHAnsi" w:cstheme="minorHAnsi"/>
          <w:b/>
          <w:sz w:val="26"/>
          <w:szCs w:val="26"/>
        </w:rPr>
        <w:t>raporturile Consiliului Superior al Magistraturii cu Parlamentul României</w:t>
      </w:r>
      <w:r w:rsidRPr="00170A5F">
        <w:rPr>
          <w:rFonts w:asciiTheme="minorHAnsi" w:hAnsiTheme="minorHAnsi" w:cstheme="minorHAnsi"/>
          <w:sz w:val="26"/>
          <w:szCs w:val="26"/>
        </w:rPr>
        <w:t xml:space="preserve"> s-au concretizat, în principal, în avizarea propunerilor legislative aflate în dezbatere parlamentară, despre care se va face vorbire în cuprinsul Secţiunii 1 a Capitolului III, şi în exprimarea unor puncte de vedere faţă de o serie de propuneri legislative, atât de către Plen, cât şi prin intermediul comisiilor de specialitate.</w:t>
      </w:r>
    </w:p>
    <w:p w14:paraId="157D7A50" w14:textId="48B67FA5" w:rsidR="00170A5F" w:rsidRPr="00170A5F" w:rsidRDefault="00170A5F" w:rsidP="009E3AD8">
      <w:pPr>
        <w:spacing w:line="276" w:lineRule="auto"/>
        <w:ind w:firstLine="709"/>
        <w:jc w:val="both"/>
        <w:rPr>
          <w:rFonts w:asciiTheme="minorHAnsi" w:hAnsiTheme="minorHAnsi" w:cstheme="minorHAnsi"/>
          <w:sz w:val="26"/>
          <w:szCs w:val="26"/>
        </w:rPr>
      </w:pPr>
      <w:r w:rsidRPr="00170A5F">
        <w:rPr>
          <w:rFonts w:asciiTheme="minorHAnsi" w:hAnsiTheme="minorHAnsi" w:cstheme="minorHAnsi"/>
          <w:sz w:val="26"/>
          <w:szCs w:val="26"/>
        </w:rPr>
        <w:t>C</w:t>
      </w:r>
      <w:r w:rsidR="00534C25">
        <w:rPr>
          <w:rFonts w:asciiTheme="minorHAnsi" w:hAnsiTheme="minorHAnsi" w:cstheme="minorHAnsi"/>
          <w:sz w:val="26"/>
          <w:szCs w:val="26"/>
        </w:rPr>
        <w:t>.S.M.</w:t>
      </w:r>
      <w:r w:rsidRPr="00170A5F">
        <w:rPr>
          <w:rFonts w:asciiTheme="minorHAnsi" w:hAnsiTheme="minorHAnsi" w:cstheme="minorHAnsi"/>
          <w:sz w:val="26"/>
          <w:szCs w:val="26"/>
        </w:rPr>
        <w:t xml:space="preserve">, prin comisiile sale de specialitate, a transmis o serie de puncte de vedere cu observații şi propuneri referitoare la unele acte normative aflate în dezbatere parlamentară. </w:t>
      </w:r>
    </w:p>
    <w:p w14:paraId="09CA1E44" w14:textId="37BE9D87" w:rsidR="00170A5F" w:rsidRPr="00170A5F" w:rsidRDefault="00170A5F" w:rsidP="009E3AD8">
      <w:pPr>
        <w:spacing w:line="276" w:lineRule="auto"/>
        <w:ind w:firstLine="708"/>
        <w:jc w:val="both"/>
        <w:rPr>
          <w:rFonts w:asciiTheme="minorHAnsi" w:hAnsiTheme="minorHAnsi" w:cstheme="minorHAnsi"/>
          <w:sz w:val="26"/>
          <w:szCs w:val="26"/>
        </w:rPr>
      </w:pPr>
      <w:r w:rsidRPr="00170A5F">
        <w:rPr>
          <w:rFonts w:asciiTheme="minorHAnsi" w:hAnsiTheme="minorHAnsi" w:cstheme="minorHAnsi"/>
          <w:sz w:val="26"/>
          <w:szCs w:val="26"/>
        </w:rPr>
        <w:t>Dintre acestea, menționăm adresa nr. 21001/20.02.2025 prin care C</w:t>
      </w:r>
      <w:r w:rsidR="00534C25">
        <w:rPr>
          <w:rFonts w:asciiTheme="minorHAnsi" w:hAnsiTheme="minorHAnsi" w:cstheme="minorHAnsi"/>
          <w:sz w:val="26"/>
          <w:szCs w:val="26"/>
        </w:rPr>
        <w:t>.S.M.</w:t>
      </w:r>
      <w:r w:rsidRPr="00170A5F">
        <w:rPr>
          <w:rFonts w:asciiTheme="minorHAnsi" w:hAnsiTheme="minorHAnsi" w:cstheme="minorHAnsi"/>
          <w:sz w:val="26"/>
          <w:szCs w:val="26"/>
        </w:rPr>
        <w:t xml:space="preserve"> a comunicat Senatului României punctul de vedere cu privire la </w:t>
      </w:r>
      <w:r w:rsidRPr="00170A5F">
        <w:rPr>
          <w:rFonts w:asciiTheme="minorHAnsi" w:hAnsiTheme="minorHAnsi" w:cstheme="minorHAnsi"/>
          <w:iCs/>
          <w:sz w:val="26"/>
          <w:szCs w:val="26"/>
        </w:rPr>
        <w:t>Propunerea legislativă pentru modificarea art. 386 din Legea nr. 286/2009 privind Codul penal (b640/11.12.2024)</w:t>
      </w:r>
      <w:r w:rsidRPr="00170A5F">
        <w:rPr>
          <w:rFonts w:asciiTheme="minorHAnsi" w:hAnsiTheme="minorHAnsi" w:cstheme="minorHAnsi"/>
          <w:sz w:val="26"/>
          <w:szCs w:val="26"/>
        </w:rPr>
        <w:t>. Proiectul a fost analizat în ședința Comisiei nr. 1 - reunită „Legislație și cooperare interinstituțională” din data 18 februarie 2025.</w:t>
      </w:r>
    </w:p>
    <w:p w14:paraId="29F7C9F5" w14:textId="2E04B35B" w:rsidR="00170A5F" w:rsidRPr="00170A5F" w:rsidRDefault="00170A5F" w:rsidP="009E3AD8">
      <w:pPr>
        <w:spacing w:line="276" w:lineRule="auto"/>
        <w:ind w:firstLine="708"/>
        <w:jc w:val="both"/>
        <w:rPr>
          <w:rFonts w:asciiTheme="minorHAnsi" w:hAnsiTheme="minorHAnsi" w:cstheme="minorHAnsi"/>
          <w:bCs/>
          <w:color w:val="000000"/>
          <w:sz w:val="26"/>
          <w:szCs w:val="26"/>
        </w:rPr>
      </w:pPr>
      <w:r w:rsidRPr="00170A5F">
        <w:rPr>
          <w:rFonts w:asciiTheme="minorHAnsi" w:hAnsiTheme="minorHAnsi" w:cstheme="minorHAnsi"/>
          <w:sz w:val="26"/>
          <w:szCs w:val="26"/>
        </w:rPr>
        <w:t xml:space="preserve">La solicitarea Senatului României, în ședința din data de 18 februarie 2025, Comisia nr. 1 - reunită „Legislație și cooperare interinstituțională” a analizat </w:t>
      </w:r>
      <w:r w:rsidRPr="00170A5F">
        <w:rPr>
          <w:rFonts w:asciiTheme="minorHAnsi" w:hAnsiTheme="minorHAnsi" w:cstheme="minorHAnsi"/>
          <w:iCs/>
          <w:sz w:val="26"/>
          <w:szCs w:val="26"/>
        </w:rPr>
        <w:t xml:space="preserve">Propunerea legislativă </w:t>
      </w:r>
      <w:r w:rsidRPr="00170A5F">
        <w:rPr>
          <w:rFonts w:asciiTheme="minorHAnsi" w:hAnsiTheme="minorHAnsi" w:cstheme="minorHAnsi"/>
          <w:sz w:val="26"/>
          <w:szCs w:val="26"/>
        </w:rPr>
        <w:t xml:space="preserve">pentru modificarea Legii nr. 286/2009 privind Codul penal (b7/30.01.2025). În esenţă, </w:t>
      </w:r>
      <w:r w:rsidRPr="00170A5F">
        <w:rPr>
          <w:rFonts w:asciiTheme="minorHAnsi" w:hAnsiTheme="minorHAnsi" w:cstheme="minorHAnsi"/>
          <w:bCs/>
          <w:sz w:val="26"/>
          <w:szCs w:val="26"/>
        </w:rPr>
        <w:t xml:space="preserve">comisia a apreciat că actul normativ nu poate fi adoptat în forma propusă având în vedere argumentele reținute de Înalta Curte de Casație și Justiție - Completul pentru dezlegarea unor chestiuni de drept în Decizia nr. 25/2025. </w:t>
      </w:r>
      <w:r w:rsidRPr="00170A5F">
        <w:rPr>
          <w:rFonts w:asciiTheme="minorHAnsi" w:hAnsiTheme="minorHAnsi" w:cstheme="minorHAnsi"/>
          <w:sz w:val="26"/>
          <w:szCs w:val="26"/>
        </w:rPr>
        <w:t xml:space="preserve">Observaţiile formulate au fost comunicate Senatului cu adresa nr. 6/1707/28.04.2025. În ședința din data de 24 aprilie 2025, Comisia nr. 1 a analizat, la solicitarea Comisiei juridice, de numiri, disciplină, imunităţi și validări a Senatului României amendamentele depuse la </w:t>
      </w:r>
      <w:r w:rsidRPr="00170A5F">
        <w:rPr>
          <w:rFonts w:asciiTheme="minorHAnsi" w:hAnsiTheme="minorHAnsi" w:cstheme="minorHAnsi"/>
          <w:iCs/>
          <w:sz w:val="26"/>
          <w:szCs w:val="26"/>
        </w:rPr>
        <w:t xml:space="preserve">Propunerea legislativă </w:t>
      </w:r>
      <w:r w:rsidRPr="00170A5F">
        <w:rPr>
          <w:rFonts w:asciiTheme="minorHAnsi" w:hAnsiTheme="minorHAnsi" w:cstheme="minorHAnsi"/>
          <w:sz w:val="26"/>
          <w:szCs w:val="26"/>
        </w:rPr>
        <w:t xml:space="preserve">pentru modificarea Legii nr. 286/2009 privind Codul penal </w:t>
      </w:r>
      <w:r w:rsidRPr="00170A5F">
        <w:rPr>
          <w:rFonts w:asciiTheme="minorHAnsi" w:hAnsiTheme="minorHAnsi" w:cstheme="minorHAnsi"/>
          <w:sz w:val="26"/>
          <w:szCs w:val="26"/>
        </w:rPr>
        <w:lastRenderedPageBreak/>
        <w:t>(L30/2025). Cu această ocazie s-a apreciat că se menţine concluzia exprimată anterior de comisia de specialitate a C</w:t>
      </w:r>
      <w:r w:rsidR="00534C25">
        <w:rPr>
          <w:rFonts w:asciiTheme="minorHAnsi" w:hAnsiTheme="minorHAnsi" w:cstheme="minorHAnsi"/>
          <w:sz w:val="26"/>
          <w:szCs w:val="26"/>
        </w:rPr>
        <w:t>.S.M.</w:t>
      </w:r>
      <w:r w:rsidRPr="00170A5F">
        <w:rPr>
          <w:rFonts w:asciiTheme="minorHAnsi" w:hAnsiTheme="minorHAnsi" w:cstheme="minorHAnsi"/>
          <w:sz w:val="26"/>
          <w:szCs w:val="26"/>
        </w:rPr>
        <w:t xml:space="preserve">, în sensul că </w:t>
      </w:r>
      <w:r w:rsidRPr="00170A5F">
        <w:rPr>
          <w:rFonts w:asciiTheme="minorHAnsi" w:hAnsiTheme="minorHAnsi" w:cstheme="minorHAnsi"/>
          <w:bCs/>
          <w:sz w:val="26"/>
          <w:szCs w:val="26"/>
        </w:rPr>
        <w:t xml:space="preserve">actul normativ nu poate fi adoptat în forma propusă ori rezultată din urma amendamentelor formulate, având în vedere argumentele reținute de Înalta Curte de Casație și Justiție - Completul pentru dezlegarea unor chestiuni de drept în Decizia nr. 25/2025. </w:t>
      </w:r>
      <w:r w:rsidRPr="00170A5F">
        <w:rPr>
          <w:rFonts w:asciiTheme="minorHAnsi" w:hAnsiTheme="minorHAnsi" w:cstheme="minorHAnsi"/>
          <w:bCs/>
          <w:color w:val="000000"/>
          <w:sz w:val="26"/>
          <w:szCs w:val="26"/>
        </w:rPr>
        <w:t xml:space="preserve">Comisia a apreciat în acest sens, întrucât prin decizia menționată au fost interpretate elementele constitutive ale infracțiunii </w:t>
      </w:r>
      <w:r w:rsidR="00CF3DF5">
        <w:rPr>
          <w:rFonts w:asciiTheme="minorHAnsi" w:hAnsiTheme="minorHAnsi" w:cstheme="minorHAnsi"/>
          <w:bCs/>
          <w:color w:val="000000"/>
          <w:sz w:val="26"/>
          <w:szCs w:val="26"/>
        </w:rPr>
        <w:t xml:space="preserve">prevăzute </w:t>
      </w:r>
      <w:r w:rsidRPr="00170A5F">
        <w:rPr>
          <w:rFonts w:asciiTheme="minorHAnsi" w:hAnsiTheme="minorHAnsi" w:cstheme="minorHAnsi"/>
          <w:bCs/>
          <w:color w:val="000000"/>
          <w:sz w:val="26"/>
          <w:szCs w:val="26"/>
        </w:rPr>
        <w:t>de art. 336 din Codul penal atât prin raportare la obiectul juridic al aceste</w:t>
      </w:r>
      <w:r w:rsidR="00E8704E">
        <w:rPr>
          <w:rFonts w:asciiTheme="minorHAnsi" w:hAnsiTheme="minorHAnsi" w:cstheme="minorHAnsi"/>
          <w:bCs/>
          <w:color w:val="000000"/>
          <w:sz w:val="26"/>
          <w:szCs w:val="26"/>
        </w:rPr>
        <w:t>i</w:t>
      </w:r>
      <w:r w:rsidRPr="00170A5F">
        <w:rPr>
          <w:rFonts w:asciiTheme="minorHAnsi" w:hAnsiTheme="minorHAnsi" w:cstheme="minorHAnsi"/>
          <w:bCs/>
          <w:color w:val="000000"/>
          <w:sz w:val="26"/>
          <w:szCs w:val="26"/>
        </w:rPr>
        <w:t xml:space="preserve"> infracțiuni, cât și prin raportare la opinia exprimată de specialiștii din cadrul Institutului Național de Medicină Legală. Așa fiind, modificarea acestor dispoziții legale, mai ales în sensul arătat, nu poate conduce la ignorarea argumentelor reținute de instanța supremă, care nu s-au axat exclusiv pe o interpretare juridică a dispozițiil</w:t>
      </w:r>
      <w:r w:rsidR="0091773D">
        <w:rPr>
          <w:rFonts w:asciiTheme="minorHAnsi" w:hAnsiTheme="minorHAnsi" w:cstheme="minorHAnsi"/>
          <w:bCs/>
          <w:color w:val="000000"/>
          <w:sz w:val="26"/>
          <w:szCs w:val="26"/>
        </w:rPr>
        <w:t>or</w:t>
      </w:r>
      <w:r w:rsidRPr="00170A5F">
        <w:rPr>
          <w:rFonts w:asciiTheme="minorHAnsi" w:hAnsiTheme="minorHAnsi" w:cstheme="minorHAnsi"/>
          <w:bCs/>
          <w:color w:val="000000"/>
          <w:sz w:val="26"/>
          <w:szCs w:val="26"/>
        </w:rPr>
        <w:t xml:space="preserve"> legale în vigoare, ci au avut la bază și concluziile exprimate de medicii legiști referitoare la limita </w:t>
      </w:r>
      <w:r w:rsidRPr="00170A5F">
        <w:rPr>
          <w:rFonts w:asciiTheme="minorHAnsi" w:hAnsiTheme="minorHAnsi" w:cstheme="minorHAnsi"/>
          <w:bCs/>
          <w:iCs/>
          <w:color w:val="000000"/>
          <w:sz w:val="26"/>
          <w:szCs w:val="26"/>
        </w:rPr>
        <w:t xml:space="preserve">cut-off </w:t>
      </w:r>
      <w:r w:rsidRPr="00170A5F">
        <w:rPr>
          <w:rFonts w:asciiTheme="minorHAnsi" w:hAnsiTheme="minorHAnsi" w:cstheme="minorHAnsi"/>
          <w:bCs/>
          <w:color w:val="000000"/>
          <w:sz w:val="26"/>
          <w:szCs w:val="26"/>
        </w:rPr>
        <w:t xml:space="preserve">relevantă pentru stabilirea ipotezelor care pot conduce la atingerea obiectului juridic special al acestei infracțiuni. </w:t>
      </w:r>
      <w:r w:rsidRPr="00170A5F">
        <w:rPr>
          <w:rFonts w:asciiTheme="minorHAnsi" w:hAnsiTheme="minorHAnsi" w:cstheme="minorHAnsi"/>
          <w:color w:val="000000"/>
          <w:sz w:val="26"/>
          <w:szCs w:val="26"/>
        </w:rPr>
        <w:t xml:space="preserve">S-a apreciat că argumentele care țin de esența incriminării faptelor vizate nu pot fi înlăturate printr-o modificare legislativă care tinde să se abată de la rațiunea de bază a textului incriminator. </w:t>
      </w:r>
      <w:r w:rsidRPr="00170A5F">
        <w:rPr>
          <w:rFonts w:asciiTheme="minorHAnsi" w:hAnsiTheme="minorHAnsi" w:cstheme="minorHAnsi"/>
          <w:sz w:val="26"/>
          <w:szCs w:val="26"/>
        </w:rPr>
        <w:t>Observaţiile formulate au fost comunicate Comisiei juridice, de numiri, disciplină, imunităţi și validări a Senatului României cu adresa nr. 6/1707/28.04.2025.</w:t>
      </w:r>
    </w:p>
    <w:p w14:paraId="220B78C6" w14:textId="0D03DDB7" w:rsidR="00170A5F" w:rsidRPr="00170A5F" w:rsidRDefault="00170A5F" w:rsidP="009E3AD8">
      <w:pPr>
        <w:tabs>
          <w:tab w:val="left" w:pos="709"/>
        </w:tabs>
        <w:spacing w:line="276" w:lineRule="auto"/>
        <w:ind w:firstLine="708"/>
        <w:jc w:val="both"/>
        <w:rPr>
          <w:rFonts w:asciiTheme="minorHAnsi" w:hAnsiTheme="minorHAnsi" w:cstheme="minorHAnsi"/>
          <w:sz w:val="26"/>
          <w:szCs w:val="26"/>
        </w:rPr>
      </w:pPr>
      <w:r w:rsidRPr="00170A5F">
        <w:rPr>
          <w:rFonts w:asciiTheme="minorHAnsi" w:hAnsiTheme="minorHAnsi" w:cstheme="minorHAnsi"/>
          <w:sz w:val="26"/>
          <w:szCs w:val="26"/>
        </w:rPr>
        <w:t xml:space="preserve">La solicitarea Senatului României, în ședința din data de 20 martie 2025, Comisia nr. 1 - reunită „Legislație și cooperare interinstituțională” a analizat </w:t>
      </w:r>
      <w:r w:rsidRPr="00170A5F">
        <w:rPr>
          <w:rFonts w:asciiTheme="minorHAnsi" w:hAnsiTheme="minorHAnsi" w:cstheme="minorHAnsi"/>
          <w:iCs/>
          <w:sz w:val="26"/>
          <w:szCs w:val="26"/>
        </w:rPr>
        <w:t>Propunerea legislativă</w:t>
      </w:r>
      <w:r w:rsidR="005E5861">
        <w:rPr>
          <w:rFonts w:asciiTheme="minorHAnsi" w:hAnsiTheme="minorHAnsi" w:cstheme="minorHAnsi"/>
          <w:iCs/>
          <w:sz w:val="26"/>
          <w:szCs w:val="26"/>
        </w:rPr>
        <w:t xml:space="preserve"> </w:t>
      </w:r>
      <w:r w:rsidRPr="00170A5F">
        <w:rPr>
          <w:rFonts w:asciiTheme="minorHAnsi" w:hAnsiTheme="minorHAnsi" w:cstheme="minorHAnsi"/>
          <w:iCs/>
          <w:sz w:val="26"/>
          <w:szCs w:val="26"/>
        </w:rPr>
        <w:t>pentru modificarea și completarea Legii nr.</w:t>
      </w:r>
      <w:r w:rsidR="005E5861">
        <w:rPr>
          <w:rFonts w:asciiTheme="minorHAnsi" w:hAnsiTheme="minorHAnsi" w:cstheme="minorHAnsi"/>
          <w:iCs/>
          <w:sz w:val="26"/>
          <w:szCs w:val="26"/>
        </w:rPr>
        <w:t xml:space="preserve"> </w:t>
      </w:r>
      <w:r w:rsidRPr="00170A5F">
        <w:rPr>
          <w:rFonts w:asciiTheme="minorHAnsi" w:hAnsiTheme="minorHAnsi" w:cstheme="minorHAnsi"/>
          <w:iCs/>
          <w:sz w:val="26"/>
          <w:szCs w:val="26"/>
        </w:rPr>
        <w:t>370/2004 pentru alegerea Președintelui României, republicată (b48/21.02.2025)</w:t>
      </w:r>
      <w:r w:rsidRPr="00170A5F">
        <w:rPr>
          <w:rFonts w:asciiTheme="minorHAnsi" w:hAnsiTheme="minorHAnsi" w:cstheme="minorHAnsi"/>
          <w:sz w:val="26"/>
          <w:szCs w:val="26"/>
        </w:rPr>
        <w:t xml:space="preserve">. </w:t>
      </w:r>
      <w:r w:rsidRPr="00A35EF2">
        <w:rPr>
          <w:rStyle w:val="NoSpacingChar"/>
          <w:rFonts w:asciiTheme="minorHAnsi" w:hAnsiTheme="minorHAnsi" w:cstheme="minorHAnsi"/>
          <w:sz w:val="26"/>
          <w:szCs w:val="26"/>
          <w:lang w:val="ro-RO"/>
        </w:rPr>
        <w:t xml:space="preserve">Punctul de vedere al Comisiei în sensul că proiectul nu poate fi adoptat în forma propusă a fost comunicat Senatului României, împreună cu argumentele care au fost avute în vedere, prin adresa </w:t>
      </w:r>
      <w:r w:rsidRPr="00170A5F">
        <w:rPr>
          <w:rFonts w:asciiTheme="minorHAnsi" w:hAnsiTheme="minorHAnsi" w:cstheme="minorHAnsi"/>
          <w:sz w:val="26"/>
          <w:szCs w:val="26"/>
        </w:rPr>
        <w:t>nr. 3258/24.03.2025.</w:t>
      </w:r>
    </w:p>
    <w:p w14:paraId="2D250352" w14:textId="2EB70A6E" w:rsidR="00170A5F" w:rsidRPr="00A35EF2" w:rsidRDefault="00170A5F" w:rsidP="009E3AD8">
      <w:pPr>
        <w:spacing w:line="276" w:lineRule="auto"/>
        <w:ind w:firstLine="708"/>
        <w:jc w:val="both"/>
        <w:rPr>
          <w:rStyle w:val="NoSpacingChar"/>
          <w:rFonts w:asciiTheme="minorHAnsi" w:hAnsiTheme="minorHAnsi" w:cstheme="minorHAnsi"/>
          <w:sz w:val="26"/>
          <w:szCs w:val="26"/>
          <w:lang w:val="ro-RO"/>
        </w:rPr>
      </w:pPr>
      <w:r w:rsidRPr="00170A5F">
        <w:rPr>
          <w:rFonts w:asciiTheme="minorHAnsi" w:hAnsiTheme="minorHAnsi" w:cstheme="minorHAnsi"/>
          <w:sz w:val="26"/>
          <w:szCs w:val="26"/>
        </w:rPr>
        <w:t xml:space="preserve">La solicitarea Senatului României, în ședința din data de </w:t>
      </w:r>
      <w:r w:rsidR="002157DF">
        <w:rPr>
          <w:rFonts w:asciiTheme="minorHAnsi" w:hAnsiTheme="minorHAnsi" w:cstheme="minorHAnsi"/>
          <w:sz w:val="26"/>
          <w:szCs w:val="26"/>
        </w:rPr>
        <w:t>0</w:t>
      </w:r>
      <w:r w:rsidRPr="00170A5F">
        <w:rPr>
          <w:rFonts w:asciiTheme="minorHAnsi" w:hAnsiTheme="minorHAnsi" w:cstheme="minorHAnsi"/>
          <w:sz w:val="26"/>
          <w:szCs w:val="26"/>
        </w:rPr>
        <w:t xml:space="preserve">3 aprilie 2025, Comisia nr. 1 - reunită „Legislație și cooperare interinstituțională” a analizat </w:t>
      </w:r>
      <w:r w:rsidRPr="00170A5F">
        <w:rPr>
          <w:rFonts w:asciiTheme="minorHAnsi" w:hAnsiTheme="minorHAnsi" w:cstheme="minorHAnsi"/>
          <w:iCs/>
          <w:sz w:val="26"/>
          <w:szCs w:val="26"/>
        </w:rPr>
        <w:t xml:space="preserve">Propunerea legislativă </w:t>
      </w:r>
      <w:r w:rsidRPr="00170A5F">
        <w:rPr>
          <w:rFonts w:asciiTheme="minorHAnsi" w:hAnsiTheme="minorHAnsi" w:cstheme="minorHAnsi"/>
          <w:sz w:val="26"/>
          <w:szCs w:val="26"/>
        </w:rPr>
        <w:t xml:space="preserve"> pentru </w:t>
      </w:r>
      <w:r w:rsidRPr="00170A5F">
        <w:rPr>
          <w:rFonts w:asciiTheme="minorHAnsi" w:hAnsiTheme="minorHAnsi" w:cstheme="minorHAnsi"/>
          <w:bCs/>
          <w:iCs/>
          <w:sz w:val="26"/>
          <w:szCs w:val="26"/>
        </w:rPr>
        <w:t>modificarea şi completarea O</w:t>
      </w:r>
      <w:r w:rsidR="005E5861">
        <w:rPr>
          <w:rFonts w:asciiTheme="minorHAnsi" w:hAnsiTheme="minorHAnsi" w:cstheme="minorHAnsi"/>
          <w:bCs/>
          <w:iCs/>
          <w:sz w:val="26"/>
          <w:szCs w:val="26"/>
        </w:rPr>
        <w:t>.U.G.</w:t>
      </w:r>
      <w:r w:rsidRPr="00170A5F">
        <w:rPr>
          <w:rFonts w:asciiTheme="minorHAnsi" w:hAnsiTheme="minorHAnsi" w:cstheme="minorHAnsi"/>
          <w:bCs/>
          <w:iCs/>
          <w:sz w:val="26"/>
          <w:szCs w:val="26"/>
        </w:rPr>
        <w:t xml:space="preserve"> </w:t>
      </w:r>
      <w:r w:rsidR="005E5861">
        <w:rPr>
          <w:rFonts w:asciiTheme="minorHAnsi" w:hAnsiTheme="minorHAnsi" w:cstheme="minorHAnsi"/>
          <w:bCs/>
          <w:iCs/>
          <w:sz w:val="26"/>
          <w:szCs w:val="26"/>
        </w:rPr>
        <w:t xml:space="preserve">nr. </w:t>
      </w:r>
      <w:r w:rsidRPr="00170A5F">
        <w:rPr>
          <w:rFonts w:asciiTheme="minorHAnsi" w:hAnsiTheme="minorHAnsi" w:cstheme="minorHAnsi"/>
          <w:bCs/>
          <w:iCs/>
          <w:sz w:val="26"/>
          <w:szCs w:val="26"/>
        </w:rPr>
        <w:t>94/2000 privind retrocedarea unor imobile care au aparținut cultelor religioase din România – republicată</w:t>
      </w:r>
      <w:r w:rsidRPr="00170A5F">
        <w:rPr>
          <w:rFonts w:asciiTheme="minorHAnsi" w:hAnsiTheme="minorHAnsi" w:cstheme="minorHAnsi"/>
          <w:bCs/>
          <w:sz w:val="26"/>
          <w:szCs w:val="26"/>
        </w:rPr>
        <w:t xml:space="preserve"> (</w:t>
      </w:r>
      <w:r w:rsidRPr="00170A5F">
        <w:rPr>
          <w:rFonts w:asciiTheme="minorHAnsi" w:hAnsiTheme="minorHAnsi" w:cstheme="minorHAnsi"/>
          <w:bCs/>
          <w:iCs/>
          <w:sz w:val="26"/>
          <w:szCs w:val="26"/>
        </w:rPr>
        <w:t>b63/05.03.2025).</w:t>
      </w:r>
      <w:r w:rsidRPr="00170A5F">
        <w:rPr>
          <w:rFonts w:asciiTheme="minorHAnsi" w:hAnsiTheme="minorHAnsi" w:cstheme="minorHAnsi"/>
          <w:sz w:val="26"/>
          <w:szCs w:val="26"/>
        </w:rPr>
        <w:t xml:space="preserve"> Comisia de specialitate a considerat că modificările propuse </w:t>
      </w:r>
      <w:r w:rsidRPr="00170A5F">
        <w:rPr>
          <w:rFonts w:asciiTheme="minorHAnsi" w:hAnsiTheme="minorHAnsi" w:cstheme="minorHAnsi"/>
          <w:iCs/>
          <w:sz w:val="26"/>
          <w:szCs w:val="26"/>
        </w:rPr>
        <w:t xml:space="preserve">vizează, în esență, aspecte de oportunitate, fiind opțiunea legiuitorului să aprecieze cu privire la necesitatea operării unor schimbări cu privire la competența instanțelor învestite cu soluționarea cauzelor întemeiate pe dispozițiile O.U.G. nr. 94/2000 și la regândirea sistemului căilor de atac în această materie. Răspunsul Consiliului Superior al Magistraturii a fost comunicat Senatului României </w:t>
      </w:r>
      <w:r w:rsidRPr="00170A5F">
        <w:rPr>
          <w:rFonts w:asciiTheme="minorHAnsi" w:hAnsiTheme="minorHAnsi" w:cstheme="minorHAnsi"/>
          <w:sz w:val="26"/>
          <w:szCs w:val="26"/>
        </w:rPr>
        <w:t>cu adresa nr. 3/3908/09.04.2025.</w:t>
      </w:r>
    </w:p>
    <w:p w14:paraId="7FFD2DE3" w14:textId="10D411CF" w:rsidR="00170A5F" w:rsidRPr="00A35EF2" w:rsidRDefault="00170A5F" w:rsidP="009E3AD8">
      <w:pPr>
        <w:tabs>
          <w:tab w:val="left" w:pos="709"/>
        </w:tabs>
        <w:spacing w:line="276" w:lineRule="auto"/>
        <w:jc w:val="both"/>
        <w:rPr>
          <w:rStyle w:val="NoSpacingChar"/>
          <w:rFonts w:asciiTheme="minorHAnsi" w:hAnsiTheme="minorHAnsi" w:cstheme="minorHAnsi"/>
          <w:sz w:val="26"/>
          <w:szCs w:val="26"/>
          <w:lang w:val="ro-RO"/>
        </w:rPr>
      </w:pPr>
      <w:r w:rsidRPr="00A35EF2">
        <w:rPr>
          <w:rStyle w:val="NoSpacingChar"/>
          <w:rFonts w:asciiTheme="minorHAnsi" w:hAnsiTheme="minorHAnsi" w:cstheme="minorHAnsi"/>
          <w:sz w:val="26"/>
          <w:szCs w:val="26"/>
          <w:lang w:val="ro-RO"/>
        </w:rPr>
        <w:tab/>
      </w:r>
      <w:r w:rsidRPr="00170A5F">
        <w:rPr>
          <w:rFonts w:asciiTheme="minorHAnsi" w:hAnsiTheme="minorHAnsi" w:cstheme="minorHAnsi"/>
          <w:sz w:val="26"/>
          <w:szCs w:val="26"/>
        </w:rPr>
        <w:t xml:space="preserve">La solicitarea Senatului României, în ședința din data de </w:t>
      </w:r>
      <w:r w:rsidR="002157DF">
        <w:rPr>
          <w:rFonts w:asciiTheme="minorHAnsi" w:hAnsiTheme="minorHAnsi" w:cstheme="minorHAnsi"/>
          <w:sz w:val="26"/>
          <w:szCs w:val="26"/>
        </w:rPr>
        <w:t>0</w:t>
      </w:r>
      <w:r w:rsidRPr="00170A5F">
        <w:rPr>
          <w:rFonts w:asciiTheme="minorHAnsi" w:hAnsiTheme="minorHAnsi" w:cstheme="minorHAnsi"/>
          <w:sz w:val="26"/>
          <w:szCs w:val="26"/>
        </w:rPr>
        <w:t xml:space="preserve">3 aprilie 2025, Comisia nr. 1 - reunită „Legislație și cooperare interinstituțională” a analizat </w:t>
      </w:r>
      <w:r w:rsidRPr="00170A5F">
        <w:rPr>
          <w:rFonts w:asciiTheme="minorHAnsi" w:hAnsiTheme="minorHAnsi" w:cstheme="minorHAnsi"/>
          <w:iCs/>
          <w:sz w:val="26"/>
          <w:szCs w:val="26"/>
        </w:rPr>
        <w:t xml:space="preserve">Propunerea legislativă </w:t>
      </w:r>
      <w:r w:rsidRPr="00170A5F">
        <w:rPr>
          <w:rFonts w:asciiTheme="minorHAnsi" w:hAnsiTheme="minorHAnsi" w:cstheme="minorHAnsi"/>
          <w:sz w:val="26"/>
          <w:szCs w:val="26"/>
        </w:rPr>
        <w:t xml:space="preserve"> pentru completarea art. 22 din Legea nr. 143/2000 privind combaterea traficului și consumului ilicit de droguri </w:t>
      </w:r>
      <w:r w:rsidRPr="00170A5F">
        <w:rPr>
          <w:rFonts w:asciiTheme="minorHAnsi" w:hAnsiTheme="minorHAnsi" w:cstheme="minorHAnsi"/>
          <w:iCs/>
          <w:sz w:val="26"/>
          <w:szCs w:val="26"/>
        </w:rPr>
        <w:t>(b50/24.02.2025)</w:t>
      </w:r>
      <w:r w:rsidRPr="00170A5F">
        <w:rPr>
          <w:rFonts w:asciiTheme="minorHAnsi" w:hAnsiTheme="minorHAnsi" w:cstheme="minorHAnsi"/>
          <w:sz w:val="26"/>
          <w:szCs w:val="26"/>
        </w:rPr>
        <w:t>.</w:t>
      </w:r>
      <w:r w:rsidRPr="00A35EF2">
        <w:rPr>
          <w:rStyle w:val="NoSpacingChar"/>
          <w:rFonts w:asciiTheme="minorHAnsi" w:hAnsiTheme="minorHAnsi" w:cstheme="minorHAnsi"/>
          <w:sz w:val="26"/>
          <w:szCs w:val="26"/>
          <w:lang w:val="ro-RO"/>
        </w:rPr>
        <w:t xml:space="preserve"> Punctul de vedere al Comisiei, în sensul că proiectul nu poate fi adoptat în forma propusă de către iniţiator a fost comunicat Senatului României, împreună cu argumentele care au fost avute în vedere, prin adresa nr. 3/3559/10.04.2025.</w:t>
      </w:r>
    </w:p>
    <w:p w14:paraId="2ED65A26" w14:textId="6338064E" w:rsidR="00170A5F" w:rsidRPr="00BE6FF5" w:rsidRDefault="00170A5F" w:rsidP="009E3AD8">
      <w:pPr>
        <w:tabs>
          <w:tab w:val="left" w:pos="5475"/>
        </w:tabs>
        <w:spacing w:line="276" w:lineRule="auto"/>
        <w:ind w:firstLine="720"/>
        <w:jc w:val="both"/>
        <w:rPr>
          <w:rStyle w:val="NoSpacingChar"/>
          <w:rFonts w:asciiTheme="minorHAnsi" w:hAnsiTheme="minorHAnsi" w:cstheme="minorHAnsi"/>
          <w:sz w:val="26"/>
          <w:szCs w:val="26"/>
          <w:lang w:val="pt-PT"/>
        </w:rPr>
      </w:pPr>
      <w:r w:rsidRPr="00170A5F">
        <w:rPr>
          <w:rFonts w:asciiTheme="minorHAnsi" w:hAnsiTheme="minorHAnsi" w:cstheme="minorHAnsi"/>
          <w:sz w:val="26"/>
          <w:szCs w:val="26"/>
        </w:rPr>
        <w:t xml:space="preserve">În ședința din data de </w:t>
      </w:r>
      <w:r w:rsidR="00BC28E0">
        <w:rPr>
          <w:rFonts w:asciiTheme="minorHAnsi" w:hAnsiTheme="minorHAnsi" w:cstheme="minorHAnsi"/>
          <w:sz w:val="26"/>
          <w:szCs w:val="26"/>
        </w:rPr>
        <w:t>0</w:t>
      </w:r>
      <w:r w:rsidRPr="00170A5F">
        <w:rPr>
          <w:rFonts w:asciiTheme="minorHAnsi" w:hAnsiTheme="minorHAnsi" w:cstheme="minorHAnsi"/>
          <w:sz w:val="26"/>
          <w:szCs w:val="26"/>
        </w:rPr>
        <w:t xml:space="preserve">3 aprilie 2025, Comisia nr. 1 - reunită „Legislație și cooperare interinstituțională” a analizat </w:t>
      </w:r>
      <w:r w:rsidRPr="00170A5F">
        <w:rPr>
          <w:rFonts w:asciiTheme="minorHAnsi" w:hAnsiTheme="minorHAnsi" w:cstheme="minorHAnsi"/>
          <w:iCs/>
          <w:sz w:val="26"/>
          <w:szCs w:val="26"/>
        </w:rPr>
        <w:t>Propunerea legislativă pentru modificarea art. 425 alin. (1) lit. b) din Legea nr. 134/2010 privind Codul de procedură civilă (PLx 120/2022).</w:t>
      </w:r>
      <w:r w:rsidRPr="00170A5F">
        <w:rPr>
          <w:rFonts w:asciiTheme="minorHAnsi" w:hAnsiTheme="minorHAnsi" w:cstheme="minorHAnsi"/>
          <w:sz w:val="26"/>
          <w:szCs w:val="26"/>
        </w:rPr>
        <w:t xml:space="preserve"> Comisia a constatat că propunerea legislativă urmărește eliminarea referirii la </w:t>
      </w:r>
      <w:bookmarkStart w:id="62" w:name="_Hlk194407450"/>
      <w:r w:rsidRPr="00170A5F">
        <w:rPr>
          <w:rFonts w:asciiTheme="minorHAnsi" w:hAnsiTheme="minorHAnsi" w:cstheme="minorHAnsi"/>
          <w:iCs/>
          <w:sz w:val="26"/>
          <w:szCs w:val="26"/>
        </w:rPr>
        <w:t>susținerile pe scurt ale părților</w:t>
      </w:r>
      <w:bookmarkEnd w:id="62"/>
      <w:r w:rsidRPr="00170A5F">
        <w:rPr>
          <w:rFonts w:asciiTheme="minorHAnsi" w:hAnsiTheme="minorHAnsi" w:cstheme="minorHAnsi"/>
          <w:sz w:val="26"/>
          <w:szCs w:val="26"/>
        </w:rPr>
        <w:t xml:space="preserve">, ca parte componentă distinctă a considerentelor hotărârii judecătorești, și a apreciat că </w:t>
      </w:r>
      <w:r w:rsidRPr="00170A5F">
        <w:rPr>
          <w:rFonts w:asciiTheme="minorHAnsi" w:hAnsiTheme="minorHAnsi" w:cstheme="minorHAnsi"/>
          <w:iCs/>
          <w:sz w:val="26"/>
          <w:szCs w:val="26"/>
        </w:rPr>
        <w:t xml:space="preserve">modificarea propusă este oportună, fiind de natură să contribuie la realizarea scopului de degrevare a </w:t>
      </w:r>
      <w:r w:rsidRPr="00170A5F">
        <w:rPr>
          <w:rFonts w:asciiTheme="minorHAnsi" w:hAnsiTheme="minorHAnsi" w:cstheme="minorHAnsi"/>
          <w:iCs/>
          <w:sz w:val="26"/>
          <w:szCs w:val="26"/>
        </w:rPr>
        <w:lastRenderedPageBreak/>
        <w:t>activității instanțelor, prin simplificarea modalității de redactare a hotărârii judecătorești, fără ca prin aceasta să fie afectată calitatea hotărârilor sau principiile care guvernează desfășurarea procesului civil.</w:t>
      </w:r>
      <w:r w:rsidRPr="00170A5F">
        <w:rPr>
          <w:rFonts w:asciiTheme="minorHAnsi" w:hAnsiTheme="minorHAnsi" w:cstheme="minorHAnsi"/>
          <w:sz w:val="26"/>
          <w:szCs w:val="26"/>
        </w:rPr>
        <w:t xml:space="preserve"> </w:t>
      </w:r>
      <w:r w:rsidRPr="00170A5F">
        <w:rPr>
          <w:rFonts w:asciiTheme="minorHAnsi" w:hAnsiTheme="minorHAnsi" w:cstheme="minorHAnsi"/>
          <w:bCs/>
          <w:sz w:val="26"/>
          <w:szCs w:val="26"/>
        </w:rPr>
        <w:t xml:space="preserve">Pentru motivele prezentate în cuprinsul adresei nr. 4577/04.04.2025 şi transmise </w:t>
      </w:r>
      <w:r w:rsidRPr="00170A5F">
        <w:rPr>
          <w:rFonts w:asciiTheme="minorHAnsi" w:hAnsiTheme="minorHAnsi" w:cstheme="minorHAnsi"/>
          <w:sz w:val="26"/>
          <w:szCs w:val="26"/>
        </w:rPr>
        <w:t xml:space="preserve">Comisiei juridice, de disciplină şi imunităţi a Camerei Deputaţilor, </w:t>
      </w:r>
      <w:r w:rsidRPr="00170A5F">
        <w:rPr>
          <w:rFonts w:asciiTheme="minorHAnsi" w:hAnsiTheme="minorHAnsi" w:cstheme="minorHAnsi"/>
          <w:bCs/>
          <w:sz w:val="26"/>
          <w:szCs w:val="26"/>
        </w:rPr>
        <w:t>Comisia a apreciat oportună adoptarea Propunerii legislative pentru modificarea art. 425 alin. (1) lit. b) din Legea nr. 134/2010 privind Codul de procedură civilă.</w:t>
      </w:r>
    </w:p>
    <w:p w14:paraId="704D20DE" w14:textId="15B90ABA" w:rsidR="00170A5F" w:rsidRPr="00170A5F" w:rsidRDefault="00170A5F" w:rsidP="009E3AD8">
      <w:pPr>
        <w:spacing w:line="276" w:lineRule="auto"/>
        <w:jc w:val="both"/>
        <w:rPr>
          <w:rFonts w:asciiTheme="minorHAnsi" w:hAnsiTheme="minorHAnsi" w:cstheme="minorHAnsi"/>
          <w:sz w:val="26"/>
          <w:szCs w:val="26"/>
        </w:rPr>
      </w:pPr>
      <w:r w:rsidRPr="00170A5F">
        <w:rPr>
          <w:rFonts w:asciiTheme="minorHAnsi" w:hAnsiTheme="minorHAnsi" w:cstheme="minorHAnsi"/>
          <w:sz w:val="26"/>
          <w:szCs w:val="26"/>
        </w:rPr>
        <w:tab/>
        <w:t>La solicitarea Senatului României, în ședința din data de 24 aprilie 2025, Comisia nr. 1 - reunită „Legislație și cooperare interinstituțională” a analizat</w:t>
      </w:r>
      <w:r w:rsidRPr="00A35EF2">
        <w:rPr>
          <w:rStyle w:val="NoSpacingChar"/>
          <w:rFonts w:asciiTheme="minorHAnsi" w:hAnsiTheme="minorHAnsi" w:cstheme="minorHAnsi"/>
          <w:sz w:val="26"/>
          <w:szCs w:val="26"/>
          <w:lang w:val="ro-RO"/>
        </w:rPr>
        <w:t xml:space="preserve"> </w:t>
      </w:r>
      <w:r w:rsidRPr="00170A5F">
        <w:rPr>
          <w:rFonts w:asciiTheme="minorHAnsi" w:hAnsiTheme="minorHAnsi" w:cstheme="minorHAnsi"/>
          <w:sz w:val="26"/>
          <w:szCs w:val="26"/>
        </w:rPr>
        <w:t xml:space="preserve">Propunerea legislativă pentru modificarea şi completarea Legii nr. 135/2010 privind Codul de procedură penală </w:t>
      </w:r>
      <w:r w:rsidRPr="00170A5F">
        <w:rPr>
          <w:rFonts w:asciiTheme="minorHAnsi" w:hAnsiTheme="minorHAnsi" w:cstheme="minorHAnsi"/>
          <w:iCs/>
          <w:sz w:val="26"/>
          <w:szCs w:val="26"/>
        </w:rPr>
        <w:t>(b104/26.03.2025). Comisia a apreciat că propunerea legislativă nu ar ridica eventuale probleme de conformitate cu Legea fundamentală, paradigma legislativă propusă nefiind de natură a comporta discuții nici din perspectiva dispozițiilor Convenției pentru Apărarea Drepturilor Omului și a Libertăților Fundamentale și a jurisprudenței Curții de la Strasbourg. Sub acest aspect, așa cum se reține și în expunerea de motive, trebuie a se avea în vedere și faptul că dispozițiile art. 597 din Codul de procedură penală</w:t>
      </w:r>
      <w:r w:rsidR="00C500BF">
        <w:rPr>
          <w:rFonts w:asciiTheme="minorHAnsi" w:hAnsiTheme="minorHAnsi" w:cstheme="minorHAnsi"/>
          <w:iCs/>
          <w:sz w:val="26"/>
          <w:szCs w:val="26"/>
        </w:rPr>
        <w:t>,</w:t>
      </w:r>
      <w:r w:rsidRPr="00170A5F">
        <w:rPr>
          <w:rFonts w:asciiTheme="minorHAnsi" w:hAnsiTheme="minorHAnsi" w:cstheme="minorHAnsi"/>
          <w:iCs/>
          <w:sz w:val="26"/>
          <w:szCs w:val="26"/>
        </w:rPr>
        <w:t xml:space="preserve"> a căror modificare se propune</w:t>
      </w:r>
      <w:r w:rsidR="00C500BF">
        <w:rPr>
          <w:rFonts w:asciiTheme="minorHAnsi" w:hAnsiTheme="minorHAnsi" w:cstheme="minorHAnsi"/>
          <w:iCs/>
          <w:sz w:val="26"/>
          <w:szCs w:val="26"/>
        </w:rPr>
        <w:t>,</w:t>
      </w:r>
      <w:r w:rsidRPr="00170A5F">
        <w:rPr>
          <w:rFonts w:asciiTheme="minorHAnsi" w:hAnsiTheme="minorHAnsi" w:cstheme="minorHAnsi"/>
          <w:iCs/>
          <w:sz w:val="26"/>
          <w:szCs w:val="26"/>
        </w:rPr>
        <w:t xml:space="preserve"> fac parte din Titlul</w:t>
      </w:r>
      <w:r w:rsidRPr="00170A5F">
        <w:rPr>
          <w:rFonts w:asciiTheme="minorHAnsi" w:hAnsiTheme="minorHAnsi" w:cstheme="minorHAnsi"/>
          <w:b/>
          <w:bCs/>
          <w:iCs/>
          <w:sz w:val="26"/>
          <w:szCs w:val="26"/>
        </w:rPr>
        <w:t xml:space="preserve"> </w:t>
      </w:r>
      <w:r w:rsidRPr="00170A5F">
        <w:rPr>
          <w:rFonts w:asciiTheme="minorHAnsi" w:hAnsiTheme="minorHAnsi" w:cstheme="minorHAnsi"/>
          <w:bCs/>
          <w:iCs/>
          <w:sz w:val="26"/>
          <w:szCs w:val="26"/>
        </w:rPr>
        <w:t>V - „Executarea hotărârilor penale”,</w:t>
      </w:r>
      <w:r w:rsidRPr="00170A5F">
        <w:rPr>
          <w:rFonts w:asciiTheme="minorHAnsi" w:hAnsiTheme="minorHAnsi" w:cstheme="minorHAnsi"/>
          <w:b/>
          <w:bCs/>
          <w:iCs/>
          <w:sz w:val="26"/>
          <w:szCs w:val="26"/>
        </w:rPr>
        <w:t xml:space="preserve"> </w:t>
      </w:r>
      <w:r w:rsidRPr="00170A5F">
        <w:rPr>
          <w:rFonts w:asciiTheme="minorHAnsi" w:hAnsiTheme="minorHAnsi" w:cstheme="minorHAnsi"/>
          <w:iCs/>
          <w:sz w:val="26"/>
          <w:szCs w:val="26"/>
        </w:rPr>
        <w:t xml:space="preserve">reglementând o activitate ulterioară fazei de judecată în care s-a stabilit existența vinovăției persoanei (statuându-se, deci, în privința temeiniciei acuzației în materie penală). Prin urmare, adoptarea soluției legislative propuse constituie o chestiune ce ține de opțiunea legiuitorului, iar sub aspectul oportunității acestei soluții, Comisia a apreciat ca fiind pertinente argumentele expuse în cuprinsul expunerii de motive. Ca o observație punctuală, Comisia a reținut că, pentru rațiuni similare, ar fi trebuit să se propună, în mod corelativ, și modificarea prevederilor art. 597 alin. (8) teza a II-a din Codul de procedură penală referitoare la </w:t>
      </w:r>
      <w:r w:rsidRPr="00170A5F">
        <w:rPr>
          <w:rFonts w:asciiTheme="minorHAnsi" w:hAnsiTheme="minorHAnsi" w:cstheme="minorHAnsi"/>
          <w:sz w:val="26"/>
          <w:szCs w:val="26"/>
        </w:rPr>
        <w:t>judecarea contestaţiei la hotărârea primei instanţe</w:t>
      </w:r>
      <w:r w:rsidRPr="00170A5F">
        <w:rPr>
          <w:rFonts w:asciiTheme="minorHAnsi" w:hAnsiTheme="minorHAnsi" w:cstheme="minorHAnsi"/>
          <w:iCs/>
          <w:sz w:val="26"/>
          <w:szCs w:val="26"/>
        </w:rPr>
        <w:t>, care prevăd aducerea la judecata căii de atac a condamnatului aflat în stare de detenţie sau internat într-un centru educativ. Răspunsul C</w:t>
      </w:r>
      <w:r w:rsidR="00534C25">
        <w:rPr>
          <w:rFonts w:asciiTheme="minorHAnsi" w:hAnsiTheme="minorHAnsi" w:cstheme="minorHAnsi"/>
          <w:iCs/>
          <w:sz w:val="26"/>
          <w:szCs w:val="26"/>
        </w:rPr>
        <w:t xml:space="preserve">.S.M. </w:t>
      </w:r>
      <w:r w:rsidRPr="00170A5F">
        <w:rPr>
          <w:rFonts w:asciiTheme="minorHAnsi" w:hAnsiTheme="minorHAnsi" w:cstheme="minorHAnsi"/>
          <w:iCs/>
          <w:sz w:val="26"/>
          <w:szCs w:val="26"/>
        </w:rPr>
        <w:t xml:space="preserve">a fost comunicat Senatului României </w:t>
      </w:r>
      <w:r w:rsidRPr="00170A5F">
        <w:rPr>
          <w:rFonts w:asciiTheme="minorHAnsi" w:hAnsiTheme="minorHAnsi" w:cstheme="minorHAnsi"/>
          <w:sz w:val="26"/>
          <w:szCs w:val="26"/>
        </w:rPr>
        <w:t>cu adresa nr. 3/5040/28.04.2025.</w:t>
      </w:r>
    </w:p>
    <w:p w14:paraId="59F2E646" w14:textId="77777777" w:rsidR="00170A5F" w:rsidRPr="00A35EF2" w:rsidRDefault="00170A5F" w:rsidP="009E3AD8">
      <w:pPr>
        <w:spacing w:line="276" w:lineRule="auto"/>
        <w:ind w:firstLine="708"/>
        <w:jc w:val="both"/>
        <w:rPr>
          <w:rStyle w:val="NoSpacingChar"/>
          <w:rFonts w:asciiTheme="minorHAnsi" w:hAnsiTheme="minorHAnsi" w:cstheme="minorHAnsi"/>
          <w:sz w:val="26"/>
          <w:szCs w:val="26"/>
          <w:lang w:val="fr-FR"/>
        </w:rPr>
      </w:pPr>
      <w:r w:rsidRPr="00170A5F">
        <w:rPr>
          <w:rFonts w:asciiTheme="minorHAnsi" w:hAnsiTheme="minorHAnsi" w:cstheme="minorHAnsi"/>
          <w:sz w:val="26"/>
          <w:szCs w:val="26"/>
        </w:rPr>
        <w:t>În ședința din data de 24 aprilie 2025, Comisia nr. 1 - reunită „Legislație și cooperare interinstituțională” a analizat</w:t>
      </w:r>
      <w:r w:rsidRPr="00A35EF2">
        <w:rPr>
          <w:rStyle w:val="NoSpacingChar"/>
          <w:rFonts w:asciiTheme="minorHAnsi" w:hAnsiTheme="minorHAnsi" w:cstheme="minorHAnsi"/>
          <w:sz w:val="26"/>
          <w:szCs w:val="26"/>
          <w:lang w:val="ro-RO"/>
        </w:rPr>
        <w:t xml:space="preserve"> </w:t>
      </w:r>
      <w:r w:rsidRPr="00170A5F">
        <w:rPr>
          <w:rFonts w:asciiTheme="minorHAnsi" w:hAnsiTheme="minorHAnsi" w:cstheme="minorHAnsi"/>
          <w:sz w:val="26"/>
          <w:szCs w:val="26"/>
        </w:rPr>
        <w:t xml:space="preserve">Propunerea legislativă </w:t>
      </w:r>
      <w:r w:rsidRPr="00170A5F">
        <w:rPr>
          <w:rFonts w:asciiTheme="minorHAnsi" w:hAnsiTheme="minorHAnsi" w:cstheme="minorHAnsi"/>
          <w:iCs/>
          <w:sz w:val="26"/>
          <w:szCs w:val="26"/>
        </w:rPr>
        <w:t>privind unele măsuri pentru prevenirea și combaterea antisemitismului, xenofobiei, radicalizării și a discursului instigator la ură</w:t>
      </w:r>
      <w:r w:rsidRPr="00170A5F">
        <w:rPr>
          <w:rFonts w:asciiTheme="minorHAnsi" w:hAnsiTheme="minorHAnsi" w:cstheme="minorHAnsi"/>
          <w:sz w:val="26"/>
          <w:szCs w:val="26"/>
        </w:rPr>
        <w:t xml:space="preserve"> (b98/25.03.2025).</w:t>
      </w:r>
      <w:r w:rsidRPr="00A35EF2">
        <w:rPr>
          <w:rStyle w:val="NoSpacingChar"/>
          <w:rFonts w:asciiTheme="minorHAnsi" w:hAnsiTheme="minorHAnsi" w:cstheme="minorHAnsi"/>
          <w:sz w:val="26"/>
          <w:szCs w:val="26"/>
          <w:lang w:val="ro-RO"/>
        </w:rPr>
        <w:t xml:space="preserve"> </w:t>
      </w:r>
      <w:proofErr w:type="spellStart"/>
      <w:r w:rsidRPr="00A35EF2">
        <w:rPr>
          <w:rStyle w:val="NoSpacingChar"/>
          <w:rFonts w:asciiTheme="minorHAnsi" w:hAnsiTheme="minorHAnsi" w:cstheme="minorHAnsi"/>
          <w:sz w:val="26"/>
          <w:szCs w:val="26"/>
          <w:lang w:val="fr-FR"/>
        </w:rPr>
        <w:t>Punctul</w:t>
      </w:r>
      <w:proofErr w:type="spellEnd"/>
      <w:r w:rsidRPr="00A35EF2">
        <w:rPr>
          <w:rStyle w:val="NoSpacingChar"/>
          <w:rFonts w:asciiTheme="minorHAnsi" w:hAnsiTheme="minorHAnsi" w:cstheme="minorHAnsi"/>
          <w:sz w:val="26"/>
          <w:szCs w:val="26"/>
          <w:lang w:val="fr-FR"/>
        </w:rPr>
        <w:t xml:space="preserve"> de </w:t>
      </w:r>
      <w:proofErr w:type="spellStart"/>
      <w:r w:rsidRPr="00A35EF2">
        <w:rPr>
          <w:rStyle w:val="NoSpacingChar"/>
          <w:rFonts w:asciiTheme="minorHAnsi" w:hAnsiTheme="minorHAnsi" w:cstheme="minorHAnsi"/>
          <w:sz w:val="26"/>
          <w:szCs w:val="26"/>
          <w:lang w:val="fr-FR"/>
        </w:rPr>
        <w:t>vedere</w:t>
      </w:r>
      <w:proofErr w:type="spellEnd"/>
      <w:r w:rsidRPr="00A35EF2">
        <w:rPr>
          <w:rStyle w:val="NoSpacingChar"/>
          <w:rFonts w:asciiTheme="minorHAnsi" w:hAnsiTheme="minorHAnsi" w:cstheme="minorHAnsi"/>
          <w:sz w:val="26"/>
          <w:szCs w:val="26"/>
          <w:lang w:val="fr-FR"/>
        </w:rPr>
        <w:t xml:space="preserve"> al </w:t>
      </w:r>
      <w:proofErr w:type="spellStart"/>
      <w:r w:rsidRPr="00A35EF2">
        <w:rPr>
          <w:rStyle w:val="NoSpacingChar"/>
          <w:rFonts w:asciiTheme="minorHAnsi" w:hAnsiTheme="minorHAnsi" w:cstheme="minorHAnsi"/>
          <w:sz w:val="26"/>
          <w:szCs w:val="26"/>
          <w:lang w:val="fr-FR"/>
        </w:rPr>
        <w:t>Comisiei</w:t>
      </w:r>
      <w:proofErr w:type="spellEnd"/>
      <w:r w:rsidRPr="00A35EF2">
        <w:rPr>
          <w:rStyle w:val="NoSpacingChar"/>
          <w:rFonts w:asciiTheme="minorHAnsi" w:hAnsiTheme="minorHAnsi" w:cstheme="minorHAnsi"/>
          <w:sz w:val="26"/>
          <w:szCs w:val="26"/>
          <w:lang w:val="fr-FR"/>
        </w:rPr>
        <w:t xml:space="preserve"> a </w:t>
      </w:r>
      <w:proofErr w:type="spellStart"/>
      <w:r w:rsidRPr="00A35EF2">
        <w:rPr>
          <w:rStyle w:val="NoSpacingChar"/>
          <w:rFonts w:asciiTheme="minorHAnsi" w:hAnsiTheme="minorHAnsi" w:cstheme="minorHAnsi"/>
          <w:sz w:val="26"/>
          <w:szCs w:val="26"/>
          <w:lang w:val="fr-FR"/>
        </w:rPr>
        <w:t>fost</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comunicat</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Senatului</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României</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prin</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adresa</w:t>
      </w:r>
      <w:proofErr w:type="spellEnd"/>
      <w:r w:rsidRPr="00A35EF2">
        <w:rPr>
          <w:rStyle w:val="NoSpacingChar"/>
          <w:rFonts w:asciiTheme="minorHAnsi" w:hAnsiTheme="minorHAnsi" w:cstheme="minorHAnsi"/>
          <w:sz w:val="26"/>
          <w:szCs w:val="26"/>
          <w:lang w:val="fr-FR"/>
        </w:rPr>
        <w:t xml:space="preserve"> nr. 3/5037/28.04.2025.</w:t>
      </w:r>
    </w:p>
    <w:p w14:paraId="5678EE8F" w14:textId="075FD99E" w:rsidR="00170A5F" w:rsidRPr="00170A5F" w:rsidRDefault="00170A5F" w:rsidP="009E3AD8">
      <w:pPr>
        <w:spacing w:line="276" w:lineRule="auto"/>
        <w:ind w:firstLine="708"/>
        <w:jc w:val="both"/>
        <w:rPr>
          <w:rFonts w:asciiTheme="minorHAnsi" w:hAnsiTheme="minorHAnsi" w:cstheme="minorHAnsi"/>
          <w:sz w:val="26"/>
          <w:szCs w:val="26"/>
        </w:rPr>
      </w:pPr>
      <w:r w:rsidRPr="00170A5F">
        <w:rPr>
          <w:rFonts w:asciiTheme="minorHAnsi" w:hAnsiTheme="minorHAnsi" w:cstheme="minorHAnsi"/>
          <w:sz w:val="26"/>
          <w:szCs w:val="26"/>
        </w:rPr>
        <w:t xml:space="preserve">În ședința din data de 15 mai 2025, Comisia nr. 1 - reunită „Legislație și cooperare interinstituțională” a analizat </w:t>
      </w:r>
      <w:r w:rsidRPr="00170A5F">
        <w:rPr>
          <w:rFonts w:asciiTheme="minorHAnsi" w:hAnsiTheme="minorHAnsi" w:cstheme="minorHAnsi"/>
          <w:iCs/>
          <w:sz w:val="26"/>
          <w:szCs w:val="26"/>
        </w:rPr>
        <w:t>Propunerea legislativă privind prevenirea și combaterea consumului de droguri în rândul minorilor și al tinerilor (b113/31.03.2025)</w:t>
      </w:r>
      <w:r w:rsidRPr="00170A5F">
        <w:rPr>
          <w:rFonts w:asciiTheme="minorHAnsi" w:hAnsiTheme="minorHAnsi" w:cstheme="minorHAnsi"/>
          <w:sz w:val="26"/>
          <w:szCs w:val="26"/>
        </w:rPr>
        <w:t xml:space="preserve">. Analizând propunerea legislativă, Comisia a constatat că aceasta </w:t>
      </w:r>
      <w:r w:rsidRPr="00170A5F">
        <w:rPr>
          <w:rFonts w:asciiTheme="minorHAnsi" w:hAnsiTheme="minorHAnsi" w:cstheme="minorHAnsi"/>
          <w:bCs/>
          <w:sz w:val="26"/>
          <w:szCs w:val="26"/>
        </w:rPr>
        <w:t xml:space="preserve">ridică serioase probleme de compatibilitate cu arhitectura sistemului de drept penal român, punând în discuție aspecte fundamentale ce țin atât de coerența reglementării, cât și de respectarea principiilor de drept penal material. Comisia a apreciat că propunerea legislativă nu ar putea fi integrată în dreptul penal pozitiv, întrucât afectează unitatea și coerența sistemului normativ, contravine unor principii esențiale ale dreptului penal și nu este susținută de o fundamentare riguroasă. </w:t>
      </w:r>
      <w:r w:rsidRPr="00170A5F">
        <w:rPr>
          <w:rFonts w:asciiTheme="minorHAnsi" w:hAnsiTheme="minorHAnsi" w:cstheme="minorHAnsi"/>
          <w:iCs/>
          <w:sz w:val="26"/>
          <w:szCs w:val="26"/>
        </w:rPr>
        <w:t>Răspunsul C</w:t>
      </w:r>
      <w:r w:rsidR="00534C25">
        <w:rPr>
          <w:rFonts w:asciiTheme="minorHAnsi" w:hAnsiTheme="minorHAnsi" w:cstheme="minorHAnsi"/>
          <w:iCs/>
          <w:sz w:val="26"/>
          <w:szCs w:val="26"/>
        </w:rPr>
        <w:t>.S.M.</w:t>
      </w:r>
      <w:r w:rsidRPr="00170A5F">
        <w:rPr>
          <w:rFonts w:asciiTheme="minorHAnsi" w:hAnsiTheme="minorHAnsi" w:cstheme="minorHAnsi"/>
          <w:iCs/>
          <w:sz w:val="26"/>
          <w:szCs w:val="26"/>
        </w:rPr>
        <w:t xml:space="preserve"> a fost comunicat Senatului României </w:t>
      </w:r>
      <w:r w:rsidRPr="00170A5F">
        <w:rPr>
          <w:rFonts w:asciiTheme="minorHAnsi" w:hAnsiTheme="minorHAnsi" w:cstheme="minorHAnsi"/>
          <w:sz w:val="26"/>
          <w:szCs w:val="26"/>
        </w:rPr>
        <w:t xml:space="preserve">cu adresa nr. 5373/19.05.2025. </w:t>
      </w:r>
    </w:p>
    <w:p w14:paraId="7864C9B3" w14:textId="0335F243" w:rsidR="00170A5F" w:rsidRPr="00170A5F" w:rsidRDefault="00170A5F" w:rsidP="009E3AD8">
      <w:pPr>
        <w:spacing w:line="276" w:lineRule="auto"/>
        <w:ind w:firstLine="708"/>
        <w:jc w:val="both"/>
        <w:rPr>
          <w:rFonts w:asciiTheme="minorHAnsi" w:hAnsiTheme="minorHAnsi" w:cstheme="minorHAnsi"/>
          <w:sz w:val="26"/>
          <w:szCs w:val="26"/>
        </w:rPr>
      </w:pPr>
      <w:r w:rsidRPr="00170A5F">
        <w:rPr>
          <w:rFonts w:asciiTheme="minorHAnsi" w:hAnsiTheme="minorHAnsi" w:cstheme="minorHAnsi"/>
          <w:sz w:val="26"/>
          <w:szCs w:val="26"/>
        </w:rPr>
        <w:t xml:space="preserve">În ședința din data de 15 mai 2025, Comisia nr. 1 - judecători „Legislație și cooperare interinstituțională” a analizat </w:t>
      </w:r>
      <w:r w:rsidRPr="00170A5F">
        <w:rPr>
          <w:rFonts w:asciiTheme="minorHAnsi" w:hAnsiTheme="minorHAnsi" w:cstheme="minorHAnsi"/>
          <w:iCs/>
          <w:sz w:val="26"/>
          <w:szCs w:val="26"/>
        </w:rPr>
        <w:t xml:space="preserve">Propunerea legislativă pentru completarea art. 220 din Legea nr. 134/2010 privind Codul de procedură civilă (b100/25.03.2025). Comisia a apreciat că </w:t>
      </w:r>
      <w:r w:rsidRPr="00170A5F">
        <w:rPr>
          <w:rFonts w:asciiTheme="minorHAnsi" w:hAnsiTheme="minorHAnsi" w:cstheme="minorHAnsi"/>
          <w:bCs/>
          <w:color w:val="000000"/>
          <w:sz w:val="26"/>
          <w:szCs w:val="26"/>
        </w:rPr>
        <w:t xml:space="preserve">participarea </w:t>
      </w:r>
      <w:r w:rsidRPr="00170A5F">
        <w:rPr>
          <w:rFonts w:asciiTheme="minorHAnsi" w:hAnsiTheme="minorHAnsi" w:cstheme="minorHAnsi"/>
          <w:bCs/>
          <w:color w:val="000000"/>
          <w:sz w:val="26"/>
          <w:szCs w:val="26"/>
        </w:rPr>
        <w:lastRenderedPageBreak/>
        <w:t xml:space="preserve">la ședință prin videoconferință ar trebui să fie o opțiune la aprecierea instanței, care este ținută de asigurarea tuturor exigențelor egalității în drepturi, dreptului la un proces echitabil, dreptului la apărare și înfăptuirii justiției, instanța fiind cea care trebuie să decidă desfășurarea ședințelor prin mijloace de telecomunicaţie audiovizuală. </w:t>
      </w:r>
      <w:proofErr w:type="spellStart"/>
      <w:r w:rsidRPr="00A35EF2">
        <w:rPr>
          <w:rStyle w:val="NoSpacingChar"/>
          <w:rFonts w:asciiTheme="minorHAnsi" w:hAnsiTheme="minorHAnsi" w:cstheme="minorHAnsi"/>
          <w:sz w:val="26"/>
          <w:szCs w:val="26"/>
          <w:lang w:val="fr-FR"/>
        </w:rPr>
        <w:t>Punctul</w:t>
      </w:r>
      <w:proofErr w:type="spellEnd"/>
      <w:r w:rsidRPr="00A35EF2">
        <w:rPr>
          <w:rStyle w:val="NoSpacingChar"/>
          <w:rFonts w:asciiTheme="minorHAnsi" w:hAnsiTheme="minorHAnsi" w:cstheme="minorHAnsi"/>
          <w:sz w:val="26"/>
          <w:szCs w:val="26"/>
          <w:lang w:val="fr-FR"/>
        </w:rPr>
        <w:t xml:space="preserve"> de </w:t>
      </w:r>
      <w:proofErr w:type="spellStart"/>
      <w:r w:rsidRPr="00A35EF2">
        <w:rPr>
          <w:rStyle w:val="NoSpacingChar"/>
          <w:rFonts w:asciiTheme="minorHAnsi" w:hAnsiTheme="minorHAnsi" w:cstheme="minorHAnsi"/>
          <w:sz w:val="26"/>
          <w:szCs w:val="26"/>
          <w:lang w:val="fr-FR"/>
        </w:rPr>
        <w:t>vedere</w:t>
      </w:r>
      <w:proofErr w:type="spellEnd"/>
      <w:r w:rsidRPr="00A35EF2">
        <w:rPr>
          <w:rStyle w:val="NoSpacingChar"/>
          <w:rFonts w:asciiTheme="minorHAnsi" w:hAnsiTheme="minorHAnsi" w:cstheme="minorHAnsi"/>
          <w:sz w:val="26"/>
          <w:szCs w:val="26"/>
          <w:lang w:val="fr-FR"/>
        </w:rPr>
        <w:t xml:space="preserve"> al </w:t>
      </w:r>
      <w:proofErr w:type="spellStart"/>
      <w:r w:rsidRPr="00A35EF2">
        <w:rPr>
          <w:rStyle w:val="NoSpacingChar"/>
          <w:rFonts w:asciiTheme="minorHAnsi" w:hAnsiTheme="minorHAnsi" w:cstheme="minorHAnsi"/>
          <w:sz w:val="26"/>
          <w:szCs w:val="26"/>
          <w:lang w:val="fr-FR"/>
        </w:rPr>
        <w:t>Comisiei</w:t>
      </w:r>
      <w:proofErr w:type="spellEnd"/>
      <w:r w:rsidRPr="00A35EF2">
        <w:rPr>
          <w:rStyle w:val="NoSpacingChar"/>
          <w:rFonts w:asciiTheme="minorHAnsi" w:hAnsiTheme="minorHAnsi" w:cstheme="minorHAnsi"/>
          <w:sz w:val="26"/>
          <w:szCs w:val="26"/>
          <w:lang w:val="fr-FR"/>
        </w:rPr>
        <w:t xml:space="preserve"> a </w:t>
      </w:r>
      <w:proofErr w:type="spellStart"/>
      <w:r w:rsidRPr="00A35EF2">
        <w:rPr>
          <w:rStyle w:val="NoSpacingChar"/>
          <w:rFonts w:asciiTheme="minorHAnsi" w:hAnsiTheme="minorHAnsi" w:cstheme="minorHAnsi"/>
          <w:sz w:val="26"/>
          <w:szCs w:val="26"/>
          <w:lang w:val="fr-FR"/>
        </w:rPr>
        <w:t>fost</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comunicat</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Senatului</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României</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prin</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adresa</w:t>
      </w:r>
      <w:proofErr w:type="spellEnd"/>
      <w:r w:rsidRPr="00A35EF2">
        <w:rPr>
          <w:rStyle w:val="NoSpacingChar"/>
          <w:rFonts w:asciiTheme="minorHAnsi" w:hAnsiTheme="minorHAnsi" w:cstheme="minorHAnsi"/>
          <w:sz w:val="26"/>
          <w:szCs w:val="26"/>
          <w:lang w:val="fr-FR"/>
        </w:rPr>
        <w:t xml:space="preserve"> nr. 3/5038/19.05.2025.</w:t>
      </w:r>
    </w:p>
    <w:p w14:paraId="4D9ACB7E" w14:textId="622CC255" w:rsidR="00170A5F" w:rsidRPr="00170A5F" w:rsidRDefault="00170A5F" w:rsidP="009E3AD8">
      <w:pPr>
        <w:spacing w:line="276" w:lineRule="auto"/>
        <w:ind w:firstLine="708"/>
        <w:jc w:val="both"/>
        <w:rPr>
          <w:rFonts w:asciiTheme="minorHAnsi" w:hAnsiTheme="minorHAnsi" w:cstheme="minorHAnsi"/>
          <w:sz w:val="26"/>
          <w:szCs w:val="26"/>
        </w:rPr>
      </w:pPr>
      <w:r w:rsidRPr="00170A5F">
        <w:rPr>
          <w:rFonts w:asciiTheme="minorHAnsi" w:hAnsiTheme="minorHAnsi" w:cstheme="minorHAnsi"/>
          <w:sz w:val="26"/>
          <w:szCs w:val="26"/>
        </w:rPr>
        <w:t xml:space="preserve">La solicitarea Senatului României, în ședința din data de 15 mai 2025, Comisia nr. 1 - reunită „Legislație și cooperare interinstituțională” a analizat </w:t>
      </w:r>
      <w:r w:rsidRPr="00170A5F">
        <w:rPr>
          <w:rFonts w:asciiTheme="minorHAnsi" w:hAnsiTheme="minorHAnsi" w:cstheme="minorHAnsi"/>
          <w:iCs/>
          <w:sz w:val="26"/>
          <w:szCs w:val="26"/>
        </w:rPr>
        <w:t xml:space="preserve">Propunerea legislativă </w:t>
      </w:r>
      <w:r w:rsidRPr="00170A5F">
        <w:rPr>
          <w:rFonts w:asciiTheme="minorHAnsi" w:hAnsiTheme="minorHAnsi" w:cstheme="minorHAnsi"/>
          <w:sz w:val="26"/>
          <w:szCs w:val="26"/>
        </w:rPr>
        <w:t xml:space="preserve"> pentru completarea </w:t>
      </w:r>
      <w:r w:rsidR="00C500BF">
        <w:rPr>
          <w:rFonts w:asciiTheme="minorHAnsi" w:hAnsiTheme="minorHAnsi" w:cstheme="minorHAnsi"/>
          <w:sz w:val="26"/>
          <w:szCs w:val="26"/>
        </w:rPr>
        <w:t xml:space="preserve">O.U.G. </w:t>
      </w:r>
      <w:r w:rsidRPr="00170A5F">
        <w:rPr>
          <w:rFonts w:asciiTheme="minorHAnsi" w:hAnsiTheme="minorHAnsi" w:cstheme="minorHAnsi"/>
          <w:sz w:val="26"/>
          <w:szCs w:val="26"/>
        </w:rPr>
        <w:t>nr. 195/2002 privind circulaţia pe drumurile publice (b108/27.03.2025).</w:t>
      </w:r>
      <w:r w:rsidRPr="00A35EF2">
        <w:rPr>
          <w:rStyle w:val="NoSpacingChar"/>
          <w:rFonts w:asciiTheme="minorHAnsi" w:hAnsiTheme="minorHAnsi" w:cstheme="minorHAnsi"/>
          <w:sz w:val="26"/>
          <w:szCs w:val="26"/>
          <w:lang w:val="ro-RO"/>
        </w:rPr>
        <w:t xml:space="preserve"> Punctul de vedere al Comisiei în sensul că proiectul nu poate fi adoptat în forma propusă a fost comunicat Senatului României, împreună cu argumentele care au fost avute în vedere, prin adresa </w:t>
      </w:r>
      <w:r w:rsidRPr="00170A5F">
        <w:rPr>
          <w:rFonts w:asciiTheme="minorHAnsi" w:hAnsiTheme="minorHAnsi" w:cstheme="minorHAnsi"/>
          <w:sz w:val="26"/>
          <w:szCs w:val="26"/>
        </w:rPr>
        <w:t>nr. 3/5041/21.05.2025.</w:t>
      </w:r>
    </w:p>
    <w:p w14:paraId="467D772A" w14:textId="1B4312B0" w:rsidR="00170A5F" w:rsidRPr="00170A5F" w:rsidRDefault="00170A5F" w:rsidP="009E3AD8">
      <w:pPr>
        <w:spacing w:line="276" w:lineRule="auto"/>
        <w:ind w:firstLine="708"/>
        <w:jc w:val="both"/>
        <w:rPr>
          <w:rFonts w:asciiTheme="minorHAnsi" w:hAnsiTheme="minorHAnsi" w:cstheme="minorHAnsi"/>
          <w:sz w:val="26"/>
          <w:szCs w:val="26"/>
        </w:rPr>
      </w:pPr>
      <w:r w:rsidRPr="00170A5F">
        <w:rPr>
          <w:rFonts w:asciiTheme="minorHAnsi" w:hAnsiTheme="minorHAnsi" w:cstheme="minorHAnsi"/>
          <w:sz w:val="26"/>
          <w:szCs w:val="26"/>
        </w:rPr>
        <w:t xml:space="preserve">În ședința din data de 15 mai 2025, Comisia nr. 1 - reunită „Legislație și cooperare interinstituțională” a analizat </w:t>
      </w:r>
      <w:r w:rsidRPr="00170A5F">
        <w:rPr>
          <w:rFonts w:asciiTheme="minorHAnsi" w:hAnsiTheme="minorHAnsi" w:cstheme="minorHAnsi"/>
          <w:iCs/>
          <w:sz w:val="26"/>
          <w:szCs w:val="26"/>
        </w:rPr>
        <w:t xml:space="preserve">Propunerea legislativă </w:t>
      </w:r>
      <w:r w:rsidRPr="00170A5F">
        <w:rPr>
          <w:rFonts w:asciiTheme="minorHAnsi" w:hAnsiTheme="minorHAnsi" w:cstheme="minorHAnsi"/>
          <w:sz w:val="26"/>
          <w:szCs w:val="26"/>
        </w:rPr>
        <w:t>pentru completarea Legii nr. 286/2009 privind Codul penal (b4/28.01.2025).</w:t>
      </w:r>
      <w:r w:rsidRPr="00170A5F">
        <w:rPr>
          <w:rFonts w:asciiTheme="minorHAnsi" w:hAnsiTheme="minorHAnsi" w:cstheme="minorHAnsi"/>
          <w:iCs/>
          <w:sz w:val="26"/>
          <w:szCs w:val="26"/>
        </w:rPr>
        <w:t xml:space="preserve"> Răspunsul C</w:t>
      </w:r>
      <w:r w:rsidR="00534C25">
        <w:rPr>
          <w:rFonts w:asciiTheme="minorHAnsi" w:hAnsiTheme="minorHAnsi" w:cstheme="minorHAnsi"/>
          <w:iCs/>
          <w:sz w:val="26"/>
          <w:szCs w:val="26"/>
        </w:rPr>
        <w:t xml:space="preserve">.S.M. </w:t>
      </w:r>
      <w:r w:rsidRPr="00170A5F">
        <w:rPr>
          <w:rFonts w:asciiTheme="minorHAnsi" w:hAnsiTheme="minorHAnsi" w:cstheme="minorHAnsi"/>
          <w:iCs/>
          <w:sz w:val="26"/>
          <w:szCs w:val="26"/>
        </w:rPr>
        <w:t xml:space="preserve">a fost comunicat Senatului României </w:t>
      </w:r>
      <w:r w:rsidRPr="00170A5F">
        <w:rPr>
          <w:rFonts w:asciiTheme="minorHAnsi" w:hAnsiTheme="minorHAnsi" w:cstheme="minorHAnsi"/>
          <w:sz w:val="26"/>
          <w:szCs w:val="26"/>
        </w:rPr>
        <w:t xml:space="preserve">cu adresa nr. 1980/04.06.2025. </w:t>
      </w:r>
    </w:p>
    <w:p w14:paraId="565170A8" w14:textId="4CDFDE93" w:rsidR="00170A5F" w:rsidRPr="00170A5F" w:rsidRDefault="00170A5F" w:rsidP="009E3AD8">
      <w:pPr>
        <w:tabs>
          <w:tab w:val="left" w:pos="709"/>
        </w:tabs>
        <w:spacing w:line="276" w:lineRule="auto"/>
        <w:ind w:firstLine="708"/>
        <w:jc w:val="both"/>
        <w:rPr>
          <w:rFonts w:asciiTheme="minorHAnsi" w:hAnsiTheme="minorHAnsi" w:cstheme="minorHAnsi"/>
          <w:bCs/>
          <w:iCs/>
          <w:sz w:val="26"/>
          <w:szCs w:val="26"/>
        </w:rPr>
      </w:pPr>
      <w:r w:rsidRPr="00A35EF2">
        <w:rPr>
          <w:rStyle w:val="NoSpacingChar"/>
          <w:rFonts w:asciiTheme="minorHAnsi" w:hAnsiTheme="minorHAnsi" w:cstheme="minorHAnsi"/>
          <w:sz w:val="26"/>
          <w:szCs w:val="26"/>
          <w:lang w:val="ro-RO"/>
        </w:rPr>
        <w:tab/>
      </w:r>
      <w:r w:rsidRPr="00170A5F">
        <w:rPr>
          <w:rFonts w:asciiTheme="minorHAnsi" w:hAnsiTheme="minorHAnsi" w:cstheme="minorHAnsi"/>
          <w:sz w:val="26"/>
          <w:szCs w:val="26"/>
        </w:rPr>
        <w:t xml:space="preserve">În ședința din data de 15 mai 2025, Comisia nr. 1 - reunită „Legislație și cooperare interinstituțională” a analizat </w:t>
      </w:r>
      <w:r w:rsidRPr="00170A5F">
        <w:rPr>
          <w:rFonts w:asciiTheme="minorHAnsi" w:hAnsiTheme="minorHAnsi" w:cstheme="minorHAnsi"/>
          <w:iCs/>
          <w:sz w:val="26"/>
          <w:szCs w:val="26"/>
        </w:rPr>
        <w:t xml:space="preserve">Propunerea legislativă </w:t>
      </w:r>
      <w:r w:rsidRPr="00170A5F">
        <w:rPr>
          <w:rFonts w:asciiTheme="minorHAnsi" w:hAnsiTheme="minorHAnsi" w:cstheme="minorHAnsi"/>
          <w:sz w:val="26"/>
          <w:szCs w:val="26"/>
        </w:rPr>
        <w:t>pentru modificarea art. 60 precum şi completarea Legii nr. 286/2009 privind Codul Penal, precum și modificarea art. 583 din Legea nr. 135/2010 privind Codul de procedură penală</w:t>
      </w:r>
      <w:r w:rsidRPr="00170A5F">
        <w:rPr>
          <w:rFonts w:asciiTheme="minorHAnsi" w:hAnsiTheme="minorHAnsi" w:cstheme="minorHAnsi"/>
          <w:iCs/>
          <w:sz w:val="26"/>
          <w:szCs w:val="26"/>
        </w:rPr>
        <w:t xml:space="preserve"> (b148/22.04.2025)</w:t>
      </w:r>
      <w:r w:rsidRPr="00170A5F">
        <w:rPr>
          <w:rFonts w:asciiTheme="minorHAnsi" w:hAnsiTheme="minorHAnsi" w:cstheme="minorHAnsi"/>
          <w:bCs/>
          <w:iCs/>
          <w:sz w:val="26"/>
          <w:szCs w:val="26"/>
          <w:lang w:eastAsia="ro-RO"/>
        </w:rPr>
        <w:t>.</w:t>
      </w:r>
      <w:r w:rsidRPr="00170A5F">
        <w:rPr>
          <w:rFonts w:asciiTheme="minorHAnsi" w:hAnsiTheme="minorHAnsi" w:cstheme="minorHAnsi"/>
          <w:sz w:val="26"/>
          <w:szCs w:val="26"/>
        </w:rPr>
        <w:t xml:space="preserve"> Propunerea legislativă a fost analizată din perspectiva exprimării unui punct de vedere,</w:t>
      </w:r>
      <w:r w:rsidRPr="00170A5F">
        <w:rPr>
          <w:rFonts w:asciiTheme="minorHAnsi" w:hAnsiTheme="minorHAnsi" w:cstheme="minorHAnsi"/>
          <w:iCs/>
          <w:sz w:val="26"/>
          <w:szCs w:val="26"/>
        </w:rPr>
        <w:t xml:space="preserve"> </w:t>
      </w:r>
      <w:r w:rsidRPr="00170A5F">
        <w:rPr>
          <w:rFonts w:asciiTheme="minorHAnsi" w:hAnsiTheme="minorHAnsi" w:cstheme="minorHAnsi"/>
          <w:sz w:val="26"/>
          <w:szCs w:val="26"/>
        </w:rPr>
        <w:t>comisia de specialitate a C</w:t>
      </w:r>
      <w:r w:rsidR="00534C25">
        <w:rPr>
          <w:rFonts w:asciiTheme="minorHAnsi" w:hAnsiTheme="minorHAnsi" w:cstheme="minorHAnsi"/>
          <w:sz w:val="26"/>
          <w:szCs w:val="26"/>
        </w:rPr>
        <w:t xml:space="preserve">.S.M. </w:t>
      </w:r>
      <w:r w:rsidRPr="00170A5F">
        <w:rPr>
          <w:rFonts w:asciiTheme="minorHAnsi" w:hAnsiTheme="minorHAnsi" w:cstheme="minorHAnsi"/>
          <w:iCs/>
          <w:sz w:val="26"/>
          <w:szCs w:val="26"/>
        </w:rPr>
        <w:t>apreciind că individualizarea pedepselor reprezintă o chestiune care ține de politica penală a statului, iar legiuitorului îi revine prerogativa identificării și implementării soluțiilor normative corespunzătoare pentru ca scopul acestora să poată fi realizat cât mai eficient.</w:t>
      </w:r>
      <w:r w:rsidRPr="00170A5F">
        <w:rPr>
          <w:rFonts w:asciiTheme="minorHAnsi" w:hAnsiTheme="minorHAnsi" w:cstheme="minorHAnsi"/>
          <w:b/>
          <w:bCs/>
          <w:iCs/>
          <w:sz w:val="26"/>
          <w:szCs w:val="26"/>
        </w:rPr>
        <w:t xml:space="preserve"> </w:t>
      </w:r>
      <w:r w:rsidRPr="00170A5F">
        <w:rPr>
          <w:rFonts w:asciiTheme="minorHAnsi" w:hAnsiTheme="minorHAnsi" w:cstheme="minorHAnsi"/>
          <w:bCs/>
          <w:iCs/>
          <w:sz w:val="26"/>
          <w:szCs w:val="26"/>
        </w:rPr>
        <w:t>Având în vedere toate deficiențele prezentate şi transmise Senatului cu adresa nr. 3/6338/16.05.2025, comisia de specialitate a C</w:t>
      </w:r>
      <w:r w:rsidR="00534C25">
        <w:rPr>
          <w:rFonts w:asciiTheme="minorHAnsi" w:hAnsiTheme="minorHAnsi" w:cstheme="minorHAnsi"/>
          <w:bCs/>
          <w:iCs/>
          <w:sz w:val="26"/>
          <w:szCs w:val="26"/>
        </w:rPr>
        <w:t xml:space="preserve">.S.M. a </w:t>
      </w:r>
      <w:r w:rsidRPr="00170A5F">
        <w:rPr>
          <w:rFonts w:asciiTheme="minorHAnsi" w:hAnsiTheme="minorHAnsi" w:cstheme="minorHAnsi"/>
          <w:bCs/>
          <w:iCs/>
          <w:sz w:val="26"/>
          <w:szCs w:val="26"/>
        </w:rPr>
        <w:t xml:space="preserve">apreciat că propunerea legislativă nu poate fi adoptată în forma propusă.    </w:t>
      </w:r>
    </w:p>
    <w:p w14:paraId="0D5BB42D" w14:textId="48C33C6D" w:rsidR="00170A5F" w:rsidRPr="00170A5F" w:rsidRDefault="00170A5F" w:rsidP="009E3AD8">
      <w:pPr>
        <w:pStyle w:val="Default"/>
        <w:spacing w:line="276" w:lineRule="auto"/>
        <w:ind w:firstLine="720"/>
        <w:jc w:val="both"/>
        <w:rPr>
          <w:rFonts w:asciiTheme="minorHAnsi" w:hAnsiTheme="minorHAnsi" w:cstheme="minorHAnsi"/>
          <w:color w:val="auto"/>
          <w:sz w:val="26"/>
          <w:szCs w:val="26"/>
        </w:rPr>
      </w:pPr>
      <w:r w:rsidRPr="00170A5F">
        <w:rPr>
          <w:rFonts w:asciiTheme="minorHAnsi" w:hAnsiTheme="minorHAnsi" w:cstheme="minorHAnsi"/>
          <w:sz w:val="26"/>
          <w:szCs w:val="26"/>
        </w:rPr>
        <w:t>Propunerea legislativă pentru modificarea art</w:t>
      </w:r>
      <w:r w:rsidR="00534C25">
        <w:rPr>
          <w:rFonts w:asciiTheme="minorHAnsi" w:hAnsiTheme="minorHAnsi" w:cstheme="minorHAnsi"/>
          <w:sz w:val="26"/>
          <w:szCs w:val="26"/>
        </w:rPr>
        <w:t xml:space="preserve">. </w:t>
      </w:r>
      <w:r w:rsidRPr="00170A5F">
        <w:rPr>
          <w:rFonts w:asciiTheme="minorHAnsi" w:hAnsiTheme="minorHAnsi" w:cstheme="minorHAnsi"/>
          <w:sz w:val="26"/>
          <w:szCs w:val="26"/>
        </w:rPr>
        <w:t xml:space="preserve">36 </w:t>
      </w:r>
      <w:r w:rsidR="00C500BF">
        <w:rPr>
          <w:rFonts w:asciiTheme="minorHAnsi" w:hAnsiTheme="minorHAnsi" w:cstheme="minorHAnsi"/>
          <w:sz w:val="26"/>
          <w:szCs w:val="26"/>
        </w:rPr>
        <w:t>ş</w:t>
      </w:r>
      <w:r w:rsidRPr="00170A5F">
        <w:rPr>
          <w:rFonts w:asciiTheme="minorHAnsi" w:hAnsiTheme="minorHAnsi" w:cstheme="minorHAnsi"/>
          <w:sz w:val="26"/>
          <w:szCs w:val="26"/>
        </w:rPr>
        <w:t xml:space="preserve">i </w:t>
      </w:r>
      <w:r w:rsidR="00534C25">
        <w:rPr>
          <w:rFonts w:asciiTheme="minorHAnsi" w:hAnsiTheme="minorHAnsi" w:cstheme="minorHAnsi"/>
          <w:sz w:val="26"/>
          <w:szCs w:val="26"/>
        </w:rPr>
        <w:t xml:space="preserve">art. </w:t>
      </w:r>
      <w:r w:rsidRPr="00170A5F">
        <w:rPr>
          <w:rFonts w:asciiTheme="minorHAnsi" w:hAnsiTheme="minorHAnsi" w:cstheme="minorHAnsi"/>
          <w:sz w:val="26"/>
          <w:szCs w:val="26"/>
        </w:rPr>
        <w:t>37 din Legea nr. 254</w:t>
      </w:r>
      <w:r w:rsidR="00545B8F">
        <w:rPr>
          <w:rFonts w:asciiTheme="minorHAnsi" w:hAnsiTheme="minorHAnsi" w:cstheme="minorHAnsi"/>
          <w:sz w:val="26"/>
          <w:szCs w:val="26"/>
        </w:rPr>
        <w:t>/</w:t>
      </w:r>
      <w:r w:rsidRPr="00170A5F">
        <w:rPr>
          <w:rFonts w:asciiTheme="minorHAnsi" w:hAnsiTheme="minorHAnsi" w:cstheme="minorHAnsi"/>
          <w:sz w:val="26"/>
          <w:szCs w:val="26"/>
        </w:rPr>
        <w:t>2013 privind executarea pedepselor şi a măsurilor privative de libertate dispuse de organele judiciare în cursul procesului penal (b150/22.04.2025) a fost analizată în ședința din data de 5 iunie 2025 a Comisiei nr. 1 - reunită „Legislație și cooperare interinstituțională”. Comisia de specialitate a C</w:t>
      </w:r>
      <w:r w:rsidR="00534C25">
        <w:rPr>
          <w:rFonts w:asciiTheme="minorHAnsi" w:hAnsiTheme="minorHAnsi" w:cstheme="minorHAnsi"/>
          <w:sz w:val="26"/>
          <w:szCs w:val="26"/>
        </w:rPr>
        <w:t xml:space="preserve">.S.M. </w:t>
      </w:r>
      <w:r w:rsidRPr="00170A5F">
        <w:rPr>
          <w:rFonts w:asciiTheme="minorHAnsi" w:hAnsiTheme="minorHAnsi" w:cstheme="minorHAnsi"/>
          <w:sz w:val="26"/>
          <w:szCs w:val="26"/>
        </w:rPr>
        <w:t xml:space="preserve">a constatat că prin iniţiativa legislativă analizată au fost formulate propuneri de modificare a încadrării persoanelor condamnate în regimurile de executare închis și semideschis. Potrivit celor reţinute de Comisie, </w:t>
      </w:r>
      <w:r w:rsidRPr="00170A5F">
        <w:rPr>
          <w:rFonts w:asciiTheme="minorHAnsi" w:hAnsiTheme="minorHAnsi" w:cstheme="minorHAnsi"/>
          <w:color w:val="auto"/>
          <w:sz w:val="26"/>
          <w:szCs w:val="26"/>
        </w:rPr>
        <w:t xml:space="preserve">iniţiativa legislativă prezintă o serie deficienţe, de natură a afecta calitatea și previzibilitatea legii. </w:t>
      </w:r>
      <w:r w:rsidRPr="00A35EF2">
        <w:rPr>
          <w:rStyle w:val="NoSpacingChar"/>
          <w:rFonts w:asciiTheme="minorHAnsi" w:hAnsiTheme="minorHAnsi" w:cstheme="minorHAnsi"/>
          <w:sz w:val="26"/>
          <w:szCs w:val="26"/>
          <w:lang w:val="ro-RO"/>
        </w:rPr>
        <w:t>Punctul de vedere al Comisiei a fost comunicat Senatului României prin adresa nr. 3/6344/10.06.2025.</w:t>
      </w:r>
    </w:p>
    <w:p w14:paraId="121BDF58" w14:textId="60CE35D1" w:rsidR="00170A5F" w:rsidRPr="00170A5F" w:rsidRDefault="00170A5F" w:rsidP="009E3AD8">
      <w:pPr>
        <w:spacing w:line="276" w:lineRule="auto"/>
        <w:ind w:firstLine="708"/>
        <w:jc w:val="both"/>
        <w:rPr>
          <w:rFonts w:asciiTheme="minorHAnsi" w:hAnsiTheme="minorHAnsi" w:cstheme="minorHAnsi"/>
          <w:sz w:val="26"/>
          <w:szCs w:val="26"/>
        </w:rPr>
      </w:pPr>
      <w:r w:rsidRPr="00170A5F">
        <w:rPr>
          <w:rFonts w:asciiTheme="minorHAnsi" w:hAnsiTheme="minorHAnsi" w:cstheme="minorHAnsi"/>
          <w:sz w:val="26"/>
          <w:szCs w:val="26"/>
        </w:rPr>
        <w:t xml:space="preserve">La solicitarea Senatului României, în ședința din data de 15 mai 2025, Comisia nr. 1 - reunită „Legislație și cooperare interinstituțională” a analizat </w:t>
      </w:r>
      <w:r w:rsidRPr="00170A5F">
        <w:rPr>
          <w:rFonts w:asciiTheme="minorHAnsi" w:hAnsiTheme="minorHAnsi" w:cstheme="minorHAnsi"/>
          <w:iCs/>
          <w:sz w:val="26"/>
          <w:szCs w:val="26"/>
        </w:rPr>
        <w:t xml:space="preserve">Propunerea legislativă </w:t>
      </w:r>
      <w:r w:rsidRPr="00170A5F">
        <w:rPr>
          <w:rFonts w:asciiTheme="minorHAnsi" w:hAnsiTheme="minorHAnsi" w:cstheme="minorHAnsi"/>
          <w:bCs/>
          <w:iCs/>
          <w:sz w:val="26"/>
          <w:szCs w:val="26"/>
        </w:rPr>
        <w:t xml:space="preserve">pentru modificarea </w:t>
      </w:r>
      <w:r w:rsidR="00545B8F">
        <w:rPr>
          <w:rFonts w:asciiTheme="minorHAnsi" w:hAnsiTheme="minorHAnsi" w:cstheme="minorHAnsi"/>
          <w:bCs/>
          <w:iCs/>
          <w:sz w:val="26"/>
          <w:szCs w:val="26"/>
        </w:rPr>
        <w:t xml:space="preserve">O.U.G. </w:t>
      </w:r>
      <w:r w:rsidRPr="00170A5F">
        <w:rPr>
          <w:rFonts w:asciiTheme="minorHAnsi" w:hAnsiTheme="minorHAnsi" w:cstheme="minorHAnsi"/>
          <w:bCs/>
          <w:iCs/>
          <w:sz w:val="26"/>
          <w:szCs w:val="26"/>
        </w:rPr>
        <w:t>nr. 83/1999 privind restituirea unor bunuri imobile care au aparţinut comunităţilor cetăţenilor aparţinând minorităţilor naţionale din România, pentru completarea O</w:t>
      </w:r>
      <w:r w:rsidR="00545B8F">
        <w:rPr>
          <w:rFonts w:asciiTheme="minorHAnsi" w:hAnsiTheme="minorHAnsi" w:cstheme="minorHAnsi"/>
          <w:bCs/>
          <w:iCs/>
          <w:sz w:val="26"/>
          <w:szCs w:val="26"/>
        </w:rPr>
        <w:t xml:space="preserve">.U.G. </w:t>
      </w:r>
      <w:r w:rsidRPr="00170A5F">
        <w:rPr>
          <w:rFonts w:asciiTheme="minorHAnsi" w:hAnsiTheme="minorHAnsi" w:cstheme="minorHAnsi"/>
          <w:bCs/>
          <w:iCs/>
          <w:sz w:val="26"/>
          <w:szCs w:val="26"/>
        </w:rPr>
        <w:t xml:space="preserve">nr. 94/2000 privind retrocedarea unor bunuri imobile care au aparţinut cultelor religioase din România, precum şi pentru modificarea şi completarea Legii nr. 165/2013 privind măsurile pentru finalizarea procesului de restituire, în natură sau prin echivalent, a imobilelor preluate în mod abuziv în perioada regimului comunist în România  </w:t>
      </w:r>
      <w:r w:rsidRPr="00170A5F">
        <w:rPr>
          <w:rFonts w:asciiTheme="minorHAnsi" w:hAnsiTheme="minorHAnsi" w:cstheme="minorHAnsi"/>
          <w:bCs/>
          <w:sz w:val="26"/>
          <w:szCs w:val="26"/>
        </w:rPr>
        <w:t>(</w:t>
      </w:r>
      <w:r w:rsidRPr="00170A5F">
        <w:rPr>
          <w:rFonts w:asciiTheme="minorHAnsi" w:hAnsiTheme="minorHAnsi" w:cstheme="minorHAnsi"/>
          <w:bCs/>
          <w:iCs/>
          <w:sz w:val="26"/>
          <w:szCs w:val="26"/>
        </w:rPr>
        <w:t>b94/24.03.2025)</w:t>
      </w:r>
      <w:r w:rsidRPr="00170A5F">
        <w:rPr>
          <w:rFonts w:asciiTheme="minorHAnsi" w:hAnsiTheme="minorHAnsi" w:cstheme="minorHAnsi"/>
          <w:sz w:val="26"/>
          <w:szCs w:val="26"/>
        </w:rPr>
        <w:t xml:space="preserve">. Punctul de vedere cu o </w:t>
      </w:r>
      <w:r w:rsidRPr="00170A5F">
        <w:rPr>
          <w:rFonts w:asciiTheme="minorHAnsi" w:hAnsiTheme="minorHAnsi" w:cstheme="minorHAnsi"/>
          <w:sz w:val="26"/>
          <w:szCs w:val="26"/>
        </w:rPr>
        <w:lastRenderedPageBreak/>
        <w:t>singură observaţie punctuală a fost comunicat Senatului României cu adresa nr. 3/4989/19.05.2025.</w:t>
      </w:r>
    </w:p>
    <w:p w14:paraId="5253E0E6" w14:textId="33AA3F46" w:rsidR="00170A5F" w:rsidRPr="00A35EF2" w:rsidRDefault="00170A5F" w:rsidP="009E3AD8">
      <w:pPr>
        <w:spacing w:line="276" w:lineRule="auto"/>
        <w:ind w:firstLine="708"/>
        <w:jc w:val="both"/>
        <w:rPr>
          <w:rStyle w:val="NoSpacingChar"/>
          <w:rFonts w:asciiTheme="minorHAnsi" w:hAnsiTheme="minorHAnsi" w:cstheme="minorHAnsi"/>
          <w:sz w:val="26"/>
          <w:szCs w:val="26"/>
          <w:lang w:val="fr-FR"/>
        </w:rPr>
      </w:pPr>
      <w:r w:rsidRPr="00170A5F">
        <w:rPr>
          <w:rFonts w:asciiTheme="minorHAnsi" w:hAnsiTheme="minorHAnsi" w:cstheme="minorHAnsi"/>
          <w:sz w:val="26"/>
          <w:szCs w:val="26"/>
        </w:rPr>
        <w:t xml:space="preserve">La solicitarea Senatului României, în ședința din data de </w:t>
      </w:r>
      <w:r w:rsidR="00E149CE">
        <w:rPr>
          <w:rFonts w:asciiTheme="minorHAnsi" w:hAnsiTheme="minorHAnsi" w:cstheme="minorHAnsi"/>
          <w:sz w:val="26"/>
          <w:szCs w:val="26"/>
        </w:rPr>
        <w:t>0</w:t>
      </w:r>
      <w:r w:rsidRPr="00170A5F">
        <w:rPr>
          <w:rFonts w:asciiTheme="minorHAnsi" w:hAnsiTheme="minorHAnsi" w:cstheme="minorHAnsi"/>
          <w:sz w:val="26"/>
          <w:szCs w:val="26"/>
        </w:rPr>
        <w:t xml:space="preserve">5 iunie 2025, Comisia nr. 1 judecători „Legislație și cooperare interinstituțională” a analizat </w:t>
      </w:r>
      <w:r w:rsidRPr="00170A5F">
        <w:rPr>
          <w:rFonts w:asciiTheme="minorHAnsi" w:hAnsiTheme="minorHAnsi" w:cstheme="minorHAnsi"/>
          <w:iCs/>
          <w:sz w:val="26"/>
          <w:szCs w:val="26"/>
        </w:rPr>
        <w:t xml:space="preserve">Propunerea legislativă </w:t>
      </w:r>
      <w:r w:rsidRPr="00170A5F">
        <w:rPr>
          <w:rFonts w:asciiTheme="minorHAnsi" w:hAnsiTheme="minorHAnsi" w:cstheme="minorHAnsi"/>
          <w:bCs/>
          <w:iCs/>
          <w:sz w:val="26"/>
          <w:szCs w:val="26"/>
        </w:rPr>
        <w:t xml:space="preserve">pentru </w:t>
      </w:r>
      <w:r w:rsidRPr="00170A5F">
        <w:rPr>
          <w:rFonts w:asciiTheme="minorHAnsi" w:hAnsiTheme="minorHAnsi" w:cstheme="minorHAnsi"/>
          <w:iCs/>
          <w:sz w:val="26"/>
          <w:szCs w:val="26"/>
        </w:rPr>
        <w:t xml:space="preserve">completarea Legii nr. 134/2010 privind Codul de procedură civilă (b136/14.04.2025). </w:t>
      </w:r>
      <w:r w:rsidRPr="00170A5F">
        <w:rPr>
          <w:rFonts w:asciiTheme="minorHAnsi" w:hAnsiTheme="minorHAnsi" w:cstheme="minorHAnsi"/>
          <w:color w:val="000000"/>
          <w:sz w:val="26"/>
          <w:szCs w:val="26"/>
        </w:rPr>
        <w:t xml:space="preserve">Comisia a apreciat că nu este necesară modificarea art. 150 alin. (2) din Codul de procedură civilă. </w:t>
      </w:r>
      <w:proofErr w:type="spellStart"/>
      <w:r w:rsidRPr="00A35EF2">
        <w:rPr>
          <w:rStyle w:val="NoSpacingChar"/>
          <w:rFonts w:asciiTheme="minorHAnsi" w:hAnsiTheme="minorHAnsi" w:cstheme="minorHAnsi"/>
          <w:sz w:val="26"/>
          <w:szCs w:val="26"/>
          <w:lang w:val="fr-FR"/>
        </w:rPr>
        <w:t>Punctul</w:t>
      </w:r>
      <w:proofErr w:type="spellEnd"/>
      <w:r w:rsidRPr="00A35EF2">
        <w:rPr>
          <w:rStyle w:val="NoSpacingChar"/>
          <w:rFonts w:asciiTheme="minorHAnsi" w:hAnsiTheme="minorHAnsi" w:cstheme="minorHAnsi"/>
          <w:sz w:val="26"/>
          <w:szCs w:val="26"/>
          <w:lang w:val="fr-FR"/>
        </w:rPr>
        <w:t xml:space="preserve"> de </w:t>
      </w:r>
      <w:proofErr w:type="spellStart"/>
      <w:r w:rsidRPr="00A35EF2">
        <w:rPr>
          <w:rStyle w:val="NoSpacingChar"/>
          <w:rFonts w:asciiTheme="minorHAnsi" w:hAnsiTheme="minorHAnsi" w:cstheme="minorHAnsi"/>
          <w:sz w:val="26"/>
          <w:szCs w:val="26"/>
          <w:lang w:val="fr-FR"/>
        </w:rPr>
        <w:t>vedere</w:t>
      </w:r>
      <w:proofErr w:type="spellEnd"/>
      <w:r w:rsidRPr="00A35EF2">
        <w:rPr>
          <w:rStyle w:val="NoSpacingChar"/>
          <w:rFonts w:asciiTheme="minorHAnsi" w:hAnsiTheme="minorHAnsi" w:cstheme="minorHAnsi"/>
          <w:sz w:val="26"/>
          <w:szCs w:val="26"/>
          <w:lang w:val="fr-FR"/>
        </w:rPr>
        <w:t xml:space="preserve"> al </w:t>
      </w:r>
      <w:proofErr w:type="spellStart"/>
      <w:r w:rsidRPr="00A35EF2">
        <w:rPr>
          <w:rStyle w:val="NoSpacingChar"/>
          <w:rFonts w:asciiTheme="minorHAnsi" w:hAnsiTheme="minorHAnsi" w:cstheme="minorHAnsi"/>
          <w:sz w:val="26"/>
          <w:szCs w:val="26"/>
          <w:lang w:val="fr-FR"/>
        </w:rPr>
        <w:t>Comisiei</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împreună</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cu</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argumentele</w:t>
      </w:r>
      <w:proofErr w:type="spellEnd"/>
      <w:r w:rsidRPr="00A35EF2">
        <w:rPr>
          <w:rStyle w:val="NoSpacingChar"/>
          <w:rFonts w:asciiTheme="minorHAnsi" w:hAnsiTheme="minorHAnsi" w:cstheme="minorHAnsi"/>
          <w:sz w:val="26"/>
          <w:szCs w:val="26"/>
          <w:lang w:val="fr-FR"/>
        </w:rPr>
        <w:t xml:space="preserve"> care au </w:t>
      </w:r>
      <w:proofErr w:type="spellStart"/>
      <w:r w:rsidRPr="00A35EF2">
        <w:rPr>
          <w:rStyle w:val="NoSpacingChar"/>
          <w:rFonts w:asciiTheme="minorHAnsi" w:hAnsiTheme="minorHAnsi" w:cstheme="minorHAnsi"/>
          <w:sz w:val="26"/>
          <w:szCs w:val="26"/>
          <w:lang w:val="fr-FR"/>
        </w:rPr>
        <w:t>fost</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avute</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în</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vedere</w:t>
      </w:r>
      <w:proofErr w:type="spellEnd"/>
      <w:r w:rsidRPr="00A35EF2">
        <w:rPr>
          <w:rStyle w:val="NoSpacingChar"/>
          <w:rFonts w:asciiTheme="minorHAnsi" w:hAnsiTheme="minorHAnsi" w:cstheme="minorHAnsi"/>
          <w:sz w:val="26"/>
          <w:szCs w:val="26"/>
          <w:lang w:val="fr-FR"/>
        </w:rPr>
        <w:t xml:space="preserve">, au </w:t>
      </w:r>
      <w:proofErr w:type="spellStart"/>
      <w:r w:rsidRPr="00A35EF2">
        <w:rPr>
          <w:rStyle w:val="NoSpacingChar"/>
          <w:rFonts w:asciiTheme="minorHAnsi" w:hAnsiTheme="minorHAnsi" w:cstheme="minorHAnsi"/>
          <w:sz w:val="26"/>
          <w:szCs w:val="26"/>
          <w:lang w:val="fr-FR"/>
        </w:rPr>
        <w:t>fost</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comunicate</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Senatului</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României</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prin</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adresa</w:t>
      </w:r>
      <w:proofErr w:type="spellEnd"/>
      <w:r w:rsidRPr="00A35EF2">
        <w:rPr>
          <w:rStyle w:val="NoSpacingChar"/>
          <w:rFonts w:asciiTheme="minorHAnsi" w:hAnsiTheme="minorHAnsi" w:cstheme="minorHAnsi"/>
          <w:sz w:val="26"/>
          <w:szCs w:val="26"/>
          <w:lang w:val="fr-FR"/>
        </w:rPr>
        <w:t xml:space="preserve"> nr. 3/6219/11.06.2025.</w:t>
      </w:r>
    </w:p>
    <w:p w14:paraId="76E7BEA7" w14:textId="69A9ECED" w:rsidR="00170A5F" w:rsidRPr="00A35EF2" w:rsidRDefault="00170A5F" w:rsidP="009E3AD8">
      <w:pPr>
        <w:spacing w:line="276" w:lineRule="auto"/>
        <w:ind w:firstLine="708"/>
        <w:jc w:val="both"/>
        <w:rPr>
          <w:rStyle w:val="NoSpacingChar"/>
          <w:rFonts w:asciiTheme="minorHAnsi" w:hAnsiTheme="minorHAnsi" w:cstheme="minorHAnsi"/>
          <w:sz w:val="26"/>
          <w:szCs w:val="26"/>
          <w:lang w:val="fr-FR"/>
        </w:rPr>
      </w:pPr>
      <w:r w:rsidRPr="00170A5F">
        <w:rPr>
          <w:rFonts w:asciiTheme="minorHAnsi" w:hAnsiTheme="minorHAnsi" w:cstheme="minorHAnsi"/>
          <w:sz w:val="26"/>
          <w:szCs w:val="26"/>
        </w:rPr>
        <w:t xml:space="preserve">În ședința din data de </w:t>
      </w:r>
      <w:r w:rsidR="004A56C9">
        <w:rPr>
          <w:rFonts w:asciiTheme="minorHAnsi" w:hAnsiTheme="minorHAnsi" w:cstheme="minorHAnsi"/>
          <w:sz w:val="26"/>
          <w:szCs w:val="26"/>
        </w:rPr>
        <w:t>0</w:t>
      </w:r>
      <w:r w:rsidRPr="00170A5F">
        <w:rPr>
          <w:rFonts w:asciiTheme="minorHAnsi" w:hAnsiTheme="minorHAnsi" w:cstheme="minorHAnsi"/>
          <w:sz w:val="26"/>
          <w:szCs w:val="26"/>
        </w:rPr>
        <w:t xml:space="preserve">5 iunie 2025, la solicitarea Senatului României, Comisia nr. 1 judecători „Legislație și cooperare interinstituțională” a analizat </w:t>
      </w:r>
      <w:r w:rsidRPr="00170A5F">
        <w:rPr>
          <w:rFonts w:asciiTheme="minorHAnsi" w:hAnsiTheme="minorHAnsi" w:cstheme="minorHAnsi"/>
          <w:iCs/>
          <w:sz w:val="26"/>
          <w:szCs w:val="26"/>
        </w:rPr>
        <w:t xml:space="preserve">Propunerea legislativă </w:t>
      </w:r>
      <w:r w:rsidRPr="00170A5F">
        <w:rPr>
          <w:rFonts w:asciiTheme="minorHAnsi" w:hAnsiTheme="minorHAnsi" w:cstheme="minorHAnsi"/>
          <w:bCs/>
          <w:iCs/>
          <w:sz w:val="26"/>
          <w:szCs w:val="26"/>
        </w:rPr>
        <w:t>pentru completarea Legii vânătorii și a protecției fondului cinegetic nr. 407/2006</w:t>
      </w:r>
      <w:r w:rsidRPr="00170A5F">
        <w:rPr>
          <w:rFonts w:asciiTheme="minorHAnsi" w:hAnsiTheme="minorHAnsi" w:cstheme="minorHAnsi"/>
          <w:bCs/>
          <w:sz w:val="26"/>
          <w:szCs w:val="26"/>
        </w:rPr>
        <w:t xml:space="preserve"> (</w:t>
      </w:r>
      <w:r w:rsidRPr="00170A5F">
        <w:rPr>
          <w:rFonts w:asciiTheme="minorHAnsi" w:hAnsiTheme="minorHAnsi" w:cstheme="minorHAnsi"/>
          <w:bCs/>
          <w:iCs/>
          <w:sz w:val="26"/>
          <w:szCs w:val="26"/>
        </w:rPr>
        <w:t>b172/13.05.2025).</w:t>
      </w:r>
      <w:r w:rsidRPr="00170A5F">
        <w:rPr>
          <w:rFonts w:asciiTheme="minorHAnsi" w:hAnsiTheme="minorHAnsi" w:cstheme="minorHAnsi"/>
          <w:sz w:val="26"/>
          <w:szCs w:val="26"/>
        </w:rPr>
        <w:t xml:space="preserve"> Plecând de la dezideratele invocate în expunerea de motive, comisia de specialitate a C</w:t>
      </w:r>
      <w:r w:rsidR="00534C25">
        <w:rPr>
          <w:rFonts w:asciiTheme="minorHAnsi" w:hAnsiTheme="minorHAnsi" w:cstheme="minorHAnsi"/>
          <w:sz w:val="26"/>
          <w:szCs w:val="26"/>
        </w:rPr>
        <w:t xml:space="preserve">.S.M. </w:t>
      </w:r>
      <w:r w:rsidRPr="00170A5F">
        <w:rPr>
          <w:rFonts w:asciiTheme="minorHAnsi" w:hAnsiTheme="minorHAnsi" w:cstheme="minorHAnsi"/>
          <w:sz w:val="26"/>
          <w:szCs w:val="26"/>
        </w:rPr>
        <w:t xml:space="preserve">a apreciat că este opțiunea legiuitorului să stabilească momentul de la care devine executorie hotărârea primei instanțe prin care s-a dispus suspendarea executării actelor administrative vizate de propunerea legislativă, în urma învestirii cu o cerere formulată în temeiul art. 14 din Legea nr. 554/2004. </w:t>
      </w:r>
      <w:proofErr w:type="spellStart"/>
      <w:r w:rsidRPr="00A35EF2">
        <w:rPr>
          <w:rStyle w:val="NoSpacingChar"/>
          <w:rFonts w:asciiTheme="minorHAnsi" w:hAnsiTheme="minorHAnsi" w:cstheme="minorHAnsi"/>
          <w:sz w:val="26"/>
          <w:szCs w:val="26"/>
          <w:lang w:val="fr-FR"/>
        </w:rPr>
        <w:t>Punctul</w:t>
      </w:r>
      <w:proofErr w:type="spellEnd"/>
      <w:r w:rsidRPr="00A35EF2">
        <w:rPr>
          <w:rStyle w:val="NoSpacingChar"/>
          <w:rFonts w:asciiTheme="minorHAnsi" w:hAnsiTheme="minorHAnsi" w:cstheme="minorHAnsi"/>
          <w:sz w:val="26"/>
          <w:szCs w:val="26"/>
          <w:lang w:val="fr-FR"/>
        </w:rPr>
        <w:t xml:space="preserve"> de </w:t>
      </w:r>
      <w:proofErr w:type="spellStart"/>
      <w:r w:rsidRPr="00A35EF2">
        <w:rPr>
          <w:rStyle w:val="NoSpacingChar"/>
          <w:rFonts w:asciiTheme="minorHAnsi" w:hAnsiTheme="minorHAnsi" w:cstheme="minorHAnsi"/>
          <w:sz w:val="26"/>
          <w:szCs w:val="26"/>
          <w:lang w:val="fr-FR"/>
        </w:rPr>
        <w:t>vedere</w:t>
      </w:r>
      <w:proofErr w:type="spellEnd"/>
      <w:r w:rsidRPr="00A35EF2">
        <w:rPr>
          <w:rStyle w:val="NoSpacingChar"/>
          <w:rFonts w:asciiTheme="minorHAnsi" w:hAnsiTheme="minorHAnsi" w:cstheme="minorHAnsi"/>
          <w:sz w:val="26"/>
          <w:szCs w:val="26"/>
          <w:lang w:val="fr-FR"/>
        </w:rPr>
        <w:t xml:space="preserve"> al </w:t>
      </w:r>
      <w:proofErr w:type="spellStart"/>
      <w:r w:rsidRPr="00A35EF2">
        <w:rPr>
          <w:rStyle w:val="NoSpacingChar"/>
          <w:rFonts w:asciiTheme="minorHAnsi" w:hAnsiTheme="minorHAnsi" w:cstheme="minorHAnsi"/>
          <w:sz w:val="26"/>
          <w:szCs w:val="26"/>
          <w:lang w:val="fr-FR"/>
        </w:rPr>
        <w:t>Comisiei</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împreună</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cu</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argumentele</w:t>
      </w:r>
      <w:proofErr w:type="spellEnd"/>
      <w:r w:rsidRPr="00A35EF2">
        <w:rPr>
          <w:rStyle w:val="NoSpacingChar"/>
          <w:rFonts w:asciiTheme="minorHAnsi" w:hAnsiTheme="minorHAnsi" w:cstheme="minorHAnsi"/>
          <w:sz w:val="26"/>
          <w:szCs w:val="26"/>
          <w:lang w:val="fr-FR"/>
        </w:rPr>
        <w:t xml:space="preserve"> care au </w:t>
      </w:r>
      <w:proofErr w:type="spellStart"/>
      <w:r w:rsidRPr="00A35EF2">
        <w:rPr>
          <w:rStyle w:val="NoSpacingChar"/>
          <w:rFonts w:asciiTheme="minorHAnsi" w:hAnsiTheme="minorHAnsi" w:cstheme="minorHAnsi"/>
          <w:sz w:val="26"/>
          <w:szCs w:val="26"/>
          <w:lang w:val="fr-FR"/>
        </w:rPr>
        <w:t>fost</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avute</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în</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vedere</w:t>
      </w:r>
      <w:proofErr w:type="spellEnd"/>
      <w:r w:rsidRPr="00A35EF2">
        <w:rPr>
          <w:rStyle w:val="NoSpacingChar"/>
          <w:rFonts w:asciiTheme="minorHAnsi" w:hAnsiTheme="minorHAnsi" w:cstheme="minorHAnsi"/>
          <w:sz w:val="26"/>
          <w:szCs w:val="26"/>
          <w:lang w:val="fr-FR"/>
        </w:rPr>
        <w:t xml:space="preserve">, au </w:t>
      </w:r>
      <w:proofErr w:type="spellStart"/>
      <w:r w:rsidRPr="00A35EF2">
        <w:rPr>
          <w:rStyle w:val="NoSpacingChar"/>
          <w:rFonts w:asciiTheme="minorHAnsi" w:hAnsiTheme="minorHAnsi" w:cstheme="minorHAnsi"/>
          <w:sz w:val="26"/>
          <w:szCs w:val="26"/>
          <w:lang w:val="fr-FR"/>
        </w:rPr>
        <w:t>fost</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comunicate</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Senatului</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României</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prin</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adresa</w:t>
      </w:r>
      <w:proofErr w:type="spellEnd"/>
      <w:r w:rsidRPr="00A35EF2">
        <w:rPr>
          <w:rStyle w:val="NoSpacingChar"/>
          <w:rFonts w:asciiTheme="minorHAnsi" w:hAnsiTheme="minorHAnsi" w:cstheme="minorHAnsi"/>
          <w:sz w:val="26"/>
          <w:szCs w:val="26"/>
          <w:lang w:val="fr-FR"/>
        </w:rPr>
        <w:t xml:space="preserve"> nr. 3/7122/11.06.2025.</w:t>
      </w:r>
    </w:p>
    <w:p w14:paraId="338A0A79" w14:textId="19290C17" w:rsidR="00170A5F" w:rsidRPr="00170A5F" w:rsidRDefault="00170A5F" w:rsidP="009E3AD8">
      <w:pPr>
        <w:spacing w:line="276" w:lineRule="auto"/>
        <w:ind w:firstLine="708"/>
        <w:jc w:val="both"/>
        <w:rPr>
          <w:rFonts w:asciiTheme="minorHAnsi" w:hAnsiTheme="minorHAnsi" w:cstheme="minorHAnsi"/>
          <w:sz w:val="26"/>
          <w:szCs w:val="26"/>
        </w:rPr>
      </w:pPr>
      <w:r w:rsidRPr="00170A5F">
        <w:rPr>
          <w:rFonts w:asciiTheme="minorHAnsi" w:hAnsiTheme="minorHAnsi" w:cstheme="minorHAnsi"/>
          <w:sz w:val="26"/>
          <w:szCs w:val="26"/>
        </w:rPr>
        <w:t xml:space="preserve">În ședința din data de </w:t>
      </w:r>
      <w:r w:rsidR="001453E1">
        <w:rPr>
          <w:rFonts w:asciiTheme="minorHAnsi" w:hAnsiTheme="minorHAnsi" w:cstheme="minorHAnsi"/>
          <w:sz w:val="26"/>
          <w:szCs w:val="26"/>
        </w:rPr>
        <w:t>0</w:t>
      </w:r>
      <w:r w:rsidRPr="00170A5F">
        <w:rPr>
          <w:rFonts w:asciiTheme="minorHAnsi" w:hAnsiTheme="minorHAnsi" w:cstheme="minorHAnsi"/>
          <w:sz w:val="26"/>
          <w:szCs w:val="26"/>
        </w:rPr>
        <w:t xml:space="preserve">5 iunie 2025, la solicitarea Senatului României, Comisia nr. 1 judecători „Legislație și cooperare interinstituțională” a analizat </w:t>
      </w:r>
      <w:r w:rsidRPr="00170A5F">
        <w:rPr>
          <w:rFonts w:asciiTheme="minorHAnsi" w:hAnsiTheme="minorHAnsi" w:cstheme="minorHAnsi"/>
          <w:iCs/>
          <w:sz w:val="26"/>
          <w:szCs w:val="26"/>
        </w:rPr>
        <w:t xml:space="preserve">Propunerea legislativă </w:t>
      </w:r>
      <w:r w:rsidRPr="00170A5F">
        <w:rPr>
          <w:rFonts w:asciiTheme="minorHAnsi" w:hAnsiTheme="minorHAnsi" w:cstheme="minorHAnsi"/>
          <w:bCs/>
          <w:iCs/>
          <w:sz w:val="26"/>
          <w:szCs w:val="26"/>
        </w:rPr>
        <w:t>pentru</w:t>
      </w:r>
      <w:r w:rsidRPr="00170A5F">
        <w:rPr>
          <w:rFonts w:asciiTheme="minorHAnsi" w:hAnsiTheme="minorHAnsi" w:cstheme="minorHAnsi"/>
          <w:sz w:val="26"/>
          <w:szCs w:val="26"/>
        </w:rPr>
        <w:t xml:space="preserve"> modificarea art. 77 lit. h) din Legea nr. 286/2009 privind Codul penal (b173/13.05.2025). </w:t>
      </w:r>
      <w:r w:rsidRPr="00A35EF2">
        <w:rPr>
          <w:rStyle w:val="NoSpacingChar"/>
          <w:rFonts w:asciiTheme="minorHAnsi" w:hAnsiTheme="minorHAnsi" w:cstheme="minorHAnsi"/>
          <w:sz w:val="26"/>
          <w:szCs w:val="26"/>
          <w:lang w:val="ro-RO"/>
        </w:rPr>
        <w:t xml:space="preserve">Punctul de vedere al Comisiei în sensul că proiectul nu poate fi adoptat în forma propusă a fost comunicat Senatului României, împreună cu argumentele care au fost avute în vedere, prin adresa </w:t>
      </w:r>
      <w:r w:rsidRPr="00170A5F">
        <w:rPr>
          <w:rFonts w:asciiTheme="minorHAnsi" w:hAnsiTheme="minorHAnsi" w:cstheme="minorHAnsi"/>
          <w:sz w:val="26"/>
          <w:szCs w:val="26"/>
        </w:rPr>
        <w:t>nr. 7212/10.06.2025.</w:t>
      </w:r>
    </w:p>
    <w:p w14:paraId="51C09CE5" w14:textId="4105BA8D" w:rsidR="00170A5F" w:rsidRPr="00170A5F" w:rsidRDefault="00170A5F" w:rsidP="009E3AD8">
      <w:pPr>
        <w:spacing w:line="276" w:lineRule="auto"/>
        <w:ind w:firstLine="708"/>
        <w:jc w:val="both"/>
        <w:rPr>
          <w:rFonts w:asciiTheme="minorHAnsi" w:hAnsiTheme="minorHAnsi" w:cstheme="minorHAnsi"/>
          <w:sz w:val="26"/>
          <w:szCs w:val="26"/>
        </w:rPr>
      </w:pPr>
      <w:r w:rsidRPr="00170A5F">
        <w:rPr>
          <w:rFonts w:asciiTheme="minorHAnsi" w:hAnsiTheme="minorHAnsi" w:cstheme="minorHAnsi"/>
          <w:sz w:val="26"/>
          <w:szCs w:val="26"/>
        </w:rPr>
        <w:t xml:space="preserve">La solicitarea Senatului României, în ședința din data de 26 iunie 2025, Comisia nr. 1 - reunită „Legislație și cooperare interinstituțională” a analizat </w:t>
      </w:r>
      <w:r w:rsidRPr="00170A5F">
        <w:rPr>
          <w:rFonts w:asciiTheme="minorHAnsi" w:hAnsiTheme="minorHAnsi" w:cstheme="minorHAnsi"/>
          <w:iCs/>
          <w:sz w:val="26"/>
          <w:szCs w:val="26"/>
        </w:rPr>
        <w:t xml:space="preserve">Propunerea legislativă </w:t>
      </w:r>
      <w:r w:rsidRPr="00170A5F">
        <w:rPr>
          <w:rFonts w:asciiTheme="minorHAnsi" w:hAnsiTheme="minorHAnsi" w:cstheme="minorHAnsi"/>
          <w:bCs/>
          <w:iCs/>
          <w:sz w:val="26"/>
          <w:szCs w:val="26"/>
        </w:rPr>
        <w:t xml:space="preserve">pentru </w:t>
      </w:r>
      <w:r w:rsidRPr="00170A5F">
        <w:rPr>
          <w:rFonts w:asciiTheme="minorHAnsi" w:hAnsiTheme="minorHAnsi" w:cstheme="minorHAnsi"/>
          <w:iCs/>
          <w:sz w:val="26"/>
          <w:szCs w:val="26"/>
        </w:rPr>
        <w:t>modificarea și completarea Legii nr. 272/2004 privind protecția și promovarea drepturilor copilului</w:t>
      </w:r>
      <w:r w:rsidRPr="00170A5F">
        <w:rPr>
          <w:rFonts w:asciiTheme="minorHAnsi" w:hAnsiTheme="minorHAnsi" w:cstheme="minorHAnsi"/>
          <w:i/>
          <w:iCs/>
          <w:sz w:val="26"/>
          <w:szCs w:val="26"/>
        </w:rPr>
        <w:t xml:space="preserve"> </w:t>
      </w:r>
      <w:r w:rsidRPr="00170A5F">
        <w:rPr>
          <w:rFonts w:asciiTheme="minorHAnsi" w:hAnsiTheme="minorHAnsi" w:cstheme="minorHAnsi"/>
          <w:sz w:val="26"/>
          <w:szCs w:val="26"/>
        </w:rPr>
        <w:t>(b183/27.05.2025).</w:t>
      </w:r>
      <w:r w:rsidRPr="00A35EF2">
        <w:rPr>
          <w:rStyle w:val="NoSpacingChar"/>
          <w:rFonts w:asciiTheme="minorHAnsi" w:hAnsiTheme="minorHAnsi" w:cstheme="minorHAnsi"/>
          <w:sz w:val="26"/>
          <w:szCs w:val="26"/>
          <w:lang w:val="ro-RO"/>
        </w:rPr>
        <w:t xml:space="preserve"> Punctul de vedere al Comisiei în sensul că proiectul nu poate fi adoptat în forma propusă de către iniţiator a fost comunicat Senatului României, împreună cu argumentele care au fost avute în vedere, prin adresa </w:t>
      </w:r>
      <w:r w:rsidRPr="00170A5F">
        <w:rPr>
          <w:rFonts w:asciiTheme="minorHAnsi" w:hAnsiTheme="minorHAnsi" w:cstheme="minorHAnsi"/>
          <w:sz w:val="26"/>
          <w:szCs w:val="26"/>
        </w:rPr>
        <w:t>nr. 3/8298/01.07.2025.</w:t>
      </w:r>
    </w:p>
    <w:p w14:paraId="654FEE55" w14:textId="431BAF32" w:rsidR="00170A5F" w:rsidRPr="00A35EF2" w:rsidRDefault="00170A5F" w:rsidP="009E3AD8">
      <w:pPr>
        <w:spacing w:line="276" w:lineRule="auto"/>
        <w:ind w:firstLine="708"/>
        <w:jc w:val="both"/>
        <w:rPr>
          <w:rStyle w:val="NoSpacingChar"/>
          <w:rFonts w:asciiTheme="minorHAnsi" w:hAnsiTheme="minorHAnsi" w:cstheme="minorHAnsi"/>
          <w:sz w:val="26"/>
          <w:szCs w:val="26"/>
          <w:lang w:val="ro-RO"/>
        </w:rPr>
      </w:pPr>
      <w:r w:rsidRPr="00170A5F">
        <w:rPr>
          <w:rFonts w:asciiTheme="minorHAnsi" w:hAnsiTheme="minorHAnsi" w:cstheme="minorHAnsi"/>
          <w:sz w:val="26"/>
          <w:szCs w:val="26"/>
        </w:rPr>
        <w:t xml:space="preserve">În ședința din data de 26 iunie 2025, la solicitarea Senatului României, Comisia nr. 1 - reunită „Legislație și cooperare interinstituțională” a analizat </w:t>
      </w:r>
      <w:r w:rsidRPr="00170A5F">
        <w:rPr>
          <w:rFonts w:asciiTheme="minorHAnsi" w:hAnsiTheme="minorHAnsi" w:cstheme="minorHAnsi"/>
          <w:iCs/>
          <w:sz w:val="26"/>
          <w:szCs w:val="26"/>
        </w:rPr>
        <w:t xml:space="preserve">Propunerea legislativă </w:t>
      </w:r>
      <w:r w:rsidRPr="00170A5F">
        <w:rPr>
          <w:rFonts w:asciiTheme="minorHAnsi" w:hAnsiTheme="minorHAnsi" w:cstheme="minorHAnsi"/>
          <w:bCs/>
          <w:iCs/>
          <w:sz w:val="26"/>
          <w:szCs w:val="26"/>
        </w:rPr>
        <w:t xml:space="preserve">pentru </w:t>
      </w:r>
      <w:r w:rsidRPr="00170A5F">
        <w:rPr>
          <w:rFonts w:asciiTheme="minorHAnsi" w:hAnsiTheme="minorHAnsi" w:cstheme="minorHAnsi"/>
          <w:iCs/>
          <w:sz w:val="26"/>
          <w:szCs w:val="26"/>
        </w:rPr>
        <w:t>modificarea Legii nr. 135/2010 privind Codul de procedură penală, republicat, cu modificările și completările ulterioare</w:t>
      </w:r>
      <w:r w:rsidRPr="00170A5F">
        <w:rPr>
          <w:rFonts w:asciiTheme="minorHAnsi" w:hAnsiTheme="minorHAnsi" w:cstheme="minorHAnsi"/>
          <w:sz w:val="26"/>
          <w:szCs w:val="26"/>
        </w:rPr>
        <w:t xml:space="preserve"> (b201/02.06.2025). </w:t>
      </w:r>
      <w:r w:rsidRPr="00A35EF2">
        <w:rPr>
          <w:rStyle w:val="NoSpacingChar"/>
          <w:rFonts w:asciiTheme="minorHAnsi" w:hAnsiTheme="minorHAnsi" w:cstheme="minorHAnsi"/>
          <w:sz w:val="26"/>
          <w:szCs w:val="26"/>
          <w:lang w:val="ro-RO"/>
        </w:rPr>
        <w:t xml:space="preserve">Punctul de vedere al Comisiei în sensul că proiectul nu poate fi adoptat în forma propusă de către iniţiator a fost comunicat Senatului României, împreună cu argumentele care au fost avute în vedere, prin adresa </w:t>
      </w:r>
      <w:r w:rsidRPr="00170A5F">
        <w:rPr>
          <w:rFonts w:asciiTheme="minorHAnsi" w:hAnsiTheme="minorHAnsi" w:cstheme="minorHAnsi"/>
          <w:sz w:val="26"/>
          <w:szCs w:val="26"/>
        </w:rPr>
        <w:t>nr. 3/8891/01.07.2025.</w:t>
      </w:r>
    </w:p>
    <w:p w14:paraId="4677175C" w14:textId="0BB6A6BA" w:rsidR="00170A5F" w:rsidRPr="00170A5F" w:rsidRDefault="00170A5F" w:rsidP="009E3AD8">
      <w:pPr>
        <w:spacing w:line="276" w:lineRule="auto"/>
        <w:ind w:firstLine="540"/>
        <w:jc w:val="both"/>
        <w:rPr>
          <w:rFonts w:asciiTheme="minorHAnsi" w:hAnsiTheme="minorHAnsi" w:cstheme="minorHAnsi"/>
          <w:sz w:val="26"/>
          <w:szCs w:val="26"/>
        </w:rPr>
      </w:pPr>
      <w:r w:rsidRPr="00A35EF2">
        <w:rPr>
          <w:rStyle w:val="NoSpacingChar"/>
          <w:rFonts w:asciiTheme="minorHAnsi" w:hAnsiTheme="minorHAnsi" w:cstheme="minorHAnsi"/>
          <w:sz w:val="26"/>
          <w:szCs w:val="26"/>
          <w:lang w:val="ro-RO"/>
        </w:rPr>
        <w:tab/>
      </w:r>
      <w:r w:rsidRPr="00170A5F">
        <w:rPr>
          <w:rFonts w:asciiTheme="minorHAnsi" w:hAnsiTheme="minorHAnsi" w:cstheme="minorHAnsi"/>
          <w:sz w:val="26"/>
          <w:szCs w:val="26"/>
        </w:rPr>
        <w:t xml:space="preserve">În ședința din data de 26 iunie 2025, la solicitarea Comisiei pentru muncă, familie și protecție socială a Senatului României, Comisia nr. 1 - reunită „Legislație și cooperare interinstituțională” a analizat </w:t>
      </w:r>
      <w:r w:rsidRPr="00170A5F">
        <w:rPr>
          <w:rFonts w:asciiTheme="minorHAnsi" w:hAnsiTheme="minorHAnsi" w:cstheme="minorHAnsi"/>
          <w:iCs/>
          <w:sz w:val="26"/>
          <w:szCs w:val="26"/>
        </w:rPr>
        <w:t>Propunerea legislativă</w:t>
      </w:r>
      <w:r w:rsidRPr="00170A5F">
        <w:rPr>
          <w:rFonts w:asciiTheme="minorHAnsi" w:hAnsiTheme="minorHAnsi" w:cstheme="minorHAnsi"/>
          <w:sz w:val="26"/>
          <w:szCs w:val="26"/>
        </w:rPr>
        <w:t xml:space="preserve"> privind modificarea unor acte normative din domeniul pensiilor de serviciu (L102/2025), în forma adoptată de Camera Deputaților. S-a constatat de către comisie că </w:t>
      </w:r>
      <w:r w:rsidRPr="00170A5F">
        <w:rPr>
          <w:rFonts w:asciiTheme="minorHAnsi" w:hAnsiTheme="minorHAnsi" w:cstheme="minorHAnsi"/>
          <w:color w:val="000000"/>
          <w:sz w:val="26"/>
          <w:szCs w:val="26"/>
        </w:rPr>
        <w:t>Plenul C</w:t>
      </w:r>
      <w:r w:rsidR="00534C25">
        <w:rPr>
          <w:rFonts w:asciiTheme="minorHAnsi" w:hAnsiTheme="minorHAnsi" w:cstheme="minorHAnsi"/>
          <w:color w:val="000000"/>
          <w:sz w:val="26"/>
          <w:szCs w:val="26"/>
        </w:rPr>
        <w:t xml:space="preserve">.S.M. </w:t>
      </w:r>
      <w:r w:rsidRPr="00170A5F">
        <w:rPr>
          <w:rFonts w:asciiTheme="minorHAnsi" w:hAnsiTheme="minorHAnsi" w:cstheme="minorHAnsi"/>
          <w:color w:val="000000"/>
          <w:sz w:val="26"/>
          <w:szCs w:val="26"/>
        </w:rPr>
        <w:t>a avizat negativ Propunerea legislativă privind modificarea unor acte normative din domeniul pensiilor de serviciu, prin Hotărârea nr. 60 din 15 aprilie 2025. Ţinând seama de deficiențele grave prezentate în cuprinsul avizului negativ exprimat de C</w:t>
      </w:r>
      <w:r w:rsidR="00534C25">
        <w:rPr>
          <w:rFonts w:asciiTheme="minorHAnsi" w:hAnsiTheme="minorHAnsi" w:cstheme="minorHAnsi"/>
          <w:color w:val="000000"/>
          <w:sz w:val="26"/>
          <w:szCs w:val="26"/>
        </w:rPr>
        <w:t>.S.M.</w:t>
      </w:r>
      <w:r w:rsidRPr="00170A5F">
        <w:rPr>
          <w:rFonts w:asciiTheme="minorHAnsi" w:hAnsiTheme="minorHAnsi" w:cstheme="minorHAnsi"/>
          <w:color w:val="000000"/>
          <w:sz w:val="26"/>
          <w:szCs w:val="26"/>
        </w:rPr>
        <w:t xml:space="preserve">, cât și de aspectele suplimentare care accentuează neconformitatea propunerii </w:t>
      </w:r>
      <w:r w:rsidRPr="00170A5F">
        <w:rPr>
          <w:rFonts w:asciiTheme="minorHAnsi" w:hAnsiTheme="minorHAnsi" w:cstheme="minorHAnsi"/>
          <w:color w:val="000000"/>
          <w:sz w:val="26"/>
          <w:szCs w:val="26"/>
        </w:rPr>
        <w:lastRenderedPageBreak/>
        <w:t xml:space="preserve">legislative cu principiile constituționale și cu exigențele care trebuie să caracterizeze statutul magistratului, Comisia a apreciat că </w:t>
      </w:r>
      <w:r w:rsidRPr="00170A5F">
        <w:rPr>
          <w:rFonts w:asciiTheme="minorHAnsi" w:hAnsiTheme="minorHAnsi" w:cstheme="minorHAnsi"/>
          <w:iCs/>
          <w:color w:val="000000"/>
          <w:sz w:val="26"/>
          <w:szCs w:val="26"/>
        </w:rPr>
        <w:t>Propunerea legislativă privind modificarea unor acte normative din domeniul pensiilor de serviciu</w:t>
      </w:r>
      <w:r w:rsidRPr="00170A5F">
        <w:rPr>
          <w:rFonts w:asciiTheme="minorHAnsi" w:hAnsiTheme="minorHAnsi" w:cstheme="minorHAnsi"/>
          <w:color w:val="000000"/>
          <w:sz w:val="26"/>
          <w:szCs w:val="26"/>
        </w:rPr>
        <w:t xml:space="preserve"> trebuie respinsă de către Senatul României, în calitate de cameră decizională. </w:t>
      </w:r>
      <w:proofErr w:type="spellStart"/>
      <w:r w:rsidRPr="00A35EF2">
        <w:rPr>
          <w:rStyle w:val="NoSpacingChar"/>
          <w:rFonts w:asciiTheme="minorHAnsi" w:hAnsiTheme="minorHAnsi" w:cstheme="minorHAnsi"/>
          <w:sz w:val="26"/>
          <w:szCs w:val="26"/>
          <w:lang w:val="fr-FR"/>
        </w:rPr>
        <w:t>Răspunsul</w:t>
      </w:r>
      <w:proofErr w:type="spellEnd"/>
      <w:r w:rsidR="00C734CC">
        <w:rPr>
          <w:rStyle w:val="NoSpacingChar"/>
          <w:rFonts w:asciiTheme="minorHAnsi" w:hAnsiTheme="minorHAnsi" w:cstheme="minorHAnsi"/>
          <w:sz w:val="26"/>
          <w:szCs w:val="26"/>
          <w:lang w:val="fr-FR"/>
        </w:rPr>
        <w:t xml:space="preserve"> </w:t>
      </w:r>
      <w:r w:rsidRPr="00A35EF2">
        <w:rPr>
          <w:rStyle w:val="NoSpacingChar"/>
          <w:rFonts w:asciiTheme="minorHAnsi" w:hAnsiTheme="minorHAnsi" w:cstheme="minorHAnsi"/>
          <w:sz w:val="26"/>
          <w:szCs w:val="26"/>
          <w:lang w:val="fr-FR"/>
        </w:rPr>
        <w:t xml:space="preserve">a </w:t>
      </w:r>
      <w:proofErr w:type="spellStart"/>
      <w:r w:rsidRPr="00A35EF2">
        <w:rPr>
          <w:rStyle w:val="NoSpacingChar"/>
          <w:rFonts w:asciiTheme="minorHAnsi" w:hAnsiTheme="minorHAnsi" w:cstheme="minorHAnsi"/>
          <w:sz w:val="26"/>
          <w:szCs w:val="26"/>
          <w:lang w:val="fr-FR"/>
        </w:rPr>
        <w:t>fost</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comunicat</w:t>
      </w:r>
      <w:proofErr w:type="spellEnd"/>
      <w:r w:rsidRPr="00A35EF2">
        <w:rPr>
          <w:rStyle w:val="NoSpacingChar"/>
          <w:rFonts w:asciiTheme="minorHAnsi" w:hAnsiTheme="minorHAnsi" w:cstheme="minorHAnsi"/>
          <w:sz w:val="26"/>
          <w:szCs w:val="26"/>
          <w:lang w:val="fr-FR"/>
        </w:rPr>
        <w:t xml:space="preserve"> </w:t>
      </w:r>
      <w:r w:rsidRPr="00170A5F">
        <w:rPr>
          <w:rFonts w:asciiTheme="minorHAnsi" w:hAnsiTheme="minorHAnsi" w:cstheme="minorHAnsi"/>
          <w:sz w:val="26"/>
          <w:szCs w:val="26"/>
        </w:rPr>
        <w:t>Comisiei pentru muncă, familie și protecție socială a Senatului României</w:t>
      </w:r>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cu</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adresa</w:t>
      </w:r>
      <w:proofErr w:type="spellEnd"/>
      <w:r w:rsidRPr="00A35EF2">
        <w:rPr>
          <w:rStyle w:val="NoSpacingChar"/>
          <w:rFonts w:asciiTheme="minorHAnsi" w:hAnsiTheme="minorHAnsi" w:cstheme="minorHAnsi"/>
          <w:sz w:val="26"/>
          <w:szCs w:val="26"/>
          <w:lang w:val="fr-FR"/>
        </w:rPr>
        <w:t xml:space="preserve"> </w:t>
      </w:r>
      <w:r w:rsidRPr="00170A5F">
        <w:rPr>
          <w:rFonts w:asciiTheme="minorHAnsi" w:hAnsiTheme="minorHAnsi" w:cstheme="minorHAnsi"/>
          <w:sz w:val="26"/>
          <w:szCs w:val="26"/>
        </w:rPr>
        <w:t>nr. 6/5259/04.07.2025.</w:t>
      </w:r>
    </w:p>
    <w:p w14:paraId="61C7EE26" w14:textId="5E04019A" w:rsidR="00170A5F" w:rsidRPr="00170A5F" w:rsidRDefault="00170A5F" w:rsidP="009E3AD8">
      <w:pPr>
        <w:spacing w:line="276" w:lineRule="auto"/>
        <w:ind w:firstLine="540"/>
        <w:jc w:val="both"/>
        <w:rPr>
          <w:rFonts w:asciiTheme="minorHAnsi" w:hAnsiTheme="minorHAnsi" w:cstheme="minorHAnsi"/>
          <w:sz w:val="26"/>
          <w:szCs w:val="26"/>
        </w:rPr>
      </w:pPr>
      <w:r w:rsidRPr="00170A5F">
        <w:rPr>
          <w:rFonts w:asciiTheme="minorHAnsi" w:hAnsiTheme="minorHAnsi" w:cstheme="minorHAnsi"/>
          <w:sz w:val="26"/>
          <w:szCs w:val="26"/>
        </w:rPr>
        <w:t xml:space="preserve"> În ședința din data de </w:t>
      </w:r>
      <w:r w:rsidR="00F92E28">
        <w:rPr>
          <w:rFonts w:asciiTheme="minorHAnsi" w:hAnsiTheme="minorHAnsi" w:cstheme="minorHAnsi"/>
          <w:sz w:val="26"/>
          <w:szCs w:val="26"/>
        </w:rPr>
        <w:t>0</w:t>
      </w:r>
      <w:r w:rsidRPr="00170A5F">
        <w:rPr>
          <w:rFonts w:asciiTheme="minorHAnsi" w:hAnsiTheme="minorHAnsi" w:cstheme="minorHAnsi"/>
          <w:sz w:val="26"/>
          <w:szCs w:val="26"/>
        </w:rPr>
        <w:t xml:space="preserve">4 septembrie 2025, la solicitarea Senatului României, Comisia nr. 1 - reunită „Legislație și cooperare interinstituțională” a analizat </w:t>
      </w:r>
      <w:r w:rsidRPr="00170A5F">
        <w:rPr>
          <w:rFonts w:asciiTheme="minorHAnsi" w:hAnsiTheme="minorHAnsi" w:cstheme="minorHAnsi"/>
          <w:iCs/>
          <w:sz w:val="26"/>
          <w:szCs w:val="26"/>
        </w:rPr>
        <w:t xml:space="preserve">Propunerea legislativă </w:t>
      </w:r>
      <w:r w:rsidRPr="00170A5F">
        <w:rPr>
          <w:rFonts w:asciiTheme="minorHAnsi" w:hAnsiTheme="minorHAnsi" w:cstheme="minorHAnsi"/>
          <w:bCs/>
          <w:iCs/>
          <w:sz w:val="26"/>
          <w:szCs w:val="26"/>
        </w:rPr>
        <w:t xml:space="preserve">pentru </w:t>
      </w:r>
      <w:r w:rsidRPr="00170A5F">
        <w:rPr>
          <w:rFonts w:asciiTheme="minorHAnsi" w:hAnsiTheme="minorHAnsi" w:cstheme="minorHAnsi"/>
          <w:iCs/>
          <w:sz w:val="26"/>
          <w:szCs w:val="26"/>
        </w:rPr>
        <w:t>modificarea Legii nr. 143/2000, republicată, privind prevenirea și combaterea traficului și consumului ilicit de droguri</w:t>
      </w:r>
      <w:r w:rsidRPr="00170A5F">
        <w:rPr>
          <w:rFonts w:asciiTheme="minorHAnsi" w:hAnsiTheme="minorHAnsi" w:cstheme="minorHAnsi"/>
          <w:sz w:val="26"/>
          <w:szCs w:val="26"/>
        </w:rPr>
        <w:t xml:space="preserve"> (b200/02.06.2025). </w:t>
      </w:r>
      <w:proofErr w:type="spellStart"/>
      <w:r w:rsidRPr="00A35EF2">
        <w:rPr>
          <w:rStyle w:val="NoSpacingChar"/>
          <w:rFonts w:asciiTheme="minorHAnsi" w:hAnsiTheme="minorHAnsi" w:cstheme="minorHAnsi"/>
          <w:sz w:val="26"/>
          <w:szCs w:val="26"/>
          <w:lang w:val="fr-FR"/>
        </w:rPr>
        <w:t>Punctul</w:t>
      </w:r>
      <w:proofErr w:type="spellEnd"/>
      <w:r w:rsidRPr="00A35EF2">
        <w:rPr>
          <w:rStyle w:val="NoSpacingChar"/>
          <w:rFonts w:asciiTheme="minorHAnsi" w:hAnsiTheme="minorHAnsi" w:cstheme="minorHAnsi"/>
          <w:sz w:val="26"/>
          <w:szCs w:val="26"/>
          <w:lang w:val="fr-FR"/>
        </w:rPr>
        <w:t xml:space="preserve"> de </w:t>
      </w:r>
      <w:proofErr w:type="spellStart"/>
      <w:r w:rsidRPr="00A35EF2">
        <w:rPr>
          <w:rStyle w:val="NoSpacingChar"/>
          <w:rFonts w:asciiTheme="minorHAnsi" w:hAnsiTheme="minorHAnsi" w:cstheme="minorHAnsi"/>
          <w:sz w:val="26"/>
          <w:szCs w:val="26"/>
          <w:lang w:val="fr-FR"/>
        </w:rPr>
        <w:t>vedere</w:t>
      </w:r>
      <w:proofErr w:type="spellEnd"/>
      <w:r w:rsidRPr="00A35EF2">
        <w:rPr>
          <w:rStyle w:val="NoSpacingChar"/>
          <w:rFonts w:asciiTheme="minorHAnsi" w:hAnsiTheme="minorHAnsi" w:cstheme="minorHAnsi"/>
          <w:sz w:val="26"/>
          <w:szCs w:val="26"/>
          <w:lang w:val="fr-FR"/>
        </w:rPr>
        <w:t xml:space="preserve"> al </w:t>
      </w:r>
      <w:proofErr w:type="spellStart"/>
      <w:r w:rsidRPr="00A35EF2">
        <w:rPr>
          <w:rStyle w:val="NoSpacingChar"/>
          <w:rFonts w:asciiTheme="minorHAnsi" w:hAnsiTheme="minorHAnsi" w:cstheme="minorHAnsi"/>
          <w:sz w:val="26"/>
          <w:szCs w:val="26"/>
          <w:lang w:val="fr-FR"/>
        </w:rPr>
        <w:t>Comisiei</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împreună</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cu</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argumentele</w:t>
      </w:r>
      <w:proofErr w:type="spellEnd"/>
      <w:r w:rsidRPr="00A35EF2">
        <w:rPr>
          <w:rStyle w:val="NoSpacingChar"/>
          <w:rFonts w:asciiTheme="minorHAnsi" w:hAnsiTheme="minorHAnsi" w:cstheme="minorHAnsi"/>
          <w:sz w:val="26"/>
          <w:szCs w:val="26"/>
          <w:lang w:val="fr-FR"/>
        </w:rPr>
        <w:t xml:space="preserve"> care au </w:t>
      </w:r>
      <w:proofErr w:type="spellStart"/>
      <w:r w:rsidRPr="00A35EF2">
        <w:rPr>
          <w:rStyle w:val="NoSpacingChar"/>
          <w:rFonts w:asciiTheme="minorHAnsi" w:hAnsiTheme="minorHAnsi" w:cstheme="minorHAnsi"/>
          <w:sz w:val="26"/>
          <w:szCs w:val="26"/>
          <w:lang w:val="fr-FR"/>
        </w:rPr>
        <w:t>fost</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avute</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în</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vedere</w:t>
      </w:r>
      <w:proofErr w:type="spellEnd"/>
      <w:r w:rsidRPr="00A35EF2">
        <w:rPr>
          <w:rStyle w:val="NoSpacingChar"/>
          <w:rFonts w:asciiTheme="minorHAnsi" w:hAnsiTheme="minorHAnsi" w:cstheme="minorHAnsi"/>
          <w:sz w:val="26"/>
          <w:szCs w:val="26"/>
          <w:lang w:val="fr-FR"/>
        </w:rPr>
        <w:t xml:space="preserve">, au </w:t>
      </w:r>
      <w:proofErr w:type="spellStart"/>
      <w:r w:rsidRPr="00A35EF2">
        <w:rPr>
          <w:rStyle w:val="NoSpacingChar"/>
          <w:rFonts w:asciiTheme="minorHAnsi" w:hAnsiTheme="minorHAnsi" w:cstheme="minorHAnsi"/>
          <w:sz w:val="26"/>
          <w:szCs w:val="26"/>
          <w:lang w:val="fr-FR"/>
        </w:rPr>
        <w:t>fost</w:t>
      </w:r>
      <w:proofErr w:type="spellEnd"/>
      <w:r w:rsidRPr="00A35EF2">
        <w:rPr>
          <w:rStyle w:val="NoSpacingChar"/>
          <w:rFonts w:asciiTheme="minorHAnsi" w:hAnsiTheme="minorHAnsi" w:cstheme="minorHAnsi"/>
          <w:sz w:val="26"/>
          <w:szCs w:val="26"/>
          <w:lang w:val="fr-FR"/>
        </w:rPr>
        <w:t xml:space="preserve"> transmise </w:t>
      </w:r>
      <w:r w:rsidRPr="00170A5F">
        <w:rPr>
          <w:rFonts w:asciiTheme="minorHAnsi" w:hAnsiTheme="minorHAnsi" w:cstheme="minorHAnsi"/>
          <w:sz w:val="26"/>
          <w:szCs w:val="26"/>
        </w:rPr>
        <w:t>Comisiei pentru muncă, familie și protecție socială a Senatului României</w:t>
      </w:r>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cu</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adresa</w:t>
      </w:r>
      <w:proofErr w:type="spellEnd"/>
      <w:r w:rsidRPr="00A35EF2">
        <w:rPr>
          <w:rStyle w:val="NoSpacingChar"/>
          <w:rFonts w:asciiTheme="minorHAnsi" w:hAnsiTheme="minorHAnsi" w:cstheme="minorHAnsi"/>
          <w:sz w:val="26"/>
          <w:szCs w:val="26"/>
          <w:lang w:val="fr-FR"/>
        </w:rPr>
        <w:t xml:space="preserve"> </w:t>
      </w:r>
      <w:r w:rsidRPr="00170A5F">
        <w:rPr>
          <w:rFonts w:asciiTheme="minorHAnsi" w:hAnsiTheme="minorHAnsi" w:cstheme="minorHAnsi"/>
          <w:sz w:val="26"/>
          <w:szCs w:val="26"/>
        </w:rPr>
        <w:t>nr. 3/8779/09.09.2025.</w:t>
      </w:r>
    </w:p>
    <w:p w14:paraId="4E081DD1" w14:textId="5ABE6CA7" w:rsidR="00170A5F" w:rsidRPr="00170A5F" w:rsidRDefault="00170A5F" w:rsidP="009E3AD8">
      <w:pPr>
        <w:spacing w:line="276" w:lineRule="auto"/>
        <w:ind w:firstLine="708"/>
        <w:jc w:val="both"/>
        <w:rPr>
          <w:rFonts w:asciiTheme="minorHAnsi" w:hAnsiTheme="minorHAnsi" w:cstheme="minorHAnsi"/>
          <w:sz w:val="26"/>
          <w:szCs w:val="26"/>
        </w:rPr>
      </w:pPr>
      <w:r w:rsidRPr="00170A5F">
        <w:rPr>
          <w:rFonts w:asciiTheme="minorHAnsi" w:hAnsiTheme="minorHAnsi" w:cstheme="minorHAnsi"/>
          <w:sz w:val="26"/>
          <w:szCs w:val="26"/>
        </w:rPr>
        <w:t xml:space="preserve">În ședința din data de </w:t>
      </w:r>
      <w:r w:rsidR="00F92E28">
        <w:rPr>
          <w:rFonts w:asciiTheme="minorHAnsi" w:hAnsiTheme="minorHAnsi" w:cstheme="minorHAnsi"/>
          <w:sz w:val="26"/>
          <w:szCs w:val="26"/>
        </w:rPr>
        <w:t>0</w:t>
      </w:r>
      <w:r w:rsidRPr="00170A5F">
        <w:rPr>
          <w:rFonts w:asciiTheme="minorHAnsi" w:hAnsiTheme="minorHAnsi" w:cstheme="minorHAnsi"/>
          <w:sz w:val="26"/>
          <w:szCs w:val="26"/>
        </w:rPr>
        <w:t xml:space="preserve">4 septembrie 2025, la solicitarea Senatului României, Comisia nr. 1 - reunită „Legislație și cooperare interinstituțională” a analizat </w:t>
      </w:r>
      <w:r w:rsidRPr="00170A5F">
        <w:rPr>
          <w:rFonts w:asciiTheme="minorHAnsi" w:hAnsiTheme="minorHAnsi" w:cstheme="minorHAnsi"/>
          <w:iCs/>
          <w:sz w:val="26"/>
          <w:szCs w:val="26"/>
        </w:rPr>
        <w:t>Propunerea legislativă</w:t>
      </w:r>
      <w:r w:rsidRPr="00170A5F">
        <w:rPr>
          <w:rFonts w:asciiTheme="minorHAnsi" w:hAnsiTheme="minorHAnsi" w:cstheme="minorHAnsi"/>
          <w:i/>
          <w:iCs/>
          <w:sz w:val="26"/>
          <w:szCs w:val="26"/>
        </w:rPr>
        <w:t xml:space="preserve"> </w:t>
      </w:r>
      <w:r w:rsidRPr="00170A5F">
        <w:rPr>
          <w:rFonts w:asciiTheme="minorHAnsi" w:hAnsiTheme="minorHAnsi" w:cstheme="minorHAnsi"/>
          <w:iCs/>
          <w:sz w:val="26"/>
          <w:szCs w:val="26"/>
        </w:rPr>
        <w:t>privind modificarea și completarea art. 318 din Legea nr. 135/2010 privind Codul de procedură penală</w:t>
      </w:r>
      <w:r w:rsidRPr="00170A5F">
        <w:rPr>
          <w:rFonts w:asciiTheme="minorHAnsi" w:hAnsiTheme="minorHAnsi" w:cstheme="minorHAnsi"/>
          <w:sz w:val="26"/>
          <w:szCs w:val="26"/>
        </w:rPr>
        <w:t xml:space="preserve"> (b277/25.06.2025)</w:t>
      </w:r>
      <w:r w:rsidRPr="00170A5F">
        <w:rPr>
          <w:rFonts w:asciiTheme="minorHAnsi" w:hAnsiTheme="minorHAnsi" w:cstheme="minorHAnsi"/>
          <w:iCs/>
          <w:sz w:val="26"/>
          <w:szCs w:val="26"/>
        </w:rPr>
        <w:t>.</w:t>
      </w:r>
      <w:r w:rsidRPr="00A35EF2">
        <w:rPr>
          <w:rStyle w:val="NoSpacingChar"/>
          <w:rFonts w:asciiTheme="minorHAnsi" w:hAnsiTheme="minorHAnsi" w:cstheme="minorHAnsi"/>
          <w:sz w:val="26"/>
          <w:szCs w:val="26"/>
          <w:lang w:val="ro-RO"/>
        </w:rPr>
        <w:t xml:space="preserve"> Punctul de vedere al Comisiei în sensul că proiectul nu poate fi adoptat în forma propusă de către iniţiator a fost comunicat Senatului României, împreună cu argumentele care au fost avute în vedere, prin adresa </w:t>
      </w:r>
      <w:r w:rsidRPr="00170A5F">
        <w:rPr>
          <w:rFonts w:asciiTheme="minorHAnsi" w:hAnsiTheme="minorHAnsi" w:cstheme="minorHAnsi"/>
          <w:sz w:val="26"/>
          <w:szCs w:val="26"/>
        </w:rPr>
        <w:t>nr. 3/10321/09.09.2025.</w:t>
      </w:r>
    </w:p>
    <w:p w14:paraId="286CB7FD" w14:textId="2265714A" w:rsidR="00170A5F" w:rsidRPr="00170A5F" w:rsidRDefault="00170A5F" w:rsidP="009E3AD8">
      <w:pPr>
        <w:spacing w:line="276" w:lineRule="auto"/>
        <w:ind w:firstLine="708"/>
        <w:jc w:val="both"/>
        <w:rPr>
          <w:rFonts w:asciiTheme="minorHAnsi" w:hAnsiTheme="minorHAnsi" w:cstheme="minorHAnsi"/>
          <w:sz w:val="26"/>
          <w:szCs w:val="26"/>
        </w:rPr>
      </w:pPr>
      <w:r w:rsidRPr="00170A5F">
        <w:rPr>
          <w:rFonts w:asciiTheme="minorHAnsi" w:hAnsiTheme="minorHAnsi" w:cstheme="minorHAnsi"/>
          <w:sz w:val="26"/>
          <w:szCs w:val="26"/>
        </w:rPr>
        <w:t xml:space="preserve">La solicitarea Senatului României, în ședința din data de </w:t>
      </w:r>
      <w:r w:rsidR="005B6FCD">
        <w:rPr>
          <w:rFonts w:asciiTheme="minorHAnsi" w:hAnsiTheme="minorHAnsi" w:cstheme="minorHAnsi"/>
          <w:sz w:val="26"/>
          <w:szCs w:val="26"/>
        </w:rPr>
        <w:t>0</w:t>
      </w:r>
      <w:r w:rsidRPr="00170A5F">
        <w:rPr>
          <w:rFonts w:asciiTheme="minorHAnsi" w:hAnsiTheme="minorHAnsi" w:cstheme="minorHAnsi"/>
          <w:sz w:val="26"/>
          <w:szCs w:val="26"/>
        </w:rPr>
        <w:t xml:space="preserve">4 septembrie 2025, Comisia nr. 1 judecători „Legislație și cooperare interinstituțională” a analizat </w:t>
      </w:r>
      <w:r w:rsidRPr="00170A5F">
        <w:rPr>
          <w:rFonts w:asciiTheme="minorHAnsi" w:hAnsiTheme="minorHAnsi" w:cstheme="minorHAnsi"/>
          <w:iCs/>
          <w:sz w:val="26"/>
          <w:szCs w:val="26"/>
        </w:rPr>
        <w:t xml:space="preserve">Propunerea legislativă </w:t>
      </w:r>
      <w:r w:rsidRPr="00170A5F">
        <w:rPr>
          <w:rFonts w:asciiTheme="minorHAnsi" w:hAnsiTheme="minorHAnsi" w:cstheme="minorHAnsi"/>
          <w:bCs/>
          <w:iCs/>
          <w:sz w:val="26"/>
          <w:szCs w:val="26"/>
        </w:rPr>
        <w:t xml:space="preserve">pentru </w:t>
      </w:r>
      <w:r w:rsidRPr="00170A5F">
        <w:rPr>
          <w:rFonts w:asciiTheme="minorHAnsi" w:hAnsiTheme="minorHAnsi" w:cstheme="minorHAnsi"/>
          <w:sz w:val="26"/>
          <w:szCs w:val="26"/>
        </w:rPr>
        <w:t>completarea art. 3 din O</w:t>
      </w:r>
      <w:r w:rsidR="009509B0">
        <w:rPr>
          <w:rFonts w:asciiTheme="minorHAnsi" w:hAnsiTheme="minorHAnsi" w:cstheme="minorHAnsi"/>
          <w:sz w:val="26"/>
          <w:szCs w:val="26"/>
        </w:rPr>
        <w:t xml:space="preserve">.U.G. </w:t>
      </w:r>
      <w:r w:rsidRPr="00170A5F">
        <w:rPr>
          <w:rFonts w:asciiTheme="minorHAnsi" w:hAnsiTheme="minorHAnsi" w:cstheme="minorHAnsi"/>
          <w:sz w:val="26"/>
          <w:szCs w:val="26"/>
        </w:rPr>
        <w:t xml:space="preserve">nr. 75/1999 privind activitatea de audit financiar și art. 62 din Legea nr. 162/2017 privind auditul statutar al situațiilor financiare anuale și al situațiilor financiare anuale consolidate și de modificare a unor acte normative </w:t>
      </w:r>
      <w:r w:rsidRPr="00170A5F">
        <w:rPr>
          <w:rFonts w:asciiTheme="minorHAnsi" w:hAnsiTheme="minorHAnsi" w:cstheme="minorHAnsi"/>
          <w:iCs/>
          <w:sz w:val="26"/>
          <w:szCs w:val="26"/>
        </w:rPr>
        <w:t>(b224/05.06.2025)</w:t>
      </w:r>
      <w:r w:rsidRPr="00170A5F">
        <w:rPr>
          <w:rFonts w:asciiTheme="minorHAnsi" w:hAnsiTheme="minorHAnsi" w:cstheme="minorHAnsi"/>
          <w:sz w:val="26"/>
          <w:szCs w:val="26"/>
        </w:rPr>
        <w:t>.</w:t>
      </w:r>
      <w:r w:rsidRPr="00A35EF2">
        <w:rPr>
          <w:rStyle w:val="NoSpacingChar"/>
          <w:rFonts w:asciiTheme="minorHAnsi" w:hAnsiTheme="minorHAnsi" w:cstheme="minorHAnsi"/>
          <w:sz w:val="26"/>
          <w:szCs w:val="26"/>
          <w:lang w:val="ro-RO"/>
        </w:rPr>
        <w:t xml:space="preserve"> Punctul de vedere al Comisiei în sensul că proiectul nu poate fi adoptat în forma propusă a fost comunicat Senatului României, împreună cu argumentele care au fost avute în vedere, prin adresa </w:t>
      </w:r>
      <w:r w:rsidRPr="00170A5F">
        <w:rPr>
          <w:rFonts w:asciiTheme="minorHAnsi" w:hAnsiTheme="minorHAnsi" w:cstheme="minorHAnsi"/>
          <w:sz w:val="26"/>
          <w:szCs w:val="26"/>
        </w:rPr>
        <w:t>nr. 3/8491/09.09.2025.</w:t>
      </w:r>
    </w:p>
    <w:p w14:paraId="6DDB2F50" w14:textId="12F232DA" w:rsidR="00170A5F" w:rsidRPr="00A35EF2" w:rsidRDefault="00170A5F" w:rsidP="009E3AD8">
      <w:pPr>
        <w:tabs>
          <w:tab w:val="left" w:pos="709"/>
        </w:tabs>
        <w:spacing w:line="276" w:lineRule="auto"/>
        <w:jc w:val="both"/>
        <w:rPr>
          <w:rStyle w:val="NoSpacingChar"/>
          <w:rFonts w:asciiTheme="minorHAnsi" w:hAnsiTheme="minorHAnsi" w:cstheme="minorHAnsi"/>
          <w:sz w:val="26"/>
          <w:szCs w:val="26"/>
          <w:lang w:val="fr-FR"/>
        </w:rPr>
      </w:pPr>
      <w:r w:rsidRPr="00170A5F">
        <w:rPr>
          <w:rFonts w:asciiTheme="minorHAnsi" w:hAnsiTheme="minorHAnsi" w:cstheme="minorHAnsi"/>
          <w:sz w:val="26"/>
          <w:szCs w:val="26"/>
        </w:rPr>
        <w:tab/>
        <w:t xml:space="preserve">În ședința din data de </w:t>
      </w:r>
      <w:r w:rsidR="005B6FCD">
        <w:rPr>
          <w:rFonts w:asciiTheme="minorHAnsi" w:hAnsiTheme="minorHAnsi" w:cstheme="minorHAnsi"/>
          <w:sz w:val="26"/>
          <w:szCs w:val="26"/>
        </w:rPr>
        <w:t>0</w:t>
      </w:r>
      <w:r w:rsidRPr="00170A5F">
        <w:rPr>
          <w:rFonts w:asciiTheme="minorHAnsi" w:hAnsiTheme="minorHAnsi" w:cstheme="minorHAnsi"/>
          <w:sz w:val="26"/>
          <w:szCs w:val="26"/>
        </w:rPr>
        <w:t xml:space="preserve">4 septembrie 2025, la solicitarea Senatului României, Comisia nr. 1 - reunită „Legislație și cooperare interinstituțională” a analizat </w:t>
      </w:r>
      <w:r w:rsidRPr="00170A5F">
        <w:rPr>
          <w:rFonts w:asciiTheme="minorHAnsi" w:hAnsiTheme="minorHAnsi" w:cstheme="minorHAnsi"/>
          <w:iCs/>
          <w:sz w:val="26"/>
          <w:szCs w:val="26"/>
        </w:rPr>
        <w:t>Propunerea legislativă</w:t>
      </w:r>
      <w:r w:rsidRPr="00170A5F">
        <w:rPr>
          <w:rFonts w:asciiTheme="minorHAnsi" w:hAnsiTheme="minorHAnsi" w:cstheme="minorHAnsi"/>
          <w:i/>
          <w:sz w:val="26"/>
          <w:szCs w:val="26"/>
        </w:rPr>
        <w:t xml:space="preserve"> </w:t>
      </w:r>
      <w:r w:rsidRPr="00170A5F">
        <w:rPr>
          <w:rFonts w:asciiTheme="minorHAnsi" w:hAnsiTheme="minorHAnsi" w:cstheme="minorHAnsi"/>
          <w:sz w:val="26"/>
          <w:szCs w:val="26"/>
        </w:rPr>
        <w:t xml:space="preserve">privind pierderea dreptului de a beneficia de pensie specială a persoanelor condamnate pentru fapte de corupţie (b229/11.06.2025). </w:t>
      </w:r>
      <w:proofErr w:type="spellStart"/>
      <w:r w:rsidRPr="00A35EF2">
        <w:rPr>
          <w:rStyle w:val="NoSpacingChar"/>
          <w:rFonts w:asciiTheme="minorHAnsi" w:hAnsiTheme="minorHAnsi" w:cstheme="minorHAnsi"/>
          <w:sz w:val="26"/>
          <w:szCs w:val="26"/>
          <w:lang w:val="fr-FR"/>
        </w:rPr>
        <w:t>Răspunsul</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Comisiei</w:t>
      </w:r>
      <w:proofErr w:type="spellEnd"/>
      <w:r w:rsidRPr="00A35EF2">
        <w:rPr>
          <w:rStyle w:val="NoSpacingChar"/>
          <w:rFonts w:asciiTheme="minorHAnsi" w:hAnsiTheme="minorHAnsi" w:cstheme="minorHAnsi"/>
          <w:sz w:val="26"/>
          <w:szCs w:val="26"/>
          <w:lang w:val="fr-FR"/>
        </w:rPr>
        <w:t xml:space="preserve"> a </w:t>
      </w:r>
      <w:proofErr w:type="spellStart"/>
      <w:r w:rsidRPr="00A35EF2">
        <w:rPr>
          <w:rStyle w:val="NoSpacingChar"/>
          <w:rFonts w:asciiTheme="minorHAnsi" w:hAnsiTheme="minorHAnsi" w:cstheme="minorHAnsi"/>
          <w:sz w:val="26"/>
          <w:szCs w:val="26"/>
          <w:lang w:val="fr-FR"/>
        </w:rPr>
        <w:t>fost</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comunicat</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Senatului</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României</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prin</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adresa</w:t>
      </w:r>
      <w:proofErr w:type="spellEnd"/>
      <w:r w:rsidRPr="00A35EF2">
        <w:rPr>
          <w:rStyle w:val="NoSpacingChar"/>
          <w:rFonts w:asciiTheme="minorHAnsi" w:hAnsiTheme="minorHAnsi" w:cstheme="minorHAnsi"/>
          <w:sz w:val="26"/>
          <w:szCs w:val="26"/>
          <w:lang w:val="fr-FR"/>
        </w:rPr>
        <w:t xml:space="preserve"> nr. 3/9211/09.09.2025.</w:t>
      </w:r>
    </w:p>
    <w:p w14:paraId="0CB2F811" w14:textId="709598EE" w:rsidR="00170A5F" w:rsidRPr="00A35EF2" w:rsidRDefault="00170A5F" w:rsidP="009E3AD8">
      <w:pPr>
        <w:tabs>
          <w:tab w:val="left" w:pos="709"/>
        </w:tabs>
        <w:spacing w:line="276" w:lineRule="auto"/>
        <w:jc w:val="both"/>
        <w:rPr>
          <w:rStyle w:val="NoSpacingChar"/>
          <w:rFonts w:asciiTheme="minorHAnsi" w:hAnsiTheme="minorHAnsi" w:cstheme="minorHAnsi"/>
          <w:sz w:val="26"/>
          <w:szCs w:val="26"/>
          <w:lang w:val="fr-FR"/>
        </w:rPr>
      </w:pPr>
      <w:r w:rsidRPr="00170A5F">
        <w:rPr>
          <w:rFonts w:asciiTheme="minorHAnsi" w:hAnsiTheme="minorHAnsi" w:cstheme="minorHAnsi"/>
          <w:sz w:val="26"/>
          <w:szCs w:val="26"/>
        </w:rPr>
        <w:tab/>
        <w:t xml:space="preserve">În ședința din data de </w:t>
      </w:r>
      <w:r w:rsidR="005B6FCD">
        <w:rPr>
          <w:rFonts w:asciiTheme="minorHAnsi" w:hAnsiTheme="minorHAnsi" w:cstheme="minorHAnsi"/>
          <w:sz w:val="26"/>
          <w:szCs w:val="26"/>
        </w:rPr>
        <w:t>0</w:t>
      </w:r>
      <w:r w:rsidRPr="00170A5F">
        <w:rPr>
          <w:rFonts w:asciiTheme="minorHAnsi" w:hAnsiTheme="minorHAnsi" w:cstheme="minorHAnsi"/>
          <w:sz w:val="26"/>
          <w:szCs w:val="26"/>
        </w:rPr>
        <w:t xml:space="preserve">4 septembrie 2025, la solicitarea Senatului României, Comisia nr. 1 - reunită „Legislație și cooperare interinstituțională” a analizat </w:t>
      </w:r>
      <w:r w:rsidRPr="00170A5F">
        <w:rPr>
          <w:rFonts w:asciiTheme="minorHAnsi" w:hAnsiTheme="minorHAnsi" w:cstheme="minorHAnsi"/>
          <w:iCs/>
          <w:sz w:val="26"/>
          <w:szCs w:val="26"/>
        </w:rPr>
        <w:t>Propunerea legislativă</w:t>
      </w:r>
      <w:r w:rsidRPr="00170A5F">
        <w:rPr>
          <w:rFonts w:asciiTheme="minorHAnsi" w:hAnsiTheme="minorHAnsi" w:cstheme="minorHAnsi"/>
          <w:i/>
          <w:sz w:val="26"/>
          <w:szCs w:val="26"/>
        </w:rPr>
        <w:t xml:space="preserve"> </w:t>
      </w:r>
      <w:r w:rsidRPr="00170A5F">
        <w:rPr>
          <w:rFonts w:asciiTheme="minorHAnsi" w:hAnsiTheme="minorHAnsi" w:cstheme="minorHAnsi"/>
          <w:sz w:val="26"/>
          <w:szCs w:val="26"/>
        </w:rPr>
        <w:t>pentru modificarea și completarea Legii nr. 26/2024 privind ordinul de protecţie (b284/26.06.2025).</w:t>
      </w:r>
      <w:r w:rsidRPr="00170A5F">
        <w:rPr>
          <w:rFonts w:asciiTheme="minorHAnsi" w:hAnsiTheme="minorHAnsi" w:cstheme="minorHAnsi"/>
          <w:bCs/>
          <w:sz w:val="26"/>
          <w:szCs w:val="26"/>
          <w:lang w:eastAsia="ro-RO"/>
        </w:rPr>
        <w:t xml:space="preserve"> </w:t>
      </w:r>
      <w:proofErr w:type="spellStart"/>
      <w:r w:rsidRPr="00A35EF2">
        <w:rPr>
          <w:rStyle w:val="NoSpacingChar"/>
          <w:rFonts w:asciiTheme="minorHAnsi" w:hAnsiTheme="minorHAnsi" w:cstheme="minorHAnsi"/>
          <w:sz w:val="26"/>
          <w:szCs w:val="26"/>
          <w:lang w:val="fr-FR"/>
        </w:rPr>
        <w:t>Răspunsul</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Comisiei</w:t>
      </w:r>
      <w:proofErr w:type="spellEnd"/>
      <w:r w:rsidRPr="00A35EF2">
        <w:rPr>
          <w:rStyle w:val="NoSpacingChar"/>
          <w:rFonts w:asciiTheme="minorHAnsi" w:hAnsiTheme="minorHAnsi" w:cstheme="minorHAnsi"/>
          <w:sz w:val="26"/>
          <w:szCs w:val="26"/>
          <w:lang w:val="fr-FR"/>
        </w:rPr>
        <w:t xml:space="preserve"> a </w:t>
      </w:r>
      <w:proofErr w:type="spellStart"/>
      <w:r w:rsidRPr="00A35EF2">
        <w:rPr>
          <w:rStyle w:val="NoSpacingChar"/>
          <w:rFonts w:asciiTheme="minorHAnsi" w:hAnsiTheme="minorHAnsi" w:cstheme="minorHAnsi"/>
          <w:sz w:val="26"/>
          <w:szCs w:val="26"/>
          <w:lang w:val="fr-FR"/>
        </w:rPr>
        <w:t>fost</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comunicat</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Senatului</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României</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prin</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adresa</w:t>
      </w:r>
      <w:proofErr w:type="spellEnd"/>
      <w:r w:rsidRPr="00A35EF2">
        <w:rPr>
          <w:rStyle w:val="NoSpacingChar"/>
          <w:rFonts w:asciiTheme="minorHAnsi" w:hAnsiTheme="minorHAnsi" w:cstheme="minorHAnsi"/>
          <w:sz w:val="26"/>
          <w:szCs w:val="26"/>
          <w:lang w:val="fr-FR"/>
        </w:rPr>
        <w:t xml:space="preserve"> nr. 3/10328/09.09.2025.</w:t>
      </w:r>
    </w:p>
    <w:p w14:paraId="48E35C26" w14:textId="1156E8D4" w:rsidR="00170A5F" w:rsidRPr="00170A5F" w:rsidRDefault="00170A5F" w:rsidP="009E3AD8">
      <w:pPr>
        <w:spacing w:line="276" w:lineRule="auto"/>
        <w:ind w:firstLine="709"/>
        <w:jc w:val="both"/>
        <w:rPr>
          <w:rFonts w:asciiTheme="minorHAnsi" w:hAnsiTheme="minorHAnsi" w:cstheme="minorHAnsi"/>
          <w:sz w:val="26"/>
          <w:szCs w:val="26"/>
        </w:rPr>
      </w:pPr>
      <w:r w:rsidRPr="00170A5F">
        <w:rPr>
          <w:rFonts w:asciiTheme="minorHAnsi" w:hAnsiTheme="minorHAnsi" w:cstheme="minorHAnsi"/>
          <w:sz w:val="26"/>
          <w:szCs w:val="26"/>
        </w:rPr>
        <w:t xml:space="preserve">La solicitarea Senatului României, în ședința din data de </w:t>
      </w:r>
      <w:r w:rsidR="005B6FCD">
        <w:rPr>
          <w:rFonts w:asciiTheme="minorHAnsi" w:hAnsiTheme="minorHAnsi" w:cstheme="minorHAnsi"/>
          <w:sz w:val="26"/>
          <w:szCs w:val="26"/>
        </w:rPr>
        <w:t>0</w:t>
      </w:r>
      <w:r w:rsidRPr="00170A5F">
        <w:rPr>
          <w:rFonts w:asciiTheme="minorHAnsi" w:hAnsiTheme="minorHAnsi" w:cstheme="minorHAnsi"/>
          <w:sz w:val="26"/>
          <w:szCs w:val="26"/>
        </w:rPr>
        <w:t xml:space="preserve">4 septembrie 2025, Comisia nr. 1 judecători „Legislație și cooperare interinstituțională” a analizat </w:t>
      </w:r>
      <w:r w:rsidRPr="00170A5F">
        <w:rPr>
          <w:rFonts w:asciiTheme="minorHAnsi" w:hAnsiTheme="minorHAnsi" w:cstheme="minorHAnsi"/>
          <w:iCs/>
          <w:sz w:val="26"/>
          <w:szCs w:val="26"/>
        </w:rPr>
        <w:t xml:space="preserve">Propunerea legislativă </w:t>
      </w:r>
      <w:r w:rsidRPr="00170A5F">
        <w:rPr>
          <w:rFonts w:asciiTheme="minorHAnsi" w:hAnsiTheme="minorHAnsi" w:cstheme="minorHAnsi"/>
          <w:bCs/>
          <w:iCs/>
          <w:sz w:val="26"/>
          <w:szCs w:val="26"/>
        </w:rPr>
        <w:t xml:space="preserve">pentru modificarea art. 1391 alin. (1) din Legea nr. 287/2009 privind Codul civil </w:t>
      </w:r>
      <w:r w:rsidRPr="00170A5F">
        <w:rPr>
          <w:rFonts w:asciiTheme="minorHAnsi" w:hAnsiTheme="minorHAnsi" w:cstheme="minorHAnsi"/>
          <w:bCs/>
          <w:sz w:val="26"/>
          <w:szCs w:val="26"/>
        </w:rPr>
        <w:t xml:space="preserve">(b212/04.06.2025). </w:t>
      </w:r>
      <w:r w:rsidRPr="00170A5F">
        <w:rPr>
          <w:rFonts w:asciiTheme="minorHAnsi" w:hAnsiTheme="minorHAnsi" w:cstheme="minorHAnsi"/>
          <w:sz w:val="26"/>
          <w:szCs w:val="26"/>
        </w:rPr>
        <w:t xml:space="preserve">Din perspectiva exigențelor de tehnică legislativă, s-a apreciat că sintagma „la stabilirea acestora” este neclar formulată, în contextul în care criteriile enumerate în propunerea legislativă, prin natura lor, ar putea conduce la ideea că acestea sunt specifice determinării cuantumului despăgubirilor care pot fi acordate în aceste situații, iar nu pentru a stabili sfera posibililor beneficiari dintre cei enumerați la art. 1391 alin. (2) din Codul civil - </w:t>
      </w:r>
      <w:r w:rsidRPr="00170A5F">
        <w:rPr>
          <w:rFonts w:asciiTheme="minorHAnsi" w:hAnsiTheme="minorHAnsi" w:cstheme="minorHAnsi"/>
          <w:bCs/>
          <w:sz w:val="26"/>
          <w:szCs w:val="26"/>
        </w:rPr>
        <w:t xml:space="preserve">ascendenți, descendenți, frați, surori, soț sau oricare altă persoană care, la rândul ei, ar putea dovedi existența unui asemenea prejudiciu, </w:t>
      </w:r>
      <w:r w:rsidRPr="00170A5F">
        <w:rPr>
          <w:rFonts w:asciiTheme="minorHAnsi" w:hAnsiTheme="minorHAnsi" w:cstheme="minorHAnsi"/>
          <w:bCs/>
          <w:sz w:val="26"/>
          <w:szCs w:val="26"/>
        </w:rPr>
        <w:lastRenderedPageBreak/>
        <w:t>această intenție a legiuitorului nereieşind în mod indubitabil din textul propus, ci doar din parcurgerea argumentelor prezentate în expunerea de motive. Prin urmare,</w:t>
      </w:r>
      <w:r w:rsidRPr="00170A5F">
        <w:rPr>
          <w:rFonts w:asciiTheme="minorHAnsi" w:hAnsiTheme="minorHAnsi" w:cstheme="minorHAnsi"/>
          <w:sz w:val="26"/>
          <w:szCs w:val="26"/>
        </w:rPr>
        <w:t xml:space="preserve"> </w:t>
      </w:r>
      <w:r w:rsidRPr="00170A5F">
        <w:rPr>
          <w:rFonts w:asciiTheme="minorHAnsi" w:hAnsiTheme="minorHAnsi" w:cstheme="minorHAnsi"/>
          <w:bCs/>
          <w:color w:val="000000"/>
          <w:sz w:val="26"/>
          <w:szCs w:val="26"/>
        </w:rPr>
        <w:t xml:space="preserve">reținând că este opțiunea legiuitorului de a pune în acord dispozițiile art. 1391 alin. (1) din Codul civil cu prevederile Constituției României, republicată, inclusiv din perspectiva dezlegărilor date de instanța de contencios constituțional în Decizia nr. 342/2024, comisia de specialitate a considerat necesară formularea observației de mai sus, în scopul asigurării calității legii. </w:t>
      </w:r>
      <w:r w:rsidRPr="00170A5F">
        <w:rPr>
          <w:rFonts w:asciiTheme="minorHAnsi" w:hAnsiTheme="minorHAnsi" w:cstheme="minorHAnsi"/>
          <w:iCs/>
          <w:sz w:val="26"/>
          <w:szCs w:val="26"/>
        </w:rPr>
        <w:t>Răspunsul C</w:t>
      </w:r>
      <w:r w:rsidR="0025675D">
        <w:rPr>
          <w:rFonts w:asciiTheme="minorHAnsi" w:hAnsiTheme="minorHAnsi" w:cstheme="minorHAnsi"/>
          <w:iCs/>
          <w:sz w:val="26"/>
          <w:szCs w:val="26"/>
        </w:rPr>
        <w:t xml:space="preserve">.S.M. </w:t>
      </w:r>
      <w:r w:rsidRPr="00170A5F">
        <w:rPr>
          <w:rFonts w:asciiTheme="minorHAnsi" w:hAnsiTheme="minorHAnsi" w:cstheme="minorHAnsi"/>
          <w:iCs/>
          <w:sz w:val="26"/>
          <w:szCs w:val="26"/>
        </w:rPr>
        <w:t xml:space="preserve">a fost comunicat Senatului României </w:t>
      </w:r>
      <w:r w:rsidRPr="00170A5F">
        <w:rPr>
          <w:rFonts w:asciiTheme="minorHAnsi" w:hAnsiTheme="minorHAnsi" w:cstheme="minorHAnsi"/>
          <w:sz w:val="26"/>
          <w:szCs w:val="26"/>
        </w:rPr>
        <w:t>cu adresa nr. 3/8488/11.09.2025.</w:t>
      </w:r>
    </w:p>
    <w:p w14:paraId="5552EB94" w14:textId="6F279A44" w:rsidR="00170A5F" w:rsidRPr="00A35EF2" w:rsidRDefault="00170A5F" w:rsidP="009E3AD8">
      <w:pPr>
        <w:spacing w:line="276" w:lineRule="auto"/>
        <w:ind w:firstLine="708"/>
        <w:jc w:val="both"/>
        <w:rPr>
          <w:rStyle w:val="NoSpacingChar"/>
          <w:rFonts w:asciiTheme="minorHAnsi" w:hAnsiTheme="minorHAnsi" w:cstheme="minorHAnsi"/>
          <w:sz w:val="26"/>
          <w:szCs w:val="26"/>
          <w:lang w:val="fr-FR"/>
        </w:rPr>
      </w:pPr>
      <w:r w:rsidRPr="00170A5F">
        <w:rPr>
          <w:rFonts w:asciiTheme="minorHAnsi" w:hAnsiTheme="minorHAnsi" w:cstheme="minorHAnsi"/>
          <w:sz w:val="26"/>
          <w:szCs w:val="26"/>
        </w:rPr>
        <w:t xml:space="preserve">În ședința din data de </w:t>
      </w:r>
      <w:r w:rsidR="005B6FCD">
        <w:rPr>
          <w:rFonts w:asciiTheme="minorHAnsi" w:hAnsiTheme="minorHAnsi" w:cstheme="minorHAnsi"/>
          <w:sz w:val="26"/>
          <w:szCs w:val="26"/>
        </w:rPr>
        <w:t>0</w:t>
      </w:r>
      <w:r w:rsidRPr="00170A5F">
        <w:rPr>
          <w:rFonts w:asciiTheme="minorHAnsi" w:hAnsiTheme="minorHAnsi" w:cstheme="minorHAnsi"/>
          <w:sz w:val="26"/>
          <w:szCs w:val="26"/>
        </w:rPr>
        <w:t xml:space="preserve">4 septembrie 2025, la solicitarea Senatului României, Comisia nr. 1 - reunită „Legislație și cooperare interinstituțională” a analizat </w:t>
      </w:r>
      <w:r w:rsidRPr="00170A5F">
        <w:rPr>
          <w:rFonts w:asciiTheme="minorHAnsi" w:hAnsiTheme="minorHAnsi" w:cstheme="minorHAnsi"/>
          <w:iCs/>
          <w:sz w:val="26"/>
          <w:szCs w:val="26"/>
        </w:rPr>
        <w:t xml:space="preserve">Propunerea legislativă </w:t>
      </w:r>
      <w:r w:rsidRPr="00170A5F">
        <w:rPr>
          <w:rFonts w:asciiTheme="minorHAnsi" w:hAnsiTheme="minorHAnsi" w:cstheme="minorHAnsi"/>
          <w:bCs/>
          <w:iCs/>
          <w:sz w:val="26"/>
          <w:szCs w:val="26"/>
        </w:rPr>
        <w:t xml:space="preserve">pentru </w:t>
      </w:r>
      <w:r w:rsidRPr="00170A5F">
        <w:rPr>
          <w:rFonts w:asciiTheme="minorHAnsi" w:hAnsiTheme="minorHAnsi" w:cstheme="minorHAnsi"/>
          <w:iCs/>
          <w:sz w:val="26"/>
          <w:szCs w:val="26"/>
        </w:rPr>
        <w:t>modificarea și completarea Legii nr. 217/2003 pentru prevenirea și combaterea violenței domestice</w:t>
      </w:r>
      <w:r w:rsidRPr="00170A5F">
        <w:rPr>
          <w:rFonts w:asciiTheme="minorHAnsi" w:hAnsiTheme="minorHAnsi" w:cstheme="minorHAnsi"/>
          <w:bCs/>
          <w:iCs/>
          <w:sz w:val="26"/>
          <w:szCs w:val="26"/>
        </w:rPr>
        <w:t xml:space="preserve"> </w:t>
      </w:r>
      <w:r w:rsidRPr="00170A5F">
        <w:rPr>
          <w:rFonts w:asciiTheme="minorHAnsi" w:hAnsiTheme="minorHAnsi" w:cstheme="minorHAnsi"/>
          <w:bCs/>
          <w:sz w:val="26"/>
          <w:szCs w:val="26"/>
        </w:rPr>
        <w:t>(b205/03.06.2025).</w:t>
      </w:r>
      <w:r w:rsidRPr="00170A5F">
        <w:rPr>
          <w:rFonts w:asciiTheme="minorHAnsi" w:hAnsiTheme="minorHAnsi" w:cstheme="minorHAnsi"/>
          <w:sz w:val="26"/>
          <w:szCs w:val="26"/>
        </w:rPr>
        <w:t xml:space="preserve"> Având în vedere aspectele subliniate în jurisprudența Curții Constituționale, respectiv a Înaltei Curți de Casație și Justiție, s-a apreciat ca fiind necesară reglementarea situațiilor în care instanța de judecată învestită cu soluționarea unei cereri de revocare a ordinului de protecție este ținută să procedeze la realizarea unei evaluări proprii a riscului de recidivă, respectiv în ipotezele în care agresorul nu se află în evidența unui serviciu de probațiune. De asemenea, având în vedere importanța evaluării pe care ar urma să o realizeze instanța și ținând cont de faptul că judecătorul învestit nu are acces direct la datele privind conduita agresorului, în cadrul comisiei s-a evidențiat că legiuitorul ar putea să ia în considerare prevederea în lege a anumitor criterii de apreciere a riscului de recidivă, eventual cu indicarea autorităților cărora instanța se poate adresa pentru a obține datele necesare întocmirii evaluării respective. </w:t>
      </w:r>
      <w:r w:rsidRPr="00A35EF2">
        <w:rPr>
          <w:rStyle w:val="NoSpacingChar"/>
          <w:rFonts w:asciiTheme="minorHAnsi" w:hAnsiTheme="minorHAnsi" w:cstheme="minorHAnsi"/>
          <w:sz w:val="26"/>
          <w:szCs w:val="26"/>
          <w:lang w:val="ro-RO"/>
        </w:rPr>
        <w:t xml:space="preserve"> </w:t>
      </w:r>
      <w:proofErr w:type="spellStart"/>
      <w:r w:rsidRPr="00A35EF2">
        <w:rPr>
          <w:rStyle w:val="NoSpacingChar"/>
          <w:rFonts w:asciiTheme="minorHAnsi" w:hAnsiTheme="minorHAnsi" w:cstheme="minorHAnsi"/>
          <w:sz w:val="26"/>
          <w:szCs w:val="26"/>
          <w:lang w:val="fr-FR"/>
        </w:rPr>
        <w:t>Punctul</w:t>
      </w:r>
      <w:proofErr w:type="spellEnd"/>
      <w:r w:rsidRPr="00A35EF2">
        <w:rPr>
          <w:rStyle w:val="NoSpacingChar"/>
          <w:rFonts w:asciiTheme="minorHAnsi" w:hAnsiTheme="minorHAnsi" w:cstheme="minorHAnsi"/>
          <w:sz w:val="26"/>
          <w:szCs w:val="26"/>
          <w:lang w:val="fr-FR"/>
        </w:rPr>
        <w:t xml:space="preserve"> de </w:t>
      </w:r>
      <w:proofErr w:type="spellStart"/>
      <w:r w:rsidRPr="00A35EF2">
        <w:rPr>
          <w:rStyle w:val="NoSpacingChar"/>
          <w:rFonts w:asciiTheme="minorHAnsi" w:hAnsiTheme="minorHAnsi" w:cstheme="minorHAnsi"/>
          <w:sz w:val="26"/>
          <w:szCs w:val="26"/>
          <w:lang w:val="fr-FR"/>
        </w:rPr>
        <w:t>vedere</w:t>
      </w:r>
      <w:proofErr w:type="spellEnd"/>
      <w:r w:rsidRPr="00A35EF2">
        <w:rPr>
          <w:rStyle w:val="NoSpacingChar"/>
          <w:rFonts w:asciiTheme="minorHAnsi" w:hAnsiTheme="minorHAnsi" w:cstheme="minorHAnsi"/>
          <w:sz w:val="26"/>
          <w:szCs w:val="26"/>
          <w:lang w:val="fr-FR"/>
        </w:rPr>
        <w:t xml:space="preserve"> al </w:t>
      </w:r>
      <w:proofErr w:type="spellStart"/>
      <w:r w:rsidRPr="00A35EF2">
        <w:rPr>
          <w:rStyle w:val="NoSpacingChar"/>
          <w:rFonts w:asciiTheme="minorHAnsi" w:hAnsiTheme="minorHAnsi" w:cstheme="minorHAnsi"/>
          <w:sz w:val="26"/>
          <w:szCs w:val="26"/>
          <w:lang w:val="fr-FR"/>
        </w:rPr>
        <w:t>Comisiei</w:t>
      </w:r>
      <w:proofErr w:type="spellEnd"/>
      <w:r w:rsidRPr="00A35EF2">
        <w:rPr>
          <w:rStyle w:val="NoSpacingChar"/>
          <w:rFonts w:asciiTheme="minorHAnsi" w:hAnsiTheme="minorHAnsi" w:cstheme="minorHAnsi"/>
          <w:sz w:val="26"/>
          <w:szCs w:val="26"/>
          <w:lang w:val="fr-FR"/>
        </w:rPr>
        <w:t xml:space="preserve"> a </w:t>
      </w:r>
      <w:proofErr w:type="spellStart"/>
      <w:r w:rsidRPr="00A35EF2">
        <w:rPr>
          <w:rStyle w:val="NoSpacingChar"/>
          <w:rFonts w:asciiTheme="minorHAnsi" w:hAnsiTheme="minorHAnsi" w:cstheme="minorHAnsi"/>
          <w:sz w:val="26"/>
          <w:szCs w:val="26"/>
          <w:lang w:val="fr-FR"/>
        </w:rPr>
        <w:t>fost</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comunicat</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Senatului</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României</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cu</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adresa</w:t>
      </w:r>
      <w:proofErr w:type="spellEnd"/>
      <w:r w:rsidRPr="00A35EF2">
        <w:rPr>
          <w:rStyle w:val="NoSpacingChar"/>
          <w:rFonts w:asciiTheme="minorHAnsi" w:hAnsiTheme="minorHAnsi" w:cstheme="minorHAnsi"/>
          <w:sz w:val="26"/>
          <w:szCs w:val="26"/>
          <w:lang w:val="fr-FR"/>
        </w:rPr>
        <w:t xml:space="preserve"> nr. 3/8893/11.09.2025.</w:t>
      </w:r>
    </w:p>
    <w:p w14:paraId="69247B6F" w14:textId="5D5622D4" w:rsidR="00170A5F" w:rsidRPr="00170A5F" w:rsidRDefault="00170A5F" w:rsidP="009E3AD8">
      <w:pPr>
        <w:spacing w:line="276" w:lineRule="auto"/>
        <w:ind w:firstLine="709"/>
        <w:jc w:val="both"/>
        <w:rPr>
          <w:rFonts w:asciiTheme="minorHAnsi" w:hAnsiTheme="minorHAnsi" w:cstheme="minorHAnsi"/>
          <w:sz w:val="26"/>
          <w:szCs w:val="26"/>
        </w:rPr>
      </w:pPr>
      <w:r w:rsidRPr="00170A5F">
        <w:rPr>
          <w:rFonts w:asciiTheme="minorHAnsi" w:hAnsiTheme="minorHAnsi" w:cstheme="minorHAnsi"/>
          <w:sz w:val="26"/>
          <w:szCs w:val="26"/>
        </w:rPr>
        <w:t xml:space="preserve">La solicitarea Senatului României, în ședința din data de </w:t>
      </w:r>
      <w:r w:rsidR="005B6FCD">
        <w:rPr>
          <w:rFonts w:asciiTheme="minorHAnsi" w:hAnsiTheme="minorHAnsi" w:cstheme="minorHAnsi"/>
          <w:sz w:val="26"/>
          <w:szCs w:val="26"/>
        </w:rPr>
        <w:t>0</w:t>
      </w:r>
      <w:r w:rsidRPr="00170A5F">
        <w:rPr>
          <w:rFonts w:asciiTheme="minorHAnsi" w:hAnsiTheme="minorHAnsi" w:cstheme="minorHAnsi"/>
          <w:sz w:val="26"/>
          <w:szCs w:val="26"/>
        </w:rPr>
        <w:t xml:space="preserve">4 septembrie 2025, Comisia nr. 1 judecători „Legislație și cooperare interinstituțională” a analizat </w:t>
      </w:r>
      <w:r w:rsidRPr="00170A5F">
        <w:rPr>
          <w:rFonts w:asciiTheme="minorHAnsi" w:hAnsiTheme="minorHAnsi" w:cstheme="minorHAnsi"/>
          <w:iCs/>
          <w:sz w:val="26"/>
          <w:szCs w:val="26"/>
        </w:rPr>
        <w:t xml:space="preserve">Propunerea legislativă </w:t>
      </w:r>
      <w:r w:rsidRPr="00170A5F">
        <w:rPr>
          <w:rFonts w:asciiTheme="minorHAnsi" w:hAnsiTheme="minorHAnsi" w:cstheme="minorHAnsi"/>
          <w:bCs/>
          <w:iCs/>
          <w:sz w:val="26"/>
          <w:szCs w:val="26"/>
        </w:rPr>
        <w:t>pentru</w:t>
      </w:r>
      <w:r w:rsidRPr="00170A5F">
        <w:rPr>
          <w:rFonts w:asciiTheme="minorHAnsi" w:hAnsiTheme="minorHAnsi" w:cstheme="minorHAnsi"/>
          <w:bCs/>
          <w:i/>
          <w:iCs/>
          <w:sz w:val="26"/>
          <w:szCs w:val="26"/>
        </w:rPr>
        <w:t xml:space="preserve"> </w:t>
      </w:r>
      <w:r w:rsidRPr="00170A5F">
        <w:rPr>
          <w:rFonts w:asciiTheme="minorHAnsi" w:hAnsiTheme="minorHAnsi" w:cstheme="minorHAnsi"/>
          <w:bCs/>
          <w:iCs/>
          <w:sz w:val="26"/>
          <w:szCs w:val="26"/>
        </w:rPr>
        <w:t>abrogarea art. 483 alin. (2) din Legea nr. 134/2010 privind Codul de procedură civilă, republicată</w:t>
      </w:r>
      <w:r w:rsidRPr="00170A5F">
        <w:rPr>
          <w:rFonts w:asciiTheme="minorHAnsi" w:hAnsiTheme="minorHAnsi" w:cstheme="minorHAnsi"/>
          <w:bCs/>
          <w:sz w:val="26"/>
          <w:szCs w:val="26"/>
        </w:rPr>
        <w:t xml:space="preserve"> (</w:t>
      </w:r>
      <w:r w:rsidRPr="00170A5F">
        <w:rPr>
          <w:rFonts w:asciiTheme="minorHAnsi" w:hAnsiTheme="minorHAnsi" w:cstheme="minorHAnsi"/>
          <w:bCs/>
          <w:iCs/>
          <w:sz w:val="26"/>
          <w:szCs w:val="26"/>
        </w:rPr>
        <w:t>b278/25.06.2025)</w:t>
      </w:r>
      <w:r w:rsidRPr="00170A5F">
        <w:rPr>
          <w:rFonts w:asciiTheme="minorHAnsi" w:hAnsiTheme="minorHAnsi" w:cstheme="minorHAnsi"/>
          <w:bCs/>
          <w:sz w:val="26"/>
          <w:szCs w:val="26"/>
          <w:lang w:eastAsia="ro-RO"/>
        </w:rPr>
        <w:t xml:space="preserve">. </w:t>
      </w:r>
      <w:r w:rsidRPr="00A35EF2">
        <w:rPr>
          <w:rStyle w:val="NoSpacingChar"/>
          <w:rFonts w:asciiTheme="minorHAnsi" w:hAnsiTheme="minorHAnsi" w:cstheme="minorHAnsi"/>
          <w:sz w:val="26"/>
          <w:szCs w:val="26"/>
          <w:lang w:val="ro-RO"/>
        </w:rPr>
        <w:t xml:space="preserve">Punctul de vedere al Comisiei în sensul că proiectul nu poate fi adoptat în forma propusă de către iniţiator a fost comunicat Senatului României, împreună cu argumentele care au fost avute în vedere, prin adresa </w:t>
      </w:r>
      <w:r w:rsidRPr="00170A5F">
        <w:rPr>
          <w:rFonts w:asciiTheme="minorHAnsi" w:hAnsiTheme="minorHAnsi" w:cstheme="minorHAnsi"/>
          <w:sz w:val="26"/>
          <w:szCs w:val="26"/>
        </w:rPr>
        <w:t>nr. 3/10323/11.09.2025.</w:t>
      </w:r>
    </w:p>
    <w:p w14:paraId="37A03607" w14:textId="4C83103B" w:rsidR="00170A5F" w:rsidRPr="00A35EF2" w:rsidRDefault="00170A5F" w:rsidP="009E3AD8">
      <w:pPr>
        <w:spacing w:line="276" w:lineRule="auto"/>
        <w:ind w:firstLine="709"/>
        <w:jc w:val="both"/>
        <w:rPr>
          <w:rStyle w:val="NoSpacingChar"/>
          <w:rFonts w:asciiTheme="minorHAnsi" w:hAnsiTheme="minorHAnsi" w:cstheme="minorHAnsi"/>
          <w:bCs/>
          <w:sz w:val="26"/>
          <w:szCs w:val="26"/>
          <w:lang w:val="ro-RO"/>
        </w:rPr>
      </w:pPr>
      <w:r w:rsidRPr="00170A5F">
        <w:rPr>
          <w:rFonts w:asciiTheme="minorHAnsi" w:hAnsiTheme="minorHAnsi" w:cstheme="minorHAnsi"/>
          <w:sz w:val="26"/>
          <w:szCs w:val="26"/>
        </w:rPr>
        <w:t xml:space="preserve">La solicitarea Senatului României, în ședința din data de </w:t>
      </w:r>
      <w:r w:rsidR="005B6FCD">
        <w:rPr>
          <w:rFonts w:asciiTheme="minorHAnsi" w:hAnsiTheme="minorHAnsi" w:cstheme="minorHAnsi"/>
          <w:sz w:val="26"/>
          <w:szCs w:val="26"/>
        </w:rPr>
        <w:t>0</w:t>
      </w:r>
      <w:r w:rsidRPr="00170A5F">
        <w:rPr>
          <w:rFonts w:asciiTheme="minorHAnsi" w:hAnsiTheme="minorHAnsi" w:cstheme="minorHAnsi"/>
          <w:sz w:val="26"/>
          <w:szCs w:val="26"/>
        </w:rPr>
        <w:t xml:space="preserve">4 septembrie 2025, Comisia nr. 1 judecători „Legislație și cooperare interinstituțională” a analizat </w:t>
      </w:r>
      <w:r w:rsidRPr="00170A5F">
        <w:rPr>
          <w:rFonts w:asciiTheme="minorHAnsi" w:hAnsiTheme="minorHAnsi" w:cstheme="minorHAnsi"/>
          <w:iCs/>
          <w:sz w:val="26"/>
          <w:szCs w:val="26"/>
        </w:rPr>
        <w:t xml:space="preserve">Propunerea legislativă </w:t>
      </w:r>
      <w:r w:rsidRPr="00170A5F">
        <w:rPr>
          <w:rFonts w:asciiTheme="minorHAnsi" w:hAnsiTheme="minorHAnsi" w:cstheme="minorHAnsi"/>
          <w:bCs/>
          <w:iCs/>
          <w:sz w:val="26"/>
          <w:szCs w:val="26"/>
        </w:rPr>
        <w:t>pentru</w:t>
      </w:r>
      <w:r w:rsidRPr="00170A5F">
        <w:rPr>
          <w:rFonts w:asciiTheme="minorHAnsi" w:hAnsiTheme="minorHAnsi" w:cstheme="minorHAnsi"/>
          <w:bCs/>
          <w:i/>
          <w:iCs/>
          <w:sz w:val="26"/>
          <w:szCs w:val="26"/>
        </w:rPr>
        <w:t xml:space="preserve"> </w:t>
      </w:r>
      <w:r w:rsidRPr="00170A5F">
        <w:rPr>
          <w:rFonts w:asciiTheme="minorHAnsi" w:hAnsiTheme="minorHAnsi" w:cstheme="minorHAnsi"/>
          <w:bCs/>
          <w:iCs/>
          <w:sz w:val="26"/>
          <w:szCs w:val="26"/>
        </w:rPr>
        <w:t>modificarea art. 509 din Legea nr. 134/2010 privind Codul de procedură civilă, republicată</w:t>
      </w:r>
      <w:r w:rsidRPr="00170A5F">
        <w:rPr>
          <w:rFonts w:asciiTheme="minorHAnsi" w:hAnsiTheme="minorHAnsi" w:cstheme="minorHAnsi"/>
          <w:bCs/>
          <w:sz w:val="26"/>
          <w:szCs w:val="26"/>
        </w:rPr>
        <w:t xml:space="preserve"> (</w:t>
      </w:r>
      <w:r w:rsidRPr="00170A5F">
        <w:rPr>
          <w:rFonts w:asciiTheme="minorHAnsi" w:hAnsiTheme="minorHAnsi" w:cstheme="minorHAnsi"/>
          <w:bCs/>
          <w:iCs/>
          <w:sz w:val="26"/>
          <w:szCs w:val="26"/>
        </w:rPr>
        <w:t xml:space="preserve">b276/25.06.2025). </w:t>
      </w:r>
      <w:r w:rsidRPr="00A35EF2">
        <w:rPr>
          <w:rStyle w:val="NoSpacingChar"/>
          <w:rFonts w:asciiTheme="minorHAnsi" w:hAnsiTheme="minorHAnsi" w:cstheme="minorHAnsi"/>
          <w:sz w:val="26"/>
          <w:szCs w:val="26"/>
          <w:lang w:val="ro-RO"/>
        </w:rPr>
        <w:t xml:space="preserve">Punctul de vedere al Comisiei în sensul că proiectul nu poate fi adoptat în forma propusă a fost comunicat Senatului României, împreună cu argumentele care au fost avute în vedere, prin adresa </w:t>
      </w:r>
      <w:r w:rsidRPr="00170A5F">
        <w:rPr>
          <w:rFonts w:asciiTheme="minorHAnsi" w:hAnsiTheme="minorHAnsi" w:cstheme="minorHAnsi"/>
          <w:sz w:val="26"/>
          <w:szCs w:val="26"/>
        </w:rPr>
        <w:t>nr. 3/10219/11.09.2025.</w:t>
      </w:r>
    </w:p>
    <w:p w14:paraId="1845892E" w14:textId="11388B56" w:rsidR="00170A5F" w:rsidRPr="00170A5F" w:rsidRDefault="00170A5F" w:rsidP="009E3AD8">
      <w:pPr>
        <w:spacing w:line="276" w:lineRule="auto"/>
        <w:ind w:firstLine="540"/>
        <w:jc w:val="both"/>
        <w:rPr>
          <w:rFonts w:asciiTheme="minorHAnsi" w:hAnsiTheme="minorHAnsi" w:cstheme="minorHAnsi"/>
          <w:b/>
          <w:i/>
          <w:iCs/>
          <w:color w:val="000000"/>
          <w:sz w:val="26"/>
          <w:szCs w:val="26"/>
        </w:rPr>
      </w:pPr>
      <w:r w:rsidRPr="00170A5F">
        <w:rPr>
          <w:rFonts w:asciiTheme="minorHAnsi" w:hAnsiTheme="minorHAnsi" w:cstheme="minorHAnsi"/>
          <w:sz w:val="26"/>
          <w:szCs w:val="26"/>
        </w:rPr>
        <w:tab/>
        <w:t xml:space="preserve">În ședința din data de </w:t>
      </w:r>
      <w:r w:rsidR="005B6FCD">
        <w:rPr>
          <w:rFonts w:asciiTheme="minorHAnsi" w:hAnsiTheme="minorHAnsi" w:cstheme="minorHAnsi"/>
          <w:sz w:val="26"/>
          <w:szCs w:val="26"/>
        </w:rPr>
        <w:t>0</w:t>
      </w:r>
      <w:r w:rsidRPr="00170A5F">
        <w:rPr>
          <w:rFonts w:asciiTheme="minorHAnsi" w:hAnsiTheme="minorHAnsi" w:cstheme="minorHAnsi"/>
          <w:sz w:val="26"/>
          <w:szCs w:val="26"/>
        </w:rPr>
        <w:t xml:space="preserve">4 septembrie 2025, la solicitarea Senatului României, Comisia nr. 1 - reunită „Legislație și cooperare interinstituțională” a analizat </w:t>
      </w:r>
      <w:r w:rsidRPr="00170A5F">
        <w:rPr>
          <w:rFonts w:asciiTheme="minorHAnsi" w:hAnsiTheme="minorHAnsi" w:cstheme="minorHAnsi"/>
          <w:iCs/>
          <w:sz w:val="26"/>
          <w:szCs w:val="26"/>
        </w:rPr>
        <w:t>Propunerea legislativă</w:t>
      </w:r>
      <w:r w:rsidRPr="00170A5F">
        <w:rPr>
          <w:rFonts w:asciiTheme="minorHAnsi" w:hAnsiTheme="minorHAnsi" w:cstheme="minorHAnsi"/>
          <w:i/>
          <w:sz w:val="26"/>
          <w:szCs w:val="26"/>
        </w:rPr>
        <w:t xml:space="preserve"> </w:t>
      </w:r>
      <w:r w:rsidRPr="00170A5F">
        <w:rPr>
          <w:rFonts w:asciiTheme="minorHAnsi" w:hAnsiTheme="minorHAnsi" w:cstheme="minorHAnsi"/>
          <w:iCs/>
          <w:sz w:val="26"/>
          <w:szCs w:val="26"/>
        </w:rPr>
        <w:t xml:space="preserve">pentru modificarea și completarea Legii nr. 134/2010, privind </w:t>
      </w:r>
      <w:r w:rsidR="00662CA9">
        <w:rPr>
          <w:rFonts w:asciiTheme="minorHAnsi" w:hAnsiTheme="minorHAnsi" w:cstheme="minorHAnsi"/>
          <w:iCs/>
          <w:sz w:val="26"/>
          <w:szCs w:val="26"/>
        </w:rPr>
        <w:t>C</w:t>
      </w:r>
      <w:r w:rsidRPr="00170A5F">
        <w:rPr>
          <w:rFonts w:asciiTheme="minorHAnsi" w:hAnsiTheme="minorHAnsi" w:cstheme="minorHAnsi"/>
          <w:iCs/>
          <w:sz w:val="26"/>
          <w:szCs w:val="26"/>
        </w:rPr>
        <w:t xml:space="preserve">odul de procedură civilă, republicată, cu modificările și completările ulterioare (b280/26.06.2025). </w:t>
      </w:r>
      <w:r w:rsidRPr="00170A5F">
        <w:rPr>
          <w:rFonts w:asciiTheme="minorHAnsi" w:hAnsiTheme="minorHAnsi" w:cstheme="minorHAnsi"/>
          <w:color w:val="000000"/>
          <w:sz w:val="26"/>
          <w:szCs w:val="26"/>
        </w:rPr>
        <w:t xml:space="preserve">Comisia a apreciat că nu se impune adoptarea </w:t>
      </w:r>
      <w:r w:rsidRPr="00170A5F">
        <w:rPr>
          <w:rFonts w:asciiTheme="minorHAnsi" w:hAnsiTheme="minorHAnsi" w:cstheme="minorHAnsi"/>
          <w:iCs/>
          <w:color w:val="000000"/>
          <w:sz w:val="26"/>
          <w:szCs w:val="26"/>
        </w:rPr>
        <w:t xml:space="preserve">propunerii legislative, întrucât, </w:t>
      </w:r>
      <w:r w:rsidRPr="00170A5F">
        <w:rPr>
          <w:rFonts w:asciiTheme="minorHAnsi" w:hAnsiTheme="minorHAnsi" w:cstheme="minorHAnsi"/>
          <w:bCs/>
          <w:color w:val="000000"/>
          <w:sz w:val="26"/>
          <w:szCs w:val="26"/>
        </w:rPr>
        <w:t xml:space="preserve">astfel cum rezultă și din considerentele Deciziei nr. 264/2020 a Curţii Constituţionale, sunt deja reglementate pârghii legale care asigură protecția debitorului și sancționează pasivitatea creditorului. În acest context, s-a apreciat că nu se impune completarea art. 715 cu un text potrivit căruia contestaţia privind prescripţia dreptului de a obţine </w:t>
      </w:r>
      <w:r w:rsidRPr="00170A5F">
        <w:rPr>
          <w:rFonts w:asciiTheme="minorHAnsi" w:hAnsiTheme="minorHAnsi" w:cstheme="minorHAnsi"/>
          <w:bCs/>
          <w:color w:val="000000"/>
          <w:sz w:val="26"/>
          <w:szCs w:val="26"/>
        </w:rPr>
        <w:lastRenderedPageBreak/>
        <w:t>executarea silită să poată fi introdusă în tot cursul executării silite.</w:t>
      </w:r>
      <w:r w:rsidRPr="00170A5F">
        <w:rPr>
          <w:rFonts w:asciiTheme="minorHAnsi" w:hAnsiTheme="minorHAnsi" w:cstheme="minorHAnsi"/>
          <w:i/>
          <w:iCs/>
          <w:sz w:val="26"/>
          <w:szCs w:val="26"/>
        </w:rPr>
        <w:t xml:space="preserve"> </w:t>
      </w:r>
      <w:proofErr w:type="spellStart"/>
      <w:r w:rsidRPr="00A35EF2">
        <w:rPr>
          <w:rStyle w:val="NoSpacingChar"/>
          <w:rFonts w:asciiTheme="minorHAnsi" w:hAnsiTheme="minorHAnsi" w:cstheme="minorHAnsi"/>
          <w:sz w:val="26"/>
          <w:szCs w:val="26"/>
          <w:lang w:val="fr-FR"/>
        </w:rPr>
        <w:t>Răspunsul</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Comisiei</w:t>
      </w:r>
      <w:proofErr w:type="spellEnd"/>
      <w:r w:rsidRPr="00A35EF2">
        <w:rPr>
          <w:rStyle w:val="NoSpacingChar"/>
          <w:rFonts w:asciiTheme="minorHAnsi" w:hAnsiTheme="minorHAnsi" w:cstheme="minorHAnsi"/>
          <w:sz w:val="26"/>
          <w:szCs w:val="26"/>
          <w:lang w:val="fr-FR"/>
        </w:rPr>
        <w:t xml:space="preserve"> a </w:t>
      </w:r>
      <w:proofErr w:type="spellStart"/>
      <w:r w:rsidRPr="00A35EF2">
        <w:rPr>
          <w:rStyle w:val="NoSpacingChar"/>
          <w:rFonts w:asciiTheme="minorHAnsi" w:hAnsiTheme="minorHAnsi" w:cstheme="minorHAnsi"/>
          <w:sz w:val="26"/>
          <w:szCs w:val="26"/>
          <w:lang w:val="fr-FR"/>
        </w:rPr>
        <w:t>fost</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comunicat</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Senatului</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României</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prin</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adresa</w:t>
      </w:r>
      <w:proofErr w:type="spellEnd"/>
      <w:r w:rsidRPr="00A35EF2">
        <w:rPr>
          <w:rStyle w:val="NoSpacingChar"/>
          <w:rFonts w:asciiTheme="minorHAnsi" w:hAnsiTheme="minorHAnsi" w:cstheme="minorHAnsi"/>
          <w:sz w:val="26"/>
          <w:szCs w:val="26"/>
          <w:lang w:val="fr-FR"/>
        </w:rPr>
        <w:t xml:space="preserve"> nr. 3/10325/12.09.2025.</w:t>
      </w:r>
    </w:p>
    <w:p w14:paraId="3EAC6CFF" w14:textId="0DCBED8A" w:rsidR="00170A5F" w:rsidRPr="00A35EF2" w:rsidRDefault="00170A5F" w:rsidP="009E3AD8">
      <w:pPr>
        <w:spacing w:line="276" w:lineRule="auto"/>
        <w:ind w:firstLine="708"/>
        <w:jc w:val="both"/>
        <w:rPr>
          <w:rStyle w:val="NoSpacingChar"/>
          <w:rFonts w:asciiTheme="minorHAnsi" w:hAnsiTheme="minorHAnsi" w:cstheme="minorHAnsi"/>
          <w:sz w:val="26"/>
          <w:szCs w:val="26"/>
          <w:lang w:val="fr-FR"/>
        </w:rPr>
      </w:pPr>
      <w:r w:rsidRPr="00170A5F">
        <w:rPr>
          <w:rFonts w:asciiTheme="minorHAnsi" w:hAnsiTheme="minorHAnsi" w:cstheme="minorHAnsi"/>
          <w:sz w:val="26"/>
          <w:szCs w:val="26"/>
        </w:rPr>
        <w:t xml:space="preserve">La solicitarea Senatului României, în ședința din data de </w:t>
      </w:r>
      <w:r w:rsidR="005B6FCD">
        <w:rPr>
          <w:rFonts w:asciiTheme="minorHAnsi" w:hAnsiTheme="minorHAnsi" w:cstheme="minorHAnsi"/>
          <w:sz w:val="26"/>
          <w:szCs w:val="26"/>
        </w:rPr>
        <w:t>0</w:t>
      </w:r>
      <w:r w:rsidRPr="00170A5F">
        <w:rPr>
          <w:rFonts w:asciiTheme="minorHAnsi" w:hAnsiTheme="minorHAnsi" w:cstheme="minorHAnsi"/>
          <w:sz w:val="26"/>
          <w:szCs w:val="26"/>
        </w:rPr>
        <w:t xml:space="preserve">4 septembrie 2025, Comisia nr. 1 judecători „Legislație și cooperare interinstituțională” a analizat </w:t>
      </w:r>
      <w:r w:rsidRPr="00170A5F">
        <w:rPr>
          <w:rFonts w:asciiTheme="minorHAnsi" w:hAnsiTheme="minorHAnsi" w:cstheme="minorHAnsi"/>
          <w:iCs/>
          <w:sz w:val="26"/>
          <w:szCs w:val="26"/>
        </w:rPr>
        <w:t xml:space="preserve">Propunerea legislativă </w:t>
      </w:r>
      <w:r w:rsidRPr="00170A5F">
        <w:rPr>
          <w:rFonts w:asciiTheme="minorHAnsi" w:hAnsiTheme="minorHAnsi" w:cstheme="minorHAnsi"/>
          <w:bCs/>
          <w:iCs/>
          <w:sz w:val="26"/>
          <w:szCs w:val="26"/>
        </w:rPr>
        <w:t xml:space="preserve">pentru </w:t>
      </w:r>
      <w:r w:rsidRPr="00170A5F">
        <w:rPr>
          <w:rFonts w:asciiTheme="minorHAnsi" w:hAnsiTheme="minorHAnsi" w:cstheme="minorHAnsi"/>
          <w:sz w:val="26"/>
          <w:szCs w:val="26"/>
        </w:rPr>
        <w:t>completarea</w:t>
      </w:r>
      <w:r w:rsidRPr="00170A5F">
        <w:rPr>
          <w:rFonts w:asciiTheme="minorHAnsi" w:hAnsiTheme="minorHAnsi" w:cstheme="minorHAnsi"/>
          <w:i/>
          <w:sz w:val="26"/>
          <w:szCs w:val="26"/>
        </w:rPr>
        <w:t xml:space="preserve"> </w:t>
      </w:r>
      <w:r w:rsidRPr="00170A5F">
        <w:rPr>
          <w:rFonts w:asciiTheme="minorHAnsi" w:hAnsiTheme="minorHAnsi" w:cstheme="minorHAnsi"/>
          <w:sz w:val="26"/>
          <w:szCs w:val="26"/>
        </w:rPr>
        <w:t>art. 14 din O</w:t>
      </w:r>
      <w:r w:rsidR="00662CA9">
        <w:rPr>
          <w:rFonts w:asciiTheme="minorHAnsi" w:hAnsiTheme="minorHAnsi" w:cstheme="minorHAnsi"/>
          <w:sz w:val="26"/>
          <w:szCs w:val="26"/>
        </w:rPr>
        <w:t xml:space="preserve">.G. </w:t>
      </w:r>
      <w:r w:rsidRPr="00170A5F">
        <w:rPr>
          <w:rFonts w:asciiTheme="minorHAnsi" w:hAnsiTheme="minorHAnsi" w:cstheme="minorHAnsi"/>
          <w:sz w:val="26"/>
          <w:szCs w:val="26"/>
        </w:rPr>
        <w:t xml:space="preserve">nr. 65/1994 privind organizarea activităţii de expertiză contabilă şi a contabililor autorizaţi (b221/05.06.2025). </w:t>
      </w:r>
      <w:proofErr w:type="spellStart"/>
      <w:r w:rsidRPr="00A35EF2">
        <w:rPr>
          <w:rStyle w:val="NoSpacingChar"/>
          <w:rFonts w:asciiTheme="minorHAnsi" w:hAnsiTheme="minorHAnsi" w:cstheme="minorHAnsi"/>
          <w:sz w:val="26"/>
          <w:szCs w:val="26"/>
          <w:lang w:val="fr-FR"/>
        </w:rPr>
        <w:t>Răspunsul</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Comisiei</w:t>
      </w:r>
      <w:proofErr w:type="spellEnd"/>
      <w:r w:rsidRPr="00A35EF2">
        <w:rPr>
          <w:rStyle w:val="NoSpacingChar"/>
          <w:rFonts w:asciiTheme="minorHAnsi" w:hAnsiTheme="minorHAnsi" w:cstheme="minorHAnsi"/>
          <w:sz w:val="26"/>
          <w:szCs w:val="26"/>
          <w:lang w:val="fr-FR"/>
        </w:rPr>
        <w:t xml:space="preserve"> a </w:t>
      </w:r>
      <w:proofErr w:type="spellStart"/>
      <w:r w:rsidRPr="00A35EF2">
        <w:rPr>
          <w:rStyle w:val="NoSpacingChar"/>
          <w:rFonts w:asciiTheme="minorHAnsi" w:hAnsiTheme="minorHAnsi" w:cstheme="minorHAnsi"/>
          <w:sz w:val="26"/>
          <w:szCs w:val="26"/>
          <w:lang w:val="fr-FR"/>
        </w:rPr>
        <w:t>fost</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comunicat</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Senatului</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României</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cu</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adresa</w:t>
      </w:r>
      <w:proofErr w:type="spellEnd"/>
      <w:r w:rsidRPr="00A35EF2">
        <w:rPr>
          <w:rStyle w:val="NoSpacingChar"/>
          <w:rFonts w:asciiTheme="minorHAnsi" w:hAnsiTheme="minorHAnsi" w:cstheme="minorHAnsi"/>
          <w:sz w:val="26"/>
          <w:szCs w:val="26"/>
          <w:lang w:val="fr-FR"/>
        </w:rPr>
        <w:t xml:space="preserve"> nr. 3/8489/16.09.2025.</w:t>
      </w:r>
    </w:p>
    <w:p w14:paraId="77DE50D2" w14:textId="3EACA82E" w:rsidR="00170A5F" w:rsidRPr="00170A5F" w:rsidRDefault="00170A5F" w:rsidP="009E3AD8">
      <w:pPr>
        <w:spacing w:line="276" w:lineRule="auto"/>
        <w:ind w:firstLine="540"/>
        <w:jc w:val="both"/>
        <w:rPr>
          <w:rFonts w:asciiTheme="minorHAnsi" w:hAnsiTheme="minorHAnsi" w:cstheme="minorHAnsi"/>
          <w:sz w:val="26"/>
          <w:szCs w:val="26"/>
        </w:rPr>
      </w:pPr>
      <w:r w:rsidRPr="00A35EF2">
        <w:rPr>
          <w:rStyle w:val="NoSpacingChar"/>
          <w:rFonts w:asciiTheme="minorHAnsi" w:hAnsiTheme="minorHAnsi" w:cstheme="minorHAnsi"/>
          <w:sz w:val="26"/>
          <w:szCs w:val="26"/>
          <w:lang w:val="fr-FR"/>
        </w:rPr>
        <w:tab/>
      </w:r>
      <w:r w:rsidRPr="00170A5F">
        <w:rPr>
          <w:rFonts w:asciiTheme="minorHAnsi" w:hAnsiTheme="minorHAnsi" w:cstheme="minorHAnsi"/>
          <w:sz w:val="26"/>
          <w:szCs w:val="26"/>
        </w:rPr>
        <w:t xml:space="preserve">La solicitarea Senatului României, în ședința din data de </w:t>
      </w:r>
      <w:r w:rsidR="005B6FCD">
        <w:rPr>
          <w:rFonts w:asciiTheme="minorHAnsi" w:hAnsiTheme="minorHAnsi" w:cstheme="minorHAnsi"/>
          <w:sz w:val="26"/>
          <w:szCs w:val="26"/>
        </w:rPr>
        <w:t>0</w:t>
      </w:r>
      <w:r w:rsidRPr="00170A5F">
        <w:rPr>
          <w:rFonts w:asciiTheme="minorHAnsi" w:hAnsiTheme="minorHAnsi" w:cstheme="minorHAnsi"/>
          <w:sz w:val="26"/>
          <w:szCs w:val="26"/>
        </w:rPr>
        <w:t xml:space="preserve">4 septembrie 2025, Comisia nr. 1 judecători „Legislație și cooperare interinstituțională” a analizat </w:t>
      </w:r>
      <w:r w:rsidRPr="00170A5F">
        <w:rPr>
          <w:rFonts w:asciiTheme="minorHAnsi" w:hAnsiTheme="minorHAnsi" w:cstheme="minorHAnsi"/>
          <w:iCs/>
          <w:sz w:val="26"/>
          <w:szCs w:val="26"/>
        </w:rPr>
        <w:t>Propunerea legislativă pentru</w:t>
      </w:r>
      <w:r w:rsidRPr="00170A5F">
        <w:rPr>
          <w:rFonts w:asciiTheme="minorHAnsi" w:hAnsiTheme="minorHAnsi" w:cstheme="minorHAnsi"/>
          <w:i/>
          <w:sz w:val="26"/>
          <w:szCs w:val="26"/>
        </w:rPr>
        <w:t xml:space="preserve"> </w:t>
      </w:r>
      <w:r w:rsidRPr="00170A5F">
        <w:rPr>
          <w:rFonts w:asciiTheme="minorHAnsi" w:hAnsiTheme="minorHAnsi" w:cstheme="minorHAnsi"/>
          <w:sz w:val="26"/>
          <w:szCs w:val="26"/>
        </w:rPr>
        <w:t>completarea art. 2 din O</w:t>
      </w:r>
      <w:r w:rsidR="00662CA9">
        <w:rPr>
          <w:rFonts w:asciiTheme="minorHAnsi" w:hAnsiTheme="minorHAnsi" w:cstheme="minorHAnsi"/>
          <w:sz w:val="26"/>
          <w:szCs w:val="26"/>
        </w:rPr>
        <w:t xml:space="preserve">.G. </w:t>
      </w:r>
      <w:r w:rsidRPr="00170A5F">
        <w:rPr>
          <w:rFonts w:asciiTheme="minorHAnsi" w:hAnsiTheme="minorHAnsi" w:cstheme="minorHAnsi"/>
          <w:sz w:val="26"/>
          <w:szCs w:val="26"/>
        </w:rPr>
        <w:t>nr. 71/2001 privind organizarea activităţii de consultanţă fiscală şi a art. 2 din O</w:t>
      </w:r>
      <w:r w:rsidR="00662CA9">
        <w:rPr>
          <w:rFonts w:asciiTheme="minorHAnsi" w:hAnsiTheme="minorHAnsi" w:cstheme="minorHAnsi"/>
          <w:sz w:val="26"/>
          <w:szCs w:val="26"/>
        </w:rPr>
        <w:t xml:space="preserve">.G. </w:t>
      </w:r>
      <w:r w:rsidRPr="00170A5F">
        <w:rPr>
          <w:rFonts w:asciiTheme="minorHAnsi" w:hAnsiTheme="minorHAnsi" w:cstheme="minorHAnsi"/>
          <w:sz w:val="26"/>
          <w:szCs w:val="26"/>
        </w:rPr>
        <w:t>nr.</w:t>
      </w:r>
      <w:r w:rsidR="00662CA9">
        <w:rPr>
          <w:rFonts w:asciiTheme="minorHAnsi" w:hAnsiTheme="minorHAnsi" w:cstheme="minorHAnsi"/>
          <w:sz w:val="26"/>
          <w:szCs w:val="26"/>
        </w:rPr>
        <w:t xml:space="preserve"> </w:t>
      </w:r>
      <w:r w:rsidRPr="00170A5F">
        <w:rPr>
          <w:rFonts w:asciiTheme="minorHAnsi" w:hAnsiTheme="minorHAnsi" w:cstheme="minorHAnsi"/>
          <w:sz w:val="26"/>
          <w:szCs w:val="26"/>
        </w:rPr>
        <w:t>24/2011</w:t>
      </w:r>
      <w:r w:rsidR="00662CA9">
        <w:rPr>
          <w:rFonts w:asciiTheme="minorHAnsi" w:hAnsiTheme="minorHAnsi" w:cstheme="minorHAnsi"/>
          <w:sz w:val="26"/>
          <w:szCs w:val="26"/>
        </w:rPr>
        <w:t xml:space="preserve"> </w:t>
      </w:r>
      <w:r w:rsidRPr="00170A5F">
        <w:rPr>
          <w:rFonts w:asciiTheme="minorHAnsi" w:hAnsiTheme="minorHAnsi" w:cstheme="minorHAnsi"/>
          <w:sz w:val="26"/>
          <w:szCs w:val="26"/>
        </w:rPr>
        <w:t xml:space="preserve">privind organizarea şi exercitarea activităţii de evaluare (b223/05.06.2025). </w:t>
      </w:r>
      <w:proofErr w:type="spellStart"/>
      <w:r w:rsidRPr="00A35EF2">
        <w:rPr>
          <w:rStyle w:val="NoSpacingChar"/>
          <w:rFonts w:asciiTheme="minorHAnsi" w:hAnsiTheme="minorHAnsi" w:cstheme="minorHAnsi"/>
          <w:sz w:val="26"/>
          <w:szCs w:val="26"/>
          <w:lang w:val="fr-FR"/>
        </w:rPr>
        <w:t>Punctul</w:t>
      </w:r>
      <w:proofErr w:type="spellEnd"/>
      <w:r w:rsidRPr="00A35EF2">
        <w:rPr>
          <w:rStyle w:val="NoSpacingChar"/>
          <w:rFonts w:asciiTheme="minorHAnsi" w:hAnsiTheme="minorHAnsi" w:cstheme="minorHAnsi"/>
          <w:sz w:val="26"/>
          <w:szCs w:val="26"/>
          <w:lang w:val="fr-FR"/>
        </w:rPr>
        <w:t xml:space="preserve"> de </w:t>
      </w:r>
      <w:proofErr w:type="spellStart"/>
      <w:r w:rsidRPr="00A35EF2">
        <w:rPr>
          <w:rStyle w:val="NoSpacingChar"/>
          <w:rFonts w:asciiTheme="minorHAnsi" w:hAnsiTheme="minorHAnsi" w:cstheme="minorHAnsi"/>
          <w:sz w:val="26"/>
          <w:szCs w:val="26"/>
          <w:lang w:val="fr-FR"/>
        </w:rPr>
        <w:t>vedere</w:t>
      </w:r>
      <w:proofErr w:type="spellEnd"/>
      <w:r w:rsidRPr="00A35EF2">
        <w:rPr>
          <w:rStyle w:val="NoSpacingChar"/>
          <w:rFonts w:asciiTheme="minorHAnsi" w:hAnsiTheme="minorHAnsi" w:cstheme="minorHAnsi"/>
          <w:sz w:val="26"/>
          <w:szCs w:val="26"/>
          <w:lang w:val="fr-FR"/>
        </w:rPr>
        <w:t xml:space="preserve"> al </w:t>
      </w:r>
      <w:proofErr w:type="spellStart"/>
      <w:r w:rsidRPr="00A35EF2">
        <w:rPr>
          <w:rStyle w:val="NoSpacingChar"/>
          <w:rFonts w:asciiTheme="minorHAnsi" w:hAnsiTheme="minorHAnsi" w:cstheme="minorHAnsi"/>
          <w:sz w:val="26"/>
          <w:szCs w:val="26"/>
          <w:lang w:val="fr-FR"/>
        </w:rPr>
        <w:t>Comisiei</w:t>
      </w:r>
      <w:proofErr w:type="spellEnd"/>
      <w:r w:rsidRPr="00A35EF2">
        <w:rPr>
          <w:rStyle w:val="NoSpacingChar"/>
          <w:rFonts w:asciiTheme="minorHAnsi" w:hAnsiTheme="minorHAnsi" w:cstheme="minorHAnsi"/>
          <w:sz w:val="26"/>
          <w:szCs w:val="26"/>
          <w:lang w:val="fr-FR"/>
        </w:rPr>
        <w:t xml:space="preserve"> a </w:t>
      </w:r>
      <w:proofErr w:type="spellStart"/>
      <w:r w:rsidRPr="00A35EF2">
        <w:rPr>
          <w:rStyle w:val="NoSpacingChar"/>
          <w:rFonts w:asciiTheme="minorHAnsi" w:hAnsiTheme="minorHAnsi" w:cstheme="minorHAnsi"/>
          <w:sz w:val="26"/>
          <w:szCs w:val="26"/>
          <w:lang w:val="fr-FR"/>
        </w:rPr>
        <w:t>fost</w:t>
      </w:r>
      <w:proofErr w:type="spellEnd"/>
      <w:r w:rsidRPr="00A35EF2">
        <w:rPr>
          <w:rStyle w:val="NoSpacingChar"/>
          <w:rFonts w:asciiTheme="minorHAnsi" w:hAnsiTheme="minorHAnsi" w:cstheme="minorHAnsi"/>
          <w:sz w:val="26"/>
          <w:szCs w:val="26"/>
          <w:lang w:val="fr-FR"/>
        </w:rPr>
        <w:t xml:space="preserve"> transmis </w:t>
      </w:r>
      <w:r w:rsidRPr="00170A5F">
        <w:rPr>
          <w:rFonts w:asciiTheme="minorHAnsi" w:hAnsiTheme="minorHAnsi" w:cstheme="minorHAnsi"/>
          <w:sz w:val="26"/>
          <w:szCs w:val="26"/>
        </w:rPr>
        <w:t>Senatului României</w:t>
      </w:r>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cu</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adresa</w:t>
      </w:r>
      <w:proofErr w:type="spellEnd"/>
      <w:r w:rsidRPr="00A35EF2">
        <w:rPr>
          <w:rStyle w:val="NoSpacingChar"/>
          <w:rFonts w:asciiTheme="minorHAnsi" w:hAnsiTheme="minorHAnsi" w:cstheme="minorHAnsi"/>
          <w:sz w:val="26"/>
          <w:szCs w:val="26"/>
          <w:lang w:val="fr-FR"/>
        </w:rPr>
        <w:t xml:space="preserve"> </w:t>
      </w:r>
      <w:r w:rsidRPr="00170A5F">
        <w:rPr>
          <w:rFonts w:asciiTheme="minorHAnsi" w:hAnsiTheme="minorHAnsi" w:cstheme="minorHAnsi"/>
          <w:sz w:val="26"/>
          <w:szCs w:val="26"/>
        </w:rPr>
        <w:t>nr. 3/8490/16.09.2025.</w:t>
      </w:r>
    </w:p>
    <w:p w14:paraId="26CF6E7E" w14:textId="6E48119D" w:rsidR="00170A5F" w:rsidRPr="00170A5F" w:rsidRDefault="00170A5F" w:rsidP="009E3AD8">
      <w:pPr>
        <w:spacing w:line="276" w:lineRule="auto"/>
        <w:ind w:firstLine="709"/>
        <w:jc w:val="both"/>
        <w:rPr>
          <w:rFonts w:asciiTheme="minorHAnsi" w:hAnsiTheme="minorHAnsi" w:cstheme="minorHAnsi"/>
          <w:sz w:val="26"/>
          <w:szCs w:val="26"/>
        </w:rPr>
      </w:pPr>
      <w:r w:rsidRPr="00170A5F">
        <w:rPr>
          <w:rFonts w:asciiTheme="minorHAnsi" w:hAnsiTheme="minorHAnsi" w:cstheme="minorHAnsi"/>
          <w:sz w:val="26"/>
          <w:szCs w:val="26"/>
        </w:rPr>
        <w:t xml:space="preserve">La solicitarea Senatului României, în ședința din data de </w:t>
      </w:r>
      <w:r w:rsidR="005B6FCD">
        <w:rPr>
          <w:rFonts w:asciiTheme="minorHAnsi" w:hAnsiTheme="minorHAnsi" w:cstheme="minorHAnsi"/>
          <w:sz w:val="26"/>
          <w:szCs w:val="26"/>
        </w:rPr>
        <w:t>0</w:t>
      </w:r>
      <w:r w:rsidRPr="00170A5F">
        <w:rPr>
          <w:rFonts w:asciiTheme="minorHAnsi" w:hAnsiTheme="minorHAnsi" w:cstheme="minorHAnsi"/>
          <w:sz w:val="26"/>
          <w:szCs w:val="26"/>
        </w:rPr>
        <w:t xml:space="preserve">9 octombrie 2025, Comisia nr. 1 - reunită „Legislație și cooperare interinstituțională” a analizat </w:t>
      </w:r>
      <w:r w:rsidRPr="00170A5F">
        <w:rPr>
          <w:rFonts w:asciiTheme="minorHAnsi" w:hAnsiTheme="minorHAnsi" w:cstheme="minorHAnsi"/>
          <w:iCs/>
          <w:sz w:val="26"/>
          <w:szCs w:val="26"/>
        </w:rPr>
        <w:t>Propunerea legislativă pentru modificarea și completarea Legii nr. 286/2009 privind Codul penal, publicată în Monitorul Oficial al României, Partea I, nr. 510 din 24 iulie 2009, cu modificările și completările ulterioare (b357/02.09.2025).</w:t>
      </w:r>
      <w:r w:rsidRPr="00A35EF2">
        <w:rPr>
          <w:rStyle w:val="NoSpacingChar"/>
          <w:rFonts w:asciiTheme="minorHAnsi" w:hAnsiTheme="minorHAnsi" w:cstheme="minorHAnsi"/>
          <w:sz w:val="26"/>
          <w:szCs w:val="26"/>
          <w:lang w:val="ro-RO"/>
        </w:rPr>
        <w:t xml:space="preserve"> Punctul de vedere al Comisiei în sensul că proiectul nu poate fi adoptat în forma propusă de către iniţiator a fost comunicat Senatului României, împreună cu argumentele care au fost avute în vedere, prin adresa </w:t>
      </w:r>
      <w:r w:rsidRPr="00170A5F">
        <w:rPr>
          <w:rFonts w:asciiTheme="minorHAnsi" w:hAnsiTheme="minorHAnsi" w:cstheme="minorHAnsi"/>
          <w:sz w:val="26"/>
          <w:szCs w:val="26"/>
        </w:rPr>
        <w:t>nr. 3/13711/14.10.2025.</w:t>
      </w:r>
    </w:p>
    <w:p w14:paraId="7ECEA851" w14:textId="33C27F00" w:rsidR="00170A5F" w:rsidRPr="00170A5F" w:rsidRDefault="00170A5F" w:rsidP="009E3AD8">
      <w:pPr>
        <w:spacing w:line="276" w:lineRule="auto"/>
        <w:ind w:firstLine="709"/>
        <w:jc w:val="both"/>
        <w:rPr>
          <w:rFonts w:asciiTheme="minorHAnsi" w:hAnsiTheme="minorHAnsi" w:cstheme="minorHAnsi"/>
          <w:sz w:val="26"/>
          <w:szCs w:val="26"/>
        </w:rPr>
      </w:pPr>
      <w:r w:rsidRPr="00170A5F">
        <w:rPr>
          <w:rFonts w:asciiTheme="minorHAnsi" w:hAnsiTheme="minorHAnsi" w:cstheme="minorHAnsi"/>
          <w:sz w:val="26"/>
          <w:szCs w:val="26"/>
        </w:rPr>
        <w:t xml:space="preserve">La solicitarea Senatului României, în ședința din data de </w:t>
      </w:r>
      <w:r w:rsidR="00FB35A8">
        <w:rPr>
          <w:rFonts w:asciiTheme="minorHAnsi" w:hAnsiTheme="minorHAnsi" w:cstheme="minorHAnsi"/>
          <w:sz w:val="26"/>
          <w:szCs w:val="26"/>
        </w:rPr>
        <w:t>0</w:t>
      </w:r>
      <w:r w:rsidRPr="00170A5F">
        <w:rPr>
          <w:rFonts w:asciiTheme="minorHAnsi" w:hAnsiTheme="minorHAnsi" w:cstheme="minorHAnsi"/>
          <w:sz w:val="26"/>
          <w:szCs w:val="26"/>
        </w:rPr>
        <w:t xml:space="preserve">9 octombrie 2025, Comisia nr. 1 - reunită „Legislație și cooperare interinstituțională” a analizat </w:t>
      </w:r>
      <w:r w:rsidRPr="00170A5F">
        <w:rPr>
          <w:rFonts w:asciiTheme="minorHAnsi" w:hAnsiTheme="minorHAnsi" w:cstheme="minorHAnsi"/>
          <w:iCs/>
          <w:sz w:val="26"/>
          <w:szCs w:val="26"/>
        </w:rPr>
        <w:t>Propunerea legislativă pentru modificarea și completarea Legii nr. 254/2013 privind executarea pedepselor și a măsurilor privative de libertate dispuse de organele judiciare în cursul procesului penal</w:t>
      </w:r>
      <w:r w:rsidRPr="00170A5F">
        <w:rPr>
          <w:rFonts w:asciiTheme="minorHAnsi" w:hAnsiTheme="minorHAnsi" w:cstheme="minorHAnsi"/>
          <w:sz w:val="26"/>
          <w:szCs w:val="26"/>
        </w:rPr>
        <w:t xml:space="preserve"> (b366/02.09.2025).</w:t>
      </w:r>
      <w:r w:rsidRPr="00A35EF2">
        <w:rPr>
          <w:rStyle w:val="NoSpacingChar"/>
          <w:rFonts w:asciiTheme="minorHAnsi" w:hAnsiTheme="minorHAnsi" w:cstheme="minorHAnsi"/>
          <w:sz w:val="26"/>
          <w:szCs w:val="26"/>
          <w:lang w:val="ro-RO"/>
        </w:rPr>
        <w:t xml:space="preserve"> Punctul de vedere al Comisiei în sensul că proiectul nu poate fi adoptat în forma propusă a fost comunicat Senatului României, împreună cu argumentele care au fost avute în vedere, prin adresa </w:t>
      </w:r>
      <w:r w:rsidRPr="00170A5F">
        <w:rPr>
          <w:rFonts w:asciiTheme="minorHAnsi" w:hAnsiTheme="minorHAnsi" w:cstheme="minorHAnsi"/>
          <w:sz w:val="26"/>
          <w:szCs w:val="26"/>
        </w:rPr>
        <w:t>nr. 3/13726/14.10.2025.</w:t>
      </w:r>
    </w:p>
    <w:p w14:paraId="591C35BE" w14:textId="478EE204" w:rsidR="00170A5F" w:rsidRPr="00170A5F" w:rsidRDefault="00170A5F" w:rsidP="009E3AD8">
      <w:pPr>
        <w:spacing w:line="276" w:lineRule="auto"/>
        <w:ind w:firstLine="709"/>
        <w:jc w:val="both"/>
        <w:rPr>
          <w:rFonts w:asciiTheme="minorHAnsi" w:hAnsiTheme="minorHAnsi" w:cstheme="minorHAnsi"/>
          <w:sz w:val="26"/>
          <w:szCs w:val="26"/>
        </w:rPr>
      </w:pPr>
      <w:r w:rsidRPr="00170A5F">
        <w:rPr>
          <w:rFonts w:asciiTheme="minorHAnsi" w:hAnsiTheme="minorHAnsi" w:cstheme="minorHAnsi"/>
          <w:sz w:val="26"/>
          <w:szCs w:val="26"/>
        </w:rPr>
        <w:t xml:space="preserve">La solicitarea Senatului României, în ședința din data de </w:t>
      </w:r>
      <w:r w:rsidR="00FB35A8">
        <w:rPr>
          <w:rFonts w:asciiTheme="minorHAnsi" w:hAnsiTheme="minorHAnsi" w:cstheme="minorHAnsi"/>
          <w:sz w:val="26"/>
          <w:szCs w:val="26"/>
        </w:rPr>
        <w:t>0</w:t>
      </w:r>
      <w:r w:rsidRPr="00170A5F">
        <w:rPr>
          <w:rFonts w:asciiTheme="minorHAnsi" w:hAnsiTheme="minorHAnsi" w:cstheme="minorHAnsi"/>
          <w:sz w:val="26"/>
          <w:szCs w:val="26"/>
        </w:rPr>
        <w:t xml:space="preserve">9 octombrie 2025, Comisia nr. 1 - reunită „Legislație și cooperare interinstituțională” a analizat </w:t>
      </w:r>
      <w:r w:rsidRPr="00170A5F">
        <w:rPr>
          <w:rFonts w:asciiTheme="minorHAnsi" w:hAnsiTheme="minorHAnsi" w:cstheme="minorHAnsi"/>
          <w:iCs/>
          <w:sz w:val="26"/>
          <w:szCs w:val="26"/>
        </w:rPr>
        <w:t xml:space="preserve">Propunerea legislativă pentru modificarea Legii nr. 286/2009 privind Codul penal (b370/03.09.2025). </w:t>
      </w:r>
      <w:r w:rsidRPr="00170A5F">
        <w:rPr>
          <w:rFonts w:asciiTheme="minorHAnsi" w:hAnsiTheme="minorHAnsi" w:cstheme="minorHAnsi"/>
          <w:sz w:val="26"/>
          <w:szCs w:val="26"/>
        </w:rPr>
        <w:t>Comisia de specialitate a Consiliului a reținut că prin propunerea legislativă analizată se urmărește înăsprirea regimului sancționator al infracțiunii prevăzute la art. 348 din Codul penal, de la pedeapsa actuală (închisoare de la 3 luni la 1 an sau amendă), la închisoarea de la 6 luni la 5 ani. Comisia a apreciat că soluția propusă nu este ferită de critici, atât în raport cu fundamentarea ei, cât și în raport cu cadrul normativ actual. Inițiatorul pare să urmărească nu atât descurajarea comiterii faptei, cât modificarea atitudinii organelor judiciare în cauzele având ca obiect această infracțiune.</w:t>
      </w:r>
      <w:r w:rsidRPr="00A35EF2">
        <w:rPr>
          <w:rStyle w:val="NoSpacingChar"/>
          <w:rFonts w:asciiTheme="minorHAnsi" w:hAnsiTheme="minorHAnsi" w:cstheme="minorHAnsi"/>
          <w:sz w:val="26"/>
          <w:szCs w:val="26"/>
          <w:lang w:val="ro-RO"/>
        </w:rPr>
        <w:t xml:space="preserve"> Punctul de vedere al Comisiei în sensul că proiectul nu poate fi adoptat în forma propusă a fost comunicat Comisiei juridice, de disciplină şi imunităţi a Camerei Deputaţilor, împreună cu argumentele care au fost avute în vedere, prin adresa </w:t>
      </w:r>
      <w:r w:rsidRPr="00170A5F">
        <w:rPr>
          <w:rFonts w:asciiTheme="minorHAnsi" w:hAnsiTheme="minorHAnsi" w:cstheme="minorHAnsi"/>
          <w:sz w:val="26"/>
          <w:szCs w:val="26"/>
        </w:rPr>
        <w:t>nr. 3/13646/20.10.2025.</w:t>
      </w:r>
    </w:p>
    <w:p w14:paraId="2A469FDA" w14:textId="4F818413" w:rsidR="00170A5F" w:rsidRPr="00170A5F" w:rsidRDefault="00170A5F" w:rsidP="009E3AD8">
      <w:pPr>
        <w:spacing w:line="276" w:lineRule="auto"/>
        <w:ind w:firstLine="709"/>
        <w:jc w:val="both"/>
        <w:rPr>
          <w:rFonts w:asciiTheme="minorHAnsi" w:hAnsiTheme="minorHAnsi" w:cstheme="minorHAnsi"/>
          <w:sz w:val="26"/>
          <w:szCs w:val="26"/>
        </w:rPr>
      </w:pPr>
      <w:r w:rsidRPr="00170A5F">
        <w:rPr>
          <w:rFonts w:asciiTheme="minorHAnsi" w:hAnsiTheme="minorHAnsi" w:cstheme="minorHAnsi"/>
          <w:sz w:val="26"/>
          <w:szCs w:val="26"/>
        </w:rPr>
        <w:t xml:space="preserve">La solicitarea Senatului României, în ședința din data de </w:t>
      </w:r>
      <w:r w:rsidR="00FB35A8">
        <w:rPr>
          <w:rFonts w:asciiTheme="minorHAnsi" w:hAnsiTheme="minorHAnsi" w:cstheme="minorHAnsi"/>
          <w:sz w:val="26"/>
          <w:szCs w:val="26"/>
        </w:rPr>
        <w:t>0</w:t>
      </w:r>
      <w:r w:rsidRPr="00170A5F">
        <w:rPr>
          <w:rFonts w:asciiTheme="minorHAnsi" w:hAnsiTheme="minorHAnsi" w:cstheme="minorHAnsi"/>
          <w:sz w:val="26"/>
          <w:szCs w:val="26"/>
        </w:rPr>
        <w:t xml:space="preserve">9 octombrie 2025, Comisia nr. 1 – judecători „Legislație și cooperare interinstituțională” a analizat </w:t>
      </w:r>
      <w:r w:rsidRPr="00170A5F">
        <w:rPr>
          <w:rFonts w:asciiTheme="minorHAnsi" w:hAnsiTheme="minorHAnsi" w:cstheme="minorHAnsi"/>
          <w:iCs/>
          <w:sz w:val="26"/>
          <w:szCs w:val="26"/>
        </w:rPr>
        <w:t xml:space="preserve">Propunerea legislativă </w:t>
      </w:r>
      <w:r w:rsidRPr="00170A5F">
        <w:rPr>
          <w:rFonts w:asciiTheme="minorHAnsi" w:hAnsiTheme="minorHAnsi" w:cstheme="minorHAnsi"/>
          <w:bCs/>
          <w:iCs/>
          <w:sz w:val="26"/>
          <w:szCs w:val="26"/>
        </w:rPr>
        <w:t xml:space="preserve">privind dreptul la petiționare și reglementarea soluționării petițiilor </w:t>
      </w:r>
      <w:r w:rsidRPr="00170A5F">
        <w:rPr>
          <w:rFonts w:asciiTheme="minorHAnsi" w:hAnsiTheme="minorHAnsi" w:cstheme="minorHAnsi"/>
          <w:bCs/>
          <w:sz w:val="26"/>
          <w:szCs w:val="26"/>
        </w:rPr>
        <w:t>(</w:t>
      </w:r>
      <w:r w:rsidRPr="00170A5F">
        <w:rPr>
          <w:rFonts w:asciiTheme="minorHAnsi" w:hAnsiTheme="minorHAnsi" w:cstheme="minorHAnsi"/>
          <w:bCs/>
          <w:iCs/>
          <w:sz w:val="26"/>
          <w:szCs w:val="26"/>
        </w:rPr>
        <w:t xml:space="preserve">b326/20.08.2025). </w:t>
      </w:r>
      <w:r w:rsidRPr="00A35EF2">
        <w:rPr>
          <w:rStyle w:val="NoSpacingChar"/>
          <w:rFonts w:asciiTheme="minorHAnsi" w:hAnsiTheme="minorHAnsi" w:cstheme="minorHAnsi"/>
          <w:sz w:val="26"/>
          <w:szCs w:val="26"/>
          <w:lang w:val="ro-RO"/>
        </w:rPr>
        <w:t xml:space="preserve">Punctul de vedere al Comisiei în sensul că proiectul nu poate fi adoptat în forma propusă a fost comunicat </w:t>
      </w:r>
      <w:r w:rsidRPr="00A35EF2">
        <w:rPr>
          <w:rStyle w:val="NoSpacingChar"/>
          <w:rFonts w:asciiTheme="minorHAnsi" w:hAnsiTheme="minorHAnsi" w:cstheme="minorHAnsi"/>
          <w:sz w:val="26"/>
          <w:szCs w:val="26"/>
          <w:lang w:val="ro-RO"/>
        </w:rPr>
        <w:lastRenderedPageBreak/>
        <w:t xml:space="preserve">Senatului României, împreună cu argumentele care au fost avute în vedere, prin adresa </w:t>
      </w:r>
      <w:r w:rsidRPr="00170A5F">
        <w:rPr>
          <w:rFonts w:asciiTheme="minorHAnsi" w:hAnsiTheme="minorHAnsi" w:cstheme="minorHAnsi"/>
          <w:sz w:val="26"/>
          <w:szCs w:val="26"/>
        </w:rPr>
        <w:t>nr. 3/13617/21.10.2025.</w:t>
      </w:r>
    </w:p>
    <w:p w14:paraId="726F4243" w14:textId="31499A23" w:rsidR="00170A5F" w:rsidRPr="007B31BE" w:rsidRDefault="00170A5F" w:rsidP="009E3AD8">
      <w:pPr>
        <w:spacing w:line="276" w:lineRule="auto"/>
        <w:ind w:firstLine="708"/>
        <w:jc w:val="both"/>
        <w:rPr>
          <w:rFonts w:asciiTheme="minorHAnsi" w:hAnsiTheme="minorHAnsi" w:cstheme="minorHAnsi"/>
          <w:sz w:val="26"/>
          <w:szCs w:val="26"/>
        </w:rPr>
      </w:pPr>
      <w:r w:rsidRPr="00170A5F">
        <w:rPr>
          <w:rFonts w:asciiTheme="minorHAnsi" w:hAnsiTheme="minorHAnsi" w:cstheme="minorHAnsi"/>
          <w:sz w:val="26"/>
          <w:szCs w:val="26"/>
        </w:rPr>
        <w:t xml:space="preserve">La solicitarea Camerei Deputaţilor, în ședința din data de </w:t>
      </w:r>
      <w:r w:rsidR="00FB35A8">
        <w:rPr>
          <w:rFonts w:asciiTheme="minorHAnsi" w:hAnsiTheme="minorHAnsi" w:cstheme="minorHAnsi"/>
          <w:sz w:val="26"/>
          <w:szCs w:val="26"/>
        </w:rPr>
        <w:t>0</w:t>
      </w:r>
      <w:r w:rsidRPr="00170A5F">
        <w:rPr>
          <w:rFonts w:asciiTheme="minorHAnsi" w:hAnsiTheme="minorHAnsi" w:cstheme="minorHAnsi"/>
          <w:sz w:val="26"/>
          <w:szCs w:val="26"/>
        </w:rPr>
        <w:t xml:space="preserve">9 octombrie 2025, Comisia nr. 1 – reunită „Legislație și cooperare interinstituțională” a analizat </w:t>
      </w:r>
      <w:r w:rsidRPr="00170A5F">
        <w:rPr>
          <w:rFonts w:asciiTheme="minorHAnsi" w:hAnsiTheme="minorHAnsi" w:cstheme="minorHAnsi"/>
          <w:iCs/>
          <w:sz w:val="26"/>
          <w:szCs w:val="26"/>
        </w:rPr>
        <w:t>Propunerea legislativă privind organizarea și funcționarea Direcției Generale Anticorupție din cadrul Ministerului Afacerilor</w:t>
      </w:r>
      <w:r w:rsidRPr="00170A5F">
        <w:rPr>
          <w:rFonts w:asciiTheme="minorHAnsi" w:hAnsiTheme="minorHAnsi" w:cstheme="minorHAnsi"/>
          <w:i/>
          <w:iCs/>
          <w:sz w:val="26"/>
          <w:szCs w:val="26"/>
        </w:rPr>
        <w:t xml:space="preserve"> </w:t>
      </w:r>
      <w:r w:rsidRPr="00170A5F">
        <w:rPr>
          <w:rFonts w:asciiTheme="minorHAnsi" w:hAnsiTheme="minorHAnsi" w:cstheme="minorHAnsi"/>
          <w:iCs/>
          <w:sz w:val="26"/>
          <w:szCs w:val="26"/>
        </w:rPr>
        <w:t>Interne</w:t>
      </w:r>
      <w:r w:rsidRPr="00A35EF2">
        <w:rPr>
          <w:rStyle w:val="NoSpacingChar"/>
          <w:rFonts w:asciiTheme="minorHAnsi" w:hAnsiTheme="minorHAnsi" w:cstheme="minorHAnsi"/>
          <w:sz w:val="26"/>
          <w:szCs w:val="26"/>
          <w:lang w:val="ro-RO"/>
        </w:rPr>
        <w:t xml:space="preserve">. S-a apreciat că </w:t>
      </w:r>
      <w:r w:rsidRPr="00170A5F">
        <w:rPr>
          <w:rFonts w:asciiTheme="minorHAnsi" w:hAnsiTheme="minorHAnsi" w:cstheme="minorHAnsi"/>
          <w:sz w:val="26"/>
          <w:szCs w:val="26"/>
        </w:rPr>
        <w:t xml:space="preserve">soluţia extinderii competenţei organelor de cercetare penală ale Direcţiei Generale Anticorupţie </w:t>
      </w:r>
      <w:r w:rsidRPr="00170A5F">
        <w:rPr>
          <w:rFonts w:asciiTheme="minorHAnsi" w:hAnsiTheme="minorHAnsi" w:cstheme="minorHAnsi"/>
          <w:bCs/>
          <w:sz w:val="26"/>
          <w:szCs w:val="26"/>
        </w:rPr>
        <w:t>contravine soluției consacrate de Înalta Curte de Casație și Justiție prin Decizia nr. 8/2025, pronunțată în recurs în interesul legii, dezlegare care constituie expresia specializării organelor judiciare, care impune ca atunci când prin lege este reglementată existența unui organ judiciar specializat în prevenirea și combaterea corupției în rândul personalului Ministerului Afacerilor Interne, competența acestui organ să fie limitată exclusiv la aceste infracțiuni și persoane.</w:t>
      </w:r>
      <w:r w:rsidRPr="00170A5F">
        <w:rPr>
          <w:rFonts w:asciiTheme="minorHAnsi" w:hAnsiTheme="minorHAnsi" w:cstheme="minorHAnsi"/>
          <w:sz w:val="26"/>
          <w:szCs w:val="26"/>
        </w:rPr>
        <w:t xml:space="preserve"> Rațiunea acestei limitări decurge din însăși finalitatea instituirii specializării, respectiv creșterea eficienței, asigurarea unui nivel superior de calitate și sporirea capacității instituționale de a reacționa la dinamica accentuată a fenomenului corupției. Extinderea atribuțiilor dincolo de obiectul propriu de activitate ar însemna, pe de o parte, negarea fundamentului care a justificat specializarea, iar pe de altă parte, utilizarea inadecvată a resurselor umane ale </w:t>
      </w:r>
      <w:r w:rsidRPr="007B31BE">
        <w:rPr>
          <w:rFonts w:asciiTheme="minorHAnsi" w:hAnsiTheme="minorHAnsi" w:cstheme="minorHAnsi"/>
          <w:sz w:val="26"/>
          <w:szCs w:val="26"/>
        </w:rPr>
        <w:t xml:space="preserve">direcției. </w:t>
      </w:r>
      <w:r w:rsidRPr="007B31BE">
        <w:rPr>
          <w:rStyle w:val="NoSpacingChar"/>
          <w:rFonts w:asciiTheme="minorHAnsi" w:hAnsiTheme="minorHAnsi" w:cstheme="minorHAnsi"/>
          <w:sz w:val="26"/>
          <w:szCs w:val="26"/>
          <w:lang w:val="ro-RO"/>
        </w:rPr>
        <w:t xml:space="preserve">Punctul de vedere al Comisiei în sensul că proiectul nu poate fi adoptat în forma propusă a fost comunicat Senatului României, împreună cu argumentele care au fost avute în vedere, prin adresa </w:t>
      </w:r>
      <w:r w:rsidRPr="007B31BE">
        <w:rPr>
          <w:rFonts w:asciiTheme="minorHAnsi" w:hAnsiTheme="minorHAnsi" w:cstheme="minorHAnsi"/>
          <w:sz w:val="26"/>
          <w:szCs w:val="26"/>
        </w:rPr>
        <w:t>nr. 3/9423/21.10.2025.</w:t>
      </w:r>
    </w:p>
    <w:p w14:paraId="61AC4EF9" w14:textId="04E708ED" w:rsidR="003B5B08" w:rsidRPr="007B31BE" w:rsidRDefault="003B5B08" w:rsidP="003B5B08">
      <w:pPr>
        <w:spacing w:line="276" w:lineRule="auto"/>
        <w:ind w:firstLine="708"/>
        <w:jc w:val="both"/>
        <w:rPr>
          <w:rFonts w:asciiTheme="minorHAnsi" w:hAnsiTheme="minorHAnsi" w:cstheme="minorHAnsi"/>
          <w:sz w:val="26"/>
          <w:szCs w:val="26"/>
        </w:rPr>
      </w:pPr>
      <w:r w:rsidRPr="007B31BE">
        <w:rPr>
          <w:rFonts w:asciiTheme="minorHAnsi" w:hAnsiTheme="minorHAnsi" w:cstheme="minorHAnsi"/>
          <w:sz w:val="26"/>
          <w:szCs w:val="26"/>
        </w:rPr>
        <w:t>La solicitarea Senatului României, în ședința din data de 23 octombrie 2025, Comisia nr. 1 - reunită „Legislație și cooperare interinstituțională” a analizat Propunerea legislativă privind prevenirea și combaterea violenței de gen împotriva femeilor – „Întâi Femeia” (b358/02.09.2025). Comisia a reţinut că propunerea legislativă conține o multitudine de formulări generale, la nivel de principiu, însă, în esență, atât drepturile reglementate, cât și obligațiile instituite în sarcina autorităților se regăsesc deja consacrate, fie la nivelul Constituției României, fie în Codurile civil/penal, Codurile de procedură civilă/penală ori în cuprinsul altor acte normative. Comisia a apreciat că ceea ce lipsește este o mai bună coordonare între autorități, în cazul abordărilor transversale ori o înțelegere mai profundă a conceptelor, inclusiv din perspectivă sensibilă la gen, o transparență sporită cu privire la serviciile de sprijin disponibile pentru victime, ceea ce se poate suplini prin acțiuni de formare, conștientizare și de promovare a bunelor practici, dar și prin întărirea capacității administrative a autorităților, inclusiv prin asigurarea unei finanțări corespunzătoare, care să permită, printre altele, digitalizarea sistemelor și schimburile de date dintre autorități, precum și prin colaborarea cu societatea civilă.</w:t>
      </w:r>
      <w:r w:rsidR="007B31BE" w:rsidRPr="007B31BE">
        <w:rPr>
          <w:rFonts w:asciiTheme="minorHAnsi" w:hAnsiTheme="minorHAnsi" w:cstheme="minorHAnsi"/>
          <w:sz w:val="26"/>
          <w:szCs w:val="26"/>
        </w:rPr>
        <w:t xml:space="preserve"> </w:t>
      </w:r>
      <w:r w:rsidRPr="007B31BE">
        <w:rPr>
          <w:rFonts w:asciiTheme="minorHAnsi" w:hAnsiTheme="minorHAnsi" w:cstheme="minorHAnsi"/>
          <w:sz w:val="26"/>
          <w:szCs w:val="26"/>
        </w:rPr>
        <w:t>Prin urmare, în ceea ce privește soluțiile propuse în cadrul propunerii legislative analizate, având în vedere existența unor importante deficiențe de fond și de formă, necorelarea cu dispozițiile legale în vigoare, inclusiv la nivel terminologic, comisia a apreciat că forma actuală a propunerii legislative nu întrunește criteriile de calitate a legii. Punctul de vedere al Comisiei în sensul că proiectul nu poate fi adoptat în forma propusă a fost comunicat Senatului României, împreună cu argumentele care au fost avute în vedere, prin adresa nr. 3/13721/28.10.2025.</w:t>
      </w:r>
    </w:p>
    <w:p w14:paraId="2A5E888A" w14:textId="77777777" w:rsidR="003B5B08" w:rsidRPr="007B31BE" w:rsidRDefault="003B5B08" w:rsidP="003B5B08">
      <w:pPr>
        <w:spacing w:line="276" w:lineRule="auto"/>
        <w:ind w:firstLine="708"/>
        <w:jc w:val="both"/>
        <w:rPr>
          <w:rFonts w:asciiTheme="minorHAnsi" w:hAnsiTheme="minorHAnsi" w:cstheme="minorHAnsi"/>
          <w:sz w:val="26"/>
          <w:szCs w:val="26"/>
        </w:rPr>
      </w:pPr>
      <w:r w:rsidRPr="007B31BE">
        <w:rPr>
          <w:rFonts w:asciiTheme="minorHAnsi" w:hAnsiTheme="minorHAnsi" w:cstheme="minorHAnsi"/>
          <w:sz w:val="26"/>
          <w:szCs w:val="26"/>
        </w:rPr>
        <w:t xml:space="preserve">La solicitarea Senatului României, în ședința din data de 23 octombrie 2025, Comisia nr. 1 - reunită „Legislație și cooperare interinstituțională” a analizat Propunerea legislativă pentru modificarea art. 91 alin. (31) din Legea nr. 286/2009 privind Codul penal (b386/05.09.2025). Punctul de vedere al Comisiei în sensul că proiectul nu poate fi adoptat în forma propusă a fost </w:t>
      </w:r>
      <w:r w:rsidRPr="007B31BE">
        <w:rPr>
          <w:rFonts w:asciiTheme="minorHAnsi" w:hAnsiTheme="minorHAnsi" w:cstheme="minorHAnsi"/>
          <w:sz w:val="26"/>
          <w:szCs w:val="26"/>
        </w:rPr>
        <w:lastRenderedPageBreak/>
        <w:t>comunicat Senatului României, împreună cu argumentele care au fost avute în vedere, prin adresa nr. 3/13737/28.10.2025.</w:t>
      </w:r>
    </w:p>
    <w:p w14:paraId="07A8E70F" w14:textId="036238B5" w:rsidR="003B5B08" w:rsidRPr="007B31BE" w:rsidRDefault="003B5B08" w:rsidP="003B5B08">
      <w:pPr>
        <w:spacing w:line="276" w:lineRule="auto"/>
        <w:ind w:firstLine="708"/>
        <w:jc w:val="both"/>
        <w:rPr>
          <w:rFonts w:asciiTheme="minorHAnsi" w:hAnsiTheme="minorHAnsi" w:cstheme="minorHAnsi"/>
          <w:sz w:val="26"/>
          <w:szCs w:val="26"/>
        </w:rPr>
      </w:pPr>
      <w:r w:rsidRPr="007B31BE">
        <w:rPr>
          <w:rFonts w:asciiTheme="minorHAnsi" w:hAnsiTheme="minorHAnsi" w:cstheme="minorHAnsi"/>
          <w:sz w:val="26"/>
          <w:szCs w:val="26"/>
        </w:rPr>
        <w:t>La solicitarea Senatului României, în ședința din data de 23 octombrie 2025, Comisia nr. 1 - reunită „Legislație și cooperare interinstituțională” a analizat Propunerea legislativă pentru modificarea și completarea Legii nr. 286/2009 privind Codul penal, publicată în Monitorul Oficial al României, Partea I, nr. 510 din 24 iulie 2009, cu modificările și completările ulterioare (b408/16.09.2025). Punctul de vedere al Comisiei în sensul că proiectul nu poate fi adoptat în forma propusă a fost comunicat Senatului României, împreună cu argumentele care au fost avute în vedere, prin adresa nr. 3/14287/28.10.2025.</w:t>
      </w:r>
    </w:p>
    <w:p w14:paraId="75B4E484" w14:textId="77777777" w:rsidR="003B5B08" w:rsidRPr="007B31BE" w:rsidRDefault="003B5B08" w:rsidP="003B5B08">
      <w:pPr>
        <w:spacing w:line="276" w:lineRule="auto"/>
        <w:ind w:firstLine="708"/>
        <w:jc w:val="both"/>
        <w:rPr>
          <w:rFonts w:asciiTheme="minorHAnsi" w:hAnsiTheme="minorHAnsi" w:cstheme="minorHAnsi"/>
          <w:sz w:val="26"/>
          <w:szCs w:val="26"/>
        </w:rPr>
      </w:pPr>
      <w:r w:rsidRPr="007B31BE">
        <w:rPr>
          <w:rFonts w:asciiTheme="minorHAnsi" w:hAnsiTheme="minorHAnsi" w:cstheme="minorHAnsi"/>
          <w:sz w:val="26"/>
          <w:szCs w:val="26"/>
        </w:rPr>
        <w:t>La solicitarea Senatului României, în ședința din data de 23 octombrie 2025, Comisia nr. 1 - reunită „Legislație și cooperare interinstituțională” a analizat Propunerea legislativă pentru modificarea și completarea Legii nr. 146/2021 privind monitorizarea electronică în cadrul unor proceduri judiciare și execuțional penale și a Legii nr. 217/2003 pentru prevenirea și combaterea violenței domestice, republicată (b422/18.09.2025). Potrivit celor reţinute de comisia de specialitate a Consiliului, propunerea legislativă se dovedește insuficient fundamentată din perspectiva cerințelor constituționale și convenționale privind restrângerea exercițiului drepturilor fundamentale, întrucât nu asigură un just echilibru între interesul general al protejării victimelor și dreptul individual la viață privată al persoanei monitorizate. Punctul de vedere al Comisiei în sensul că proiectul nu poate fi adoptat în forma propusă a fost comunicat Senatului României, împreună cu argumentele care au fost avute în vedere, prin adresa nr. 3/14493/28.10.2025.</w:t>
      </w:r>
    </w:p>
    <w:p w14:paraId="37AF9364" w14:textId="77777777" w:rsidR="003B5B08" w:rsidRPr="007B31BE" w:rsidRDefault="003B5B08" w:rsidP="003B5B08">
      <w:pPr>
        <w:spacing w:line="276" w:lineRule="auto"/>
        <w:ind w:firstLine="708"/>
        <w:jc w:val="both"/>
        <w:rPr>
          <w:rFonts w:asciiTheme="minorHAnsi" w:hAnsiTheme="minorHAnsi" w:cstheme="minorHAnsi"/>
          <w:sz w:val="26"/>
          <w:szCs w:val="26"/>
        </w:rPr>
      </w:pPr>
      <w:r w:rsidRPr="007B31BE">
        <w:rPr>
          <w:rFonts w:asciiTheme="minorHAnsi" w:hAnsiTheme="minorHAnsi" w:cstheme="minorHAnsi"/>
          <w:sz w:val="26"/>
          <w:szCs w:val="26"/>
        </w:rPr>
        <w:t>La solicitarea Senatului României, în ședința din data de 23 octombrie 2025, Comisia nr. 1 - reunită „Legislație și cooperare interinstituțională” a analizat Propunerea legislativă pentru modificarea și completarea Legii nr. 286/2009 privind Codul penal, publicată în Monitorul Oficial al României, Partea I, nr. 510 din 24 iulie 2009, cu modificările şi completările ulterioare (b356/02.09.2025). Observaţiile Comisiei au fost transmise Senatului României prin adresa nr. 3/13651/29.10.2025.</w:t>
      </w:r>
    </w:p>
    <w:p w14:paraId="65B62B7B" w14:textId="2E4E2738" w:rsidR="003B5B08" w:rsidRPr="007B31BE" w:rsidRDefault="003B5B08" w:rsidP="003B5B08">
      <w:pPr>
        <w:spacing w:line="276" w:lineRule="auto"/>
        <w:ind w:firstLine="708"/>
        <w:jc w:val="both"/>
        <w:rPr>
          <w:rFonts w:asciiTheme="minorHAnsi" w:hAnsiTheme="minorHAnsi" w:cstheme="minorHAnsi"/>
          <w:sz w:val="26"/>
          <w:szCs w:val="26"/>
        </w:rPr>
      </w:pPr>
      <w:r w:rsidRPr="007B31BE">
        <w:rPr>
          <w:rFonts w:asciiTheme="minorHAnsi" w:hAnsiTheme="minorHAnsi" w:cstheme="minorHAnsi"/>
          <w:sz w:val="26"/>
          <w:szCs w:val="26"/>
        </w:rPr>
        <w:t xml:space="preserve">La solicitarea Senatului României, în ședința din data de </w:t>
      </w:r>
      <w:r w:rsidR="007B31BE" w:rsidRPr="007B31BE">
        <w:rPr>
          <w:rFonts w:asciiTheme="minorHAnsi" w:hAnsiTheme="minorHAnsi" w:cstheme="minorHAnsi"/>
          <w:sz w:val="26"/>
          <w:szCs w:val="26"/>
        </w:rPr>
        <w:t>0</w:t>
      </w:r>
      <w:r w:rsidRPr="007B31BE">
        <w:rPr>
          <w:rFonts w:asciiTheme="minorHAnsi" w:hAnsiTheme="minorHAnsi" w:cstheme="minorHAnsi"/>
          <w:sz w:val="26"/>
          <w:szCs w:val="26"/>
        </w:rPr>
        <w:t>6 noiembrie 2025, Comisia nr. 1 - reunită „Legislație și cooperare interinstituțională” a analizat Propunerea legislativă pentru completarea Legii nr. 207/2015 privind Codul de procedură fiscală (b414/17.09.2025). Având în vedere riscul producerii unor perturbări majore în derularea raporturilor contractuale dintre părțile vizate de procedura cuprinsă în propunerea legislativă, precum și iminența declanșării unor litigii pentru clarificarea condițiilor în care ar fi emise titlurile de creanță, respectiv a regimului juridic aplicabil fazei de executare silită, comisia de specialitate a apreciat că normele propuse nu cuprind suficiente elemente pentru a asigura claritatea reglementării și a elimina confuziile, nefiind în acord cu standardele constituționale din punctul de vedere al calității legii. Răspunsul Consiliului a fost transmis cu adresa nr. 3/14491/10.11.2025.</w:t>
      </w:r>
    </w:p>
    <w:p w14:paraId="18AF0AD1" w14:textId="07434EE3" w:rsidR="003B5B08" w:rsidRPr="007B31BE" w:rsidRDefault="003B5B08" w:rsidP="003B5B08">
      <w:pPr>
        <w:spacing w:line="276" w:lineRule="auto"/>
        <w:ind w:firstLine="708"/>
        <w:jc w:val="both"/>
        <w:rPr>
          <w:rFonts w:asciiTheme="minorHAnsi" w:hAnsiTheme="minorHAnsi" w:cstheme="minorHAnsi"/>
          <w:sz w:val="26"/>
          <w:szCs w:val="26"/>
        </w:rPr>
      </w:pPr>
      <w:r w:rsidRPr="007B31BE">
        <w:rPr>
          <w:rFonts w:asciiTheme="minorHAnsi" w:hAnsiTheme="minorHAnsi" w:cstheme="minorHAnsi"/>
          <w:sz w:val="26"/>
          <w:szCs w:val="26"/>
        </w:rPr>
        <w:t xml:space="preserve">În ședința din data de </w:t>
      </w:r>
      <w:r w:rsidR="007B31BE" w:rsidRPr="007B31BE">
        <w:rPr>
          <w:rFonts w:asciiTheme="minorHAnsi" w:hAnsiTheme="minorHAnsi" w:cstheme="minorHAnsi"/>
          <w:sz w:val="26"/>
          <w:szCs w:val="26"/>
        </w:rPr>
        <w:t>0</w:t>
      </w:r>
      <w:r w:rsidRPr="007B31BE">
        <w:rPr>
          <w:rFonts w:asciiTheme="minorHAnsi" w:hAnsiTheme="minorHAnsi" w:cstheme="minorHAnsi"/>
          <w:sz w:val="26"/>
          <w:szCs w:val="26"/>
        </w:rPr>
        <w:t>6 noiembrie 2025, la solicitarea Senatului României, Comisia nr. 1 - reunită „Legislație și cooperare interinstituțională” a analizat Propunerea legislativă pentru modificarea și completarea Legii nr. 143/2000 privind prevenirea și combaterea traficului și consumului ilicit de droguri (b436/23.09.2025). Punctul de vedere al Comisiei în sensul că proiectul nu poate fi adoptat în forma propusă a fost comunicat Senatului României, împreună cu argumentele care au fost avute în vedere, prin adresa nr. 3/14678/10.11.2025.</w:t>
      </w:r>
    </w:p>
    <w:p w14:paraId="3D77B08E" w14:textId="7968FC36" w:rsidR="007B31BE" w:rsidRPr="007B31BE" w:rsidRDefault="007B31BE" w:rsidP="007B31BE">
      <w:pPr>
        <w:spacing w:line="276" w:lineRule="auto"/>
        <w:ind w:firstLine="708"/>
        <w:jc w:val="both"/>
        <w:rPr>
          <w:rFonts w:asciiTheme="minorHAnsi" w:hAnsiTheme="minorHAnsi" w:cstheme="minorHAnsi"/>
          <w:sz w:val="26"/>
          <w:szCs w:val="26"/>
        </w:rPr>
      </w:pPr>
      <w:r w:rsidRPr="007B31BE">
        <w:rPr>
          <w:rFonts w:asciiTheme="minorHAnsi" w:hAnsiTheme="minorHAnsi" w:cstheme="minorHAnsi"/>
          <w:sz w:val="26"/>
          <w:szCs w:val="26"/>
        </w:rPr>
        <w:lastRenderedPageBreak/>
        <w:t xml:space="preserve">În ședința din data de </w:t>
      </w:r>
      <w:r w:rsidRPr="007B31BE">
        <w:rPr>
          <w:rFonts w:asciiTheme="minorHAnsi" w:hAnsiTheme="minorHAnsi" w:cstheme="minorHAnsi"/>
          <w:sz w:val="26"/>
          <w:szCs w:val="26"/>
        </w:rPr>
        <w:t>0</w:t>
      </w:r>
      <w:r w:rsidRPr="007B31BE">
        <w:rPr>
          <w:rFonts w:asciiTheme="minorHAnsi" w:hAnsiTheme="minorHAnsi" w:cstheme="minorHAnsi"/>
          <w:sz w:val="26"/>
          <w:szCs w:val="26"/>
        </w:rPr>
        <w:t xml:space="preserve">6 noiembrie 2025, la solicitarea Senatului României, Comisia nr. 1 - reunită „Legislație și cooperare interinstituțională” a analizat Propunerea legislativă pentru modificarea Legii nr. 286/2009 privind Codul penal (b440/25.09.2025). Comisia de specialitate a reţinut că majorarea duratei pentru care se pot lua măsurile educative neprivative de libertate constituie o chestiune care ţine de opţiunea legiuitorului și că prezenta iniţiativă legislativă nu prezintă probleme de tehnică legislativă, motiv pentru care aceasta poate fi adoptată în forma propusă.  </w:t>
      </w:r>
    </w:p>
    <w:p w14:paraId="33BD1F5D" w14:textId="77777777" w:rsidR="007B31BE" w:rsidRPr="007B31BE" w:rsidRDefault="007B31BE" w:rsidP="007B31BE">
      <w:pPr>
        <w:spacing w:line="276" w:lineRule="auto"/>
        <w:ind w:firstLine="708"/>
        <w:jc w:val="both"/>
        <w:rPr>
          <w:rFonts w:asciiTheme="minorHAnsi" w:hAnsiTheme="minorHAnsi" w:cstheme="minorHAnsi"/>
          <w:sz w:val="26"/>
          <w:szCs w:val="26"/>
        </w:rPr>
      </w:pPr>
      <w:r w:rsidRPr="007B31BE">
        <w:rPr>
          <w:rFonts w:asciiTheme="minorHAnsi" w:hAnsiTheme="minorHAnsi" w:cstheme="minorHAnsi"/>
          <w:sz w:val="26"/>
          <w:szCs w:val="26"/>
        </w:rPr>
        <w:t>Totodată, s-a apreciat că, urmare a modificărilor propuse la art. 117 alin. (1) din Codul penal, ar trebui modificat în mod corespunzător şi art. 66 alin. (5) din Legea nr. 253/2013 privind executarea pedepselor, a măsurilor educative şi a altor măsuri neprivative de libertate dispuse de organele judiciare în cursul procesului penal, cu modificările și completările ulterioare, cu referire la durata măsurii educative a stagiului de formare civică. Răspunsul Comisiei a fost transmis Senatului României prin adresa nr. 3/14857/20.11.2025.</w:t>
      </w:r>
    </w:p>
    <w:p w14:paraId="29DA298E" w14:textId="3178F890" w:rsidR="007B31BE" w:rsidRPr="007B31BE" w:rsidRDefault="007B31BE" w:rsidP="007B31BE">
      <w:pPr>
        <w:spacing w:line="276" w:lineRule="auto"/>
        <w:ind w:firstLine="708"/>
        <w:jc w:val="both"/>
        <w:rPr>
          <w:rFonts w:asciiTheme="minorHAnsi" w:hAnsiTheme="minorHAnsi" w:cstheme="minorHAnsi"/>
          <w:sz w:val="26"/>
          <w:szCs w:val="26"/>
        </w:rPr>
      </w:pPr>
      <w:r w:rsidRPr="007B31BE">
        <w:rPr>
          <w:rFonts w:asciiTheme="minorHAnsi" w:hAnsiTheme="minorHAnsi" w:cstheme="minorHAnsi"/>
          <w:sz w:val="26"/>
          <w:szCs w:val="26"/>
        </w:rPr>
        <w:t xml:space="preserve">În ședința din data de </w:t>
      </w:r>
      <w:r w:rsidRPr="007B31BE">
        <w:rPr>
          <w:rFonts w:asciiTheme="minorHAnsi" w:hAnsiTheme="minorHAnsi" w:cstheme="minorHAnsi"/>
          <w:sz w:val="26"/>
          <w:szCs w:val="26"/>
        </w:rPr>
        <w:t>0</w:t>
      </w:r>
      <w:r w:rsidRPr="007B31BE">
        <w:rPr>
          <w:rFonts w:asciiTheme="minorHAnsi" w:hAnsiTheme="minorHAnsi" w:cstheme="minorHAnsi"/>
          <w:sz w:val="26"/>
          <w:szCs w:val="26"/>
        </w:rPr>
        <w:t>6 noiembrie 2025, la solicitarea Senatului României, Comisia nr. 1 - judecători „Legislație și cooperare interinstituțională” a analizat Propunerea legislativă pentru modificarea și completarea Legii nr. 26/2024 privind ordinul de protecţie (b458/01.10.2025). Observaţiile Comisiei au fost transmise Senatului României prin adresa nr. 3/15014/17.11.2025.</w:t>
      </w:r>
    </w:p>
    <w:p w14:paraId="0E3EB471" w14:textId="0AB2729B" w:rsidR="003B5B08" w:rsidRPr="007B31BE" w:rsidRDefault="003B5B08" w:rsidP="003B5B08">
      <w:pPr>
        <w:spacing w:line="276" w:lineRule="auto"/>
        <w:ind w:firstLine="708"/>
        <w:jc w:val="both"/>
        <w:rPr>
          <w:rFonts w:asciiTheme="minorHAnsi" w:hAnsiTheme="minorHAnsi" w:cstheme="minorHAnsi"/>
          <w:sz w:val="26"/>
          <w:szCs w:val="26"/>
        </w:rPr>
      </w:pPr>
      <w:r w:rsidRPr="007B31BE">
        <w:rPr>
          <w:rFonts w:asciiTheme="minorHAnsi" w:hAnsiTheme="minorHAnsi" w:cstheme="minorHAnsi"/>
          <w:sz w:val="26"/>
          <w:szCs w:val="26"/>
        </w:rPr>
        <w:t>La solicitarea Senatului României, în ședința din data de 13 noiembrie 2025, Comisia nr. 1 - reunită „Legislație și cooperare interinstituțională” a analizat Propunerea legislativă pentru modificarea şi completarea O</w:t>
      </w:r>
      <w:r w:rsidR="007B31BE" w:rsidRPr="007B31BE">
        <w:rPr>
          <w:rFonts w:asciiTheme="minorHAnsi" w:hAnsiTheme="minorHAnsi" w:cstheme="minorHAnsi"/>
          <w:sz w:val="26"/>
          <w:szCs w:val="26"/>
        </w:rPr>
        <w:t xml:space="preserve">.U.G. </w:t>
      </w:r>
      <w:r w:rsidRPr="007B31BE">
        <w:rPr>
          <w:rFonts w:asciiTheme="minorHAnsi" w:hAnsiTheme="minorHAnsi" w:cstheme="minorHAnsi"/>
          <w:sz w:val="26"/>
          <w:szCs w:val="26"/>
        </w:rPr>
        <w:t>nr. 57/2019 privind Codul administrativ (b478/08.10.2025). Punctul de vedere al Comisiei în sensul că proiectul nu poate fi adoptat în forma propusă a fost comunicat Senatului României, împreună cu argumentele care au fost avute în vedere, prin adresa nr. 3/15367/10.11.2025.</w:t>
      </w:r>
    </w:p>
    <w:p w14:paraId="169D1597" w14:textId="77777777" w:rsidR="003B5B08" w:rsidRPr="007B31BE" w:rsidRDefault="003B5B08" w:rsidP="003B5B08">
      <w:pPr>
        <w:spacing w:line="276" w:lineRule="auto"/>
        <w:ind w:firstLine="708"/>
        <w:jc w:val="both"/>
        <w:rPr>
          <w:rFonts w:asciiTheme="minorHAnsi" w:hAnsiTheme="minorHAnsi" w:cstheme="minorHAnsi"/>
          <w:sz w:val="26"/>
          <w:szCs w:val="26"/>
        </w:rPr>
      </w:pPr>
      <w:r w:rsidRPr="007B31BE">
        <w:rPr>
          <w:rFonts w:asciiTheme="minorHAnsi" w:hAnsiTheme="minorHAnsi" w:cstheme="minorHAnsi"/>
          <w:sz w:val="26"/>
          <w:szCs w:val="26"/>
        </w:rPr>
        <w:t>În ședința din data de 13 noiembrie 2025, la solicitarea Senatului României, Comisia nr. 1 - reunită „Legislație și cooperare interinstituțională” a analizat Propunerea legislativă pentru prevenirea și combaterea femicidelor și a violențelor care le preced (b541/29.10.2025). Observaţiile Comisiei au fost transmise Senatului României prin adresa nr. 3/16402/14.11.2025.</w:t>
      </w:r>
    </w:p>
    <w:p w14:paraId="34D00D15" w14:textId="77777777" w:rsidR="003B5B08" w:rsidRPr="007B31BE" w:rsidRDefault="003B5B08" w:rsidP="003B5B08">
      <w:pPr>
        <w:spacing w:line="276" w:lineRule="auto"/>
        <w:ind w:firstLine="708"/>
        <w:jc w:val="both"/>
        <w:rPr>
          <w:rFonts w:asciiTheme="minorHAnsi" w:hAnsiTheme="minorHAnsi" w:cstheme="minorHAnsi"/>
          <w:sz w:val="26"/>
          <w:szCs w:val="26"/>
        </w:rPr>
      </w:pPr>
      <w:r w:rsidRPr="007B31BE">
        <w:rPr>
          <w:rFonts w:asciiTheme="minorHAnsi" w:hAnsiTheme="minorHAnsi" w:cstheme="minorHAnsi"/>
          <w:sz w:val="26"/>
          <w:szCs w:val="26"/>
        </w:rPr>
        <w:t>În ședința din data de 13 noiembrie 2025, la solicitarea Senatului României, Comisia nr. 1 - reunită „Legislație și cooperare interinstituțională” a analizat Propunerea legislativă pentru modificarea și completarea Legii nr. 217/2003 pentru prevenirea și combaterea violenței domestice și a Legii nr. 26/2024 privind ordinul de protecție (b461/01.10.2025). Punctul de vedere al Comisiei în sensul că proiectul nu poate fi adoptat în forma propusă a fost comunicat Senatului României, împreună cu argumentele care au fost avute în vedere, prin adresa nr. 3/15211/19.11.2025.</w:t>
      </w:r>
    </w:p>
    <w:p w14:paraId="2C92AC2E" w14:textId="77777777" w:rsidR="003B5B08" w:rsidRPr="007B31BE" w:rsidRDefault="003B5B08" w:rsidP="003B5B08">
      <w:pPr>
        <w:spacing w:line="276" w:lineRule="auto"/>
        <w:ind w:firstLine="708"/>
        <w:jc w:val="both"/>
        <w:rPr>
          <w:rFonts w:asciiTheme="minorHAnsi" w:hAnsiTheme="minorHAnsi" w:cstheme="minorHAnsi"/>
          <w:sz w:val="26"/>
          <w:szCs w:val="26"/>
        </w:rPr>
      </w:pPr>
      <w:r w:rsidRPr="007B31BE">
        <w:rPr>
          <w:rFonts w:asciiTheme="minorHAnsi" w:hAnsiTheme="minorHAnsi" w:cstheme="minorHAnsi"/>
          <w:sz w:val="26"/>
          <w:szCs w:val="26"/>
        </w:rPr>
        <w:t>În ședința din data de 11 decembrie 2025, la solicitarea Senatului României, Comisia nr. 1 - judecători „Legislație și cooperare interinstituțională” a analizat Propunerea legislativă pentru modificarea și completarea art. 906 din Legea nr. 134/2010 privind Codul de procedură civilă - Republicată (b533/27.10.2025). Punctul de vedere al Comisiei în sensul că proiectul nu poate fi adoptat în forma propusă a fost comunicat Senatului României, împreună cu argumentele care au fost avute în vedere, prin adresa nr. 3/16403/15.12.2025.</w:t>
      </w:r>
    </w:p>
    <w:p w14:paraId="11E43A7A" w14:textId="5ABAE448" w:rsidR="003B5B08" w:rsidRPr="007B31BE" w:rsidRDefault="003B5B08" w:rsidP="003B5B08">
      <w:pPr>
        <w:spacing w:line="276" w:lineRule="auto"/>
        <w:ind w:firstLine="708"/>
        <w:jc w:val="both"/>
        <w:rPr>
          <w:rFonts w:asciiTheme="minorHAnsi" w:hAnsiTheme="minorHAnsi" w:cstheme="minorHAnsi"/>
          <w:sz w:val="26"/>
          <w:szCs w:val="26"/>
        </w:rPr>
      </w:pPr>
      <w:r w:rsidRPr="007B31BE">
        <w:rPr>
          <w:rFonts w:asciiTheme="minorHAnsi" w:hAnsiTheme="minorHAnsi" w:cstheme="minorHAnsi"/>
          <w:sz w:val="26"/>
          <w:szCs w:val="26"/>
        </w:rPr>
        <w:t>În ședința din data de 11 decembrie 2025, la solicitarea Senatului României, Comisia nr. 1 - reunită „Legislație și cooperare interinstituțională” a analizat Propunerea legislativă pentru modificarea și completarea art</w:t>
      </w:r>
      <w:r w:rsidR="007B31BE" w:rsidRPr="007B31BE">
        <w:rPr>
          <w:rFonts w:asciiTheme="minorHAnsi" w:hAnsiTheme="minorHAnsi" w:cstheme="minorHAnsi"/>
          <w:sz w:val="26"/>
          <w:szCs w:val="26"/>
        </w:rPr>
        <w:t xml:space="preserve">. </w:t>
      </w:r>
      <w:r w:rsidRPr="007B31BE">
        <w:rPr>
          <w:rFonts w:asciiTheme="minorHAnsi" w:hAnsiTheme="minorHAnsi" w:cstheme="minorHAnsi"/>
          <w:sz w:val="26"/>
          <w:szCs w:val="26"/>
        </w:rPr>
        <w:t xml:space="preserve">781 din Legea nr. 134/2010 privind Codul de procedură civilă, </w:t>
      </w:r>
      <w:r w:rsidRPr="007B31BE">
        <w:rPr>
          <w:rFonts w:asciiTheme="minorHAnsi" w:hAnsiTheme="minorHAnsi" w:cstheme="minorHAnsi"/>
          <w:sz w:val="26"/>
          <w:szCs w:val="26"/>
        </w:rPr>
        <w:lastRenderedPageBreak/>
        <w:t>republicată, cu modificările și completările ulterioare (b528/23.10.2025). Punctul de vedere al Comisiei în sensul că proiectul nu poate fi adoptat în forma propusă a fost comunicat Senatului României, împreună cu argumentele care au fost avute în vedere, prin adresa nr. 3/16194/16.12.2025.</w:t>
      </w:r>
    </w:p>
    <w:p w14:paraId="7BA42505" w14:textId="6FBAD81B" w:rsidR="003B5B08" w:rsidRPr="007B31BE" w:rsidRDefault="003B5B08" w:rsidP="003B5B08">
      <w:pPr>
        <w:spacing w:line="276" w:lineRule="auto"/>
        <w:ind w:firstLine="708"/>
        <w:jc w:val="both"/>
        <w:rPr>
          <w:rFonts w:asciiTheme="minorHAnsi" w:hAnsiTheme="minorHAnsi" w:cstheme="minorHAnsi"/>
          <w:sz w:val="26"/>
          <w:szCs w:val="26"/>
        </w:rPr>
      </w:pPr>
      <w:r w:rsidRPr="007B31BE">
        <w:rPr>
          <w:rFonts w:asciiTheme="minorHAnsi" w:hAnsiTheme="minorHAnsi" w:cstheme="minorHAnsi"/>
          <w:sz w:val="26"/>
          <w:szCs w:val="26"/>
        </w:rPr>
        <w:t xml:space="preserve">În ședința din data de 11 decembrie 2025, la solicitarea Senatului României, Comisia nr. 1 - reunită „Legislație și cooperare interinstituțională” a analizat Propunerea legislativă pentru modificarea și completarea Legii nr. 188/2000 privind executorii judecătorești  (b584/11.11.2025). Comisia a apreciat că nu se impune modificarea textului în sensul eliminării posibilității numirii fără examen sau concurs în funcția de executor judecătoresc a persoanelor care au exercitat timp de 5 ani funcția de magistrat și au promovat examenul de definitivat în profesia din care provin, forma în vigoare răspunzând mult mai bine standardelor pe care le presupun profesiile juridice. Răspunsul Consiliului a fost transmis </w:t>
      </w:r>
      <w:r w:rsidR="001523BE" w:rsidRPr="007B31BE">
        <w:rPr>
          <w:rFonts w:asciiTheme="minorHAnsi" w:hAnsiTheme="minorHAnsi" w:cstheme="minorHAnsi"/>
          <w:sz w:val="26"/>
          <w:szCs w:val="26"/>
        </w:rPr>
        <w:t>prin</w:t>
      </w:r>
      <w:r w:rsidRPr="007B31BE">
        <w:rPr>
          <w:rFonts w:asciiTheme="minorHAnsi" w:hAnsiTheme="minorHAnsi" w:cstheme="minorHAnsi"/>
          <w:sz w:val="26"/>
          <w:szCs w:val="26"/>
        </w:rPr>
        <w:t xml:space="preserve"> adresa nr. 3/17145/17.12.2025.</w:t>
      </w:r>
    </w:p>
    <w:p w14:paraId="632D34B0" w14:textId="314A9B64" w:rsidR="003B5B08" w:rsidRPr="007B31BE" w:rsidRDefault="003B5B08" w:rsidP="003B5B08">
      <w:pPr>
        <w:spacing w:line="276" w:lineRule="auto"/>
        <w:ind w:firstLine="708"/>
        <w:jc w:val="both"/>
        <w:rPr>
          <w:rFonts w:asciiTheme="minorHAnsi" w:hAnsiTheme="minorHAnsi" w:cstheme="minorHAnsi"/>
          <w:sz w:val="26"/>
          <w:szCs w:val="26"/>
        </w:rPr>
      </w:pPr>
      <w:r w:rsidRPr="007B31BE">
        <w:rPr>
          <w:rFonts w:asciiTheme="minorHAnsi" w:hAnsiTheme="minorHAnsi" w:cstheme="minorHAnsi"/>
          <w:sz w:val="26"/>
          <w:szCs w:val="26"/>
        </w:rPr>
        <w:t xml:space="preserve">În ședința din data de 11 decembrie 2025, la solicitarea Senatului României, Comisia nr. 1 - reunită „Legislație și cooperare interinstituțională” a analizat Propunerea legislativă pentru completarea Legii nr. 58 din 20 martie 2024 (b518/21.10.2025). Comisia a apreciat că propunerea legislativă nu poate fi adoptată în forma trimisă de către inițiator, întrucât actul normativ vizat de propunerea analizată este la rândul lui o lege de modificare și completare a unor acte normative. Răspunsul Consiliului a fost transmis </w:t>
      </w:r>
      <w:r w:rsidR="00BD3643" w:rsidRPr="007B31BE">
        <w:rPr>
          <w:rFonts w:asciiTheme="minorHAnsi" w:hAnsiTheme="minorHAnsi" w:cstheme="minorHAnsi"/>
          <w:sz w:val="26"/>
          <w:szCs w:val="26"/>
        </w:rPr>
        <w:t>prin</w:t>
      </w:r>
      <w:r w:rsidRPr="007B31BE">
        <w:rPr>
          <w:rFonts w:asciiTheme="minorHAnsi" w:hAnsiTheme="minorHAnsi" w:cstheme="minorHAnsi"/>
          <w:sz w:val="26"/>
          <w:szCs w:val="26"/>
        </w:rPr>
        <w:t xml:space="preserve"> adresa nr. 3/16050/17.12.2025.</w:t>
      </w:r>
    </w:p>
    <w:p w14:paraId="584B3826" w14:textId="07563A22" w:rsidR="003B5B08" w:rsidRPr="007B31BE" w:rsidRDefault="003B5B08" w:rsidP="003B5B08">
      <w:pPr>
        <w:spacing w:line="276" w:lineRule="auto"/>
        <w:ind w:firstLine="708"/>
        <w:jc w:val="both"/>
        <w:rPr>
          <w:rFonts w:asciiTheme="minorHAnsi" w:hAnsiTheme="minorHAnsi" w:cstheme="minorHAnsi"/>
          <w:sz w:val="26"/>
          <w:szCs w:val="26"/>
        </w:rPr>
      </w:pPr>
      <w:r w:rsidRPr="007B31BE">
        <w:rPr>
          <w:rFonts w:asciiTheme="minorHAnsi" w:hAnsiTheme="minorHAnsi" w:cstheme="minorHAnsi"/>
          <w:sz w:val="26"/>
          <w:szCs w:val="26"/>
        </w:rPr>
        <w:t xml:space="preserve">La solicitarea Comisiei pentru apărare, ordine publică și siguranță națională din cadrul Senatului României, în ședința din data de 11 decembrie 2025, Comisia nr. 1 - reunită „Legislație și cooperare interinstituțională” a exprimat un punct de vedere cu privire la amendamentele propuse la proiectul de Lege privind căutarea persoanelor dispărute. Punctul de vedere al Consiliului a fost transmis Comisiei pentru apărare, ordine publică și siguranță națională </w:t>
      </w:r>
      <w:r w:rsidR="00BD3643" w:rsidRPr="007B31BE">
        <w:rPr>
          <w:rFonts w:asciiTheme="minorHAnsi" w:hAnsiTheme="minorHAnsi" w:cstheme="minorHAnsi"/>
          <w:sz w:val="26"/>
          <w:szCs w:val="26"/>
        </w:rPr>
        <w:t xml:space="preserve">prin </w:t>
      </w:r>
      <w:r w:rsidRPr="007B31BE">
        <w:rPr>
          <w:rFonts w:asciiTheme="minorHAnsi" w:hAnsiTheme="minorHAnsi" w:cstheme="minorHAnsi"/>
          <w:sz w:val="26"/>
          <w:szCs w:val="26"/>
        </w:rPr>
        <w:t>adresa nr. 7/14299/18.12.2025.</w:t>
      </w:r>
    </w:p>
    <w:p w14:paraId="58B5FF71" w14:textId="77777777" w:rsidR="003B5B08" w:rsidRPr="007B31BE" w:rsidRDefault="003B5B08" w:rsidP="003B5B08">
      <w:pPr>
        <w:spacing w:line="276" w:lineRule="auto"/>
        <w:ind w:firstLine="708"/>
        <w:jc w:val="both"/>
        <w:rPr>
          <w:rFonts w:asciiTheme="minorHAnsi" w:hAnsiTheme="minorHAnsi" w:cstheme="minorHAnsi"/>
          <w:sz w:val="26"/>
          <w:szCs w:val="26"/>
        </w:rPr>
      </w:pPr>
      <w:r w:rsidRPr="007B31BE">
        <w:rPr>
          <w:rFonts w:asciiTheme="minorHAnsi" w:hAnsiTheme="minorHAnsi" w:cstheme="minorHAnsi"/>
          <w:sz w:val="26"/>
          <w:szCs w:val="26"/>
        </w:rPr>
        <w:t>La solicitarea Senatului României, în ședința din data de 11 decembrie 2025, Comisia nr. 1 - reunită „Legislație și cooperare interinstituțională” a analizat Propunerea legislativă pentru modificarea și completarea Legii nr. 286/2009 privind Codul penal, cu modificările și completările ulterioare (b582/11.11.2025). Punctul de vedere al Comisiei în sensul că proiectul nu poate fi adoptat în forma propusă a fost comunicat Senatului României, împreună cu argumentele care au fost avute în vedere, prin adresa nr. 3/17155/17.12.2025.</w:t>
      </w:r>
    </w:p>
    <w:p w14:paraId="591572A2" w14:textId="77777777" w:rsidR="003B5B08" w:rsidRPr="007B31BE" w:rsidRDefault="003B5B08" w:rsidP="003B5B08">
      <w:pPr>
        <w:spacing w:line="276" w:lineRule="auto"/>
        <w:ind w:firstLine="708"/>
        <w:jc w:val="both"/>
        <w:rPr>
          <w:rFonts w:asciiTheme="minorHAnsi" w:hAnsiTheme="minorHAnsi" w:cstheme="minorHAnsi"/>
          <w:sz w:val="26"/>
          <w:szCs w:val="26"/>
        </w:rPr>
      </w:pPr>
      <w:r w:rsidRPr="007B31BE">
        <w:rPr>
          <w:rFonts w:asciiTheme="minorHAnsi" w:hAnsiTheme="minorHAnsi" w:cstheme="minorHAnsi"/>
          <w:sz w:val="26"/>
          <w:szCs w:val="26"/>
        </w:rPr>
        <w:t>La solicitarea Senatului României, în ședința din data de 11 decembrie 2025, Comisia nr. 1 - reunită „Legislație și cooperare interinstituțională” a analizat Propunerea legislativă pentru modificarea și completarea Legii nr. 135/2010 privind Codul de procedură penală (b556/04.11.2025). Pentru considerentele expuse în adresa de răspuns nr. 3/16788/17.12.2025, comisia de specialitate a Consiliului Superior al Magistraturii a considerat că soluțiile legislative propuse ar trebui reanalizate.</w:t>
      </w:r>
    </w:p>
    <w:p w14:paraId="3A9E79B6" w14:textId="768E5A80" w:rsidR="003B5B08" w:rsidRPr="007B31BE" w:rsidRDefault="003B5B08" w:rsidP="009E3AD8">
      <w:pPr>
        <w:spacing w:line="276" w:lineRule="auto"/>
        <w:ind w:firstLine="708"/>
        <w:jc w:val="both"/>
        <w:rPr>
          <w:rFonts w:asciiTheme="minorHAnsi" w:hAnsiTheme="minorHAnsi" w:cstheme="minorHAnsi"/>
          <w:sz w:val="26"/>
          <w:szCs w:val="26"/>
        </w:rPr>
      </w:pPr>
      <w:r w:rsidRPr="007B31BE">
        <w:rPr>
          <w:rFonts w:asciiTheme="minorHAnsi" w:hAnsiTheme="minorHAnsi" w:cstheme="minorHAnsi"/>
          <w:sz w:val="26"/>
          <w:szCs w:val="26"/>
        </w:rPr>
        <w:t>La solicitarea Senatului României, în ședința din data de 11 decembrie 2025, Comisia nr. 1 - reunită „Legislație și cooperare interinstituțională” a analizat Propunerea legislativă - Constatarea din oficiu a prescripției și protecția debitorilor împotriva executărilor abuzive (b479/08.10.2025). Punctul de vedere al Comisiei în sensul că proiectul nu poate fi adoptat în forma propusă a fost comunicat Senatului României, împreună cu argumentele care au fost avute în vedere, prin adresa nr. 3/15490/17.12.2025.</w:t>
      </w:r>
    </w:p>
    <w:p w14:paraId="314DFCE7" w14:textId="239C4C7A" w:rsidR="00170A5F" w:rsidRPr="00170A5F" w:rsidRDefault="00170A5F" w:rsidP="009E3AD8">
      <w:pPr>
        <w:spacing w:line="276" w:lineRule="auto"/>
        <w:ind w:firstLine="708"/>
        <w:jc w:val="both"/>
        <w:rPr>
          <w:rFonts w:asciiTheme="minorHAnsi" w:hAnsiTheme="minorHAnsi" w:cstheme="minorHAnsi"/>
          <w:sz w:val="26"/>
          <w:szCs w:val="26"/>
        </w:rPr>
      </w:pPr>
      <w:r w:rsidRPr="00170A5F">
        <w:rPr>
          <w:rFonts w:asciiTheme="minorHAnsi" w:hAnsiTheme="minorHAnsi" w:cstheme="minorHAnsi"/>
          <w:sz w:val="26"/>
          <w:szCs w:val="26"/>
        </w:rPr>
        <w:lastRenderedPageBreak/>
        <w:t xml:space="preserve">Din perspectiva raporturilor cu puterea legislativă, trebuie menționată participarea reprezentanților Consiliului la lucrările comisiilor parlamentare pe teme privind sistemul judiciar. Astfel, la data de </w:t>
      </w:r>
      <w:r w:rsidR="00D26DE1">
        <w:rPr>
          <w:rFonts w:asciiTheme="minorHAnsi" w:hAnsiTheme="minorHAnsi" w:cstheme="minorHAnsi"/>
          <w:sz w:val="26"/>
          <w:szCs w:val="26"/>
        </w:rPr>
        <w:t>0</w:t>
      </w:r>
      <w:r w:rsidRPr="00170A5F">
        <w:rPr>
          <w:rFonts w:asciiTheme="minorHAnsi" w:hAnsiTheme="minorHAnsi" w:cstheme="minorHAnsi"/>
          <w:sz w:val="26"/>
          <w:szCs w:val="26"/>
        </w:rPr>
        <w:t>4 martie 2025, la invitaţia Comisiei pentru drepturile omului, egalitate de şanse, culte şi minorităţi, reprezentanţi ai C</w:t>
      </w:r>
      <w:r w:rsidR="0025675D">
        <w:rPr>
          <w:rFonts w:asciiTheme="minorHAnsi" w:hAnsiTheme="minorHAnsi" w:cstheme="minorHAnsi"/>
          <w:sz w:val="26"/>
          <w:szCs w:val="26"/>
        </w:rPr>
        <w:t xml:space="preserve">.S.M. </w:t>
      </w:r>
      <w:r w:rsidRPr="00170A5F">
        <w:rPr>
          <w:rFonts w:asciiTheme="minorHAnsi" w:hAnsiTheme="minorHAnsi" w:cstheme="minorHAnsi"/>
          <w:sz w:val="26"/>
          <w:szCs w:val="26"/>
        </w:rPr>
        <w:t>au participat la dezbaterile vizând proiectul de lege pentru abrogarea art. 97 alin. (4)</w:t>
      </w:r>
      <w:r w:rsidR="00D26DE1">
        <w:rPr>
          <w:rFonts w:asciiTheme="minorHAnsi" w:hAnsiTheme="minorHAnsi" w:cstheme="minorHAnsi"/>
          <w:sz w:val="26"/>
          <w:szCs w:val="26"/>
        </w:rPr>
        <w:t xml:space="preserve"> </w:t>
      </w:r>
      <w:r w:rsidRPr="00170A5F">
        <w:rPr>
          <w:rFonts w:asciiTheme="minorHAnsi" w:hAnsiTheme="minorHAnsi" w:cstheme="minorHAnsi"/>
          <w:sz w:val="26"/>
          <w:szCs w:val="26"/>
        </w:rPr>
        <w:t>-</w:t>
      </w:r>
      <w:r w:rsidR="00D26DE1">
        <w:rPr>
          <w:rFonts w:asciiTheme="minorHAnsi" w:hAnsiTheme="minorHAnsi" w:cstheme="minorHAnsi"/>
          <w:sz w:val="26"/>
          <w:szCs w:val="26"/>
        </w:rPr>
        <w:t xml:space="preserve"> </w:t>
      </w:r>
      <w:r w:rsidRPr="00170A5F">
        <w:rPr>
          <w:rFonts w:asciiTheme="minorHAnsi" w:hAnsiTheme="minorHAnsi" w:cstheme="minorHAnsi"/>
          <w:sz w:val="26"/>
          <w:szCs w:val="26"/>
        </w:rPr>
        <w:t>(13) din Legea nr. 135/2010 privind Codul de procedură penală (L29/2025).</w:t>
      </w:r>
    </w:p>
    <w:p w14:paraId="17EBE770" w14:textId="230602FE" w:rsidR="00170A5F" w:rsidRPr="00170A5F" w:rsidRDefault="00170A5F" w:rsidP="009E3AD8">
      <w:pPr>
        <w:spacing w:line="276" w:lineRule="auto"/>
        <w:ind w:firstLine="708"/>
        <w:jc w:val="both"/>
        <w:rPr>
          <w:rFonts w:asciiTheme="minorHAnsi" w:hAnsiTheme="minorHAnsi" w:cstheme="minorHAnsi"/>
          <w:sz w:val="26"/>
          <w:szCs w:val="26"/>
        </w:rPr>
      </w:pPr>
      <w:r w:rsidRPr="00170A5F">
        <w:rPr>
          <w:rFonts w:asciiTheme="minorHAnsi" w:hAnsiTheme="minorHAnsi" w:cstheme="minorHAnsi"/>
          <w:sz w:val="26"/>
          <w:szCs w:val="26"/>
        </w:rPr>
        <w:t xml:space="preserve">La data de </w:t>
      </w:r>
      <w:r w:rsidR="000264F0">
        <w:rPr>
          <w:rFonts w:asciiTheme="minorHAnsi" w:hAnsiTheme="minorHAnsi" w:cstheme="minorHAnsi"/>
          <w:sz w:val="26"/>
          <w:szCs w:val="26"/>
        </w:rPr>
        <w:t>0</w:t>
      </w:r>
      <w:r w:rsidRPr="00170A5F">
        <w:rPr>
          <w:rFonts w:asciiTheme="minorHAnsi" w:hAnsiTheme="minorHAnsi" w:cstheme="minorHAnsi"/>
          <w:sz w:val="26"/>
          <w:szCs w:val="26"/>
        </w:rPr>
        <w:t>1 aprilie 2025, reprezentanţi ai C</w:t>
      </w:r>
      <w:r w:rsidR="0025675D">
        <w:rPr>
          <w:rFonts w:asciiTheme="minorHAnsi" w:hAnsiTheme="minorHAnsi" w:cstheme="minorHAnsi"/>
          <w:sz w:val="26"/>
          <w:szCs w:val="26"/>
        </w:rPr>
        <w:t xml:space="preserve">.S.M. </w:t>
      </w:r>
      <w:r w:rsidRPr="00170A5F">
        <w:rPr>
          <w:rFonts w:asciiTheme="minorHAnsi" w:hAnsiTheme="minorHAnsi" w:cstheme="minorHAnsi"/>
          <w:sz w:val="26"/>
          <w:szCs w:val="26"/>
        </w:rPr>
        <w:t>au participat la şedinţa Comisiei juridice, de disciplină şi imunităţi în care a fost dezbătut proiectul de lege Pl-x 120/2022 privind Codul de procedură civilă.</w:t>
      </w:r>
    </w:p>
    <w:p w14:paraId="501A6C08" w14:textId="64722DDC" w:rsidR="00170A5F" w:rsidRPr="00170A5F" w:rsidRDefault="00170A5F" w:rsidP="009E3AD8">
      <w:pPr>
        <w:spacing w:line="276" w:lineRule="auto"/>
        <w:ind w:firstLine="708"/>
        <w:jc w:val="both"/>
        <w:rPr>
          <w:rFonts w:asciiTheme="minorHAnsi" w:hAnsiTheme="minorHAnsi" w:cstheme="minorHAnsi"/>
          <w:sz w:val="26"/>
          <w:szCs w:val="26"/>
        </w:rPr>
      </w:pPr>
      <w:r w:rsidRPr="00170A5F">
        <w:rPr>
          <w:rFonts w:asciiTheme="minorHAnsi" w:hAnsiTheme="minorHAnsi" w:cstheme="minorHAnsi"/>
          <w:sz w:val="26"/>
          <w:szCs w:val="26"/>
        </w:rPr>
        <w:t>La data de 22 aprilie 2025, reprezentanţi ai C</w:t>
      </w:r>
      <w:r w:rsidR="0025675D">
        <w:rPr>
          <w:rFonts w:asciiTheme="minorHAnsi" w:hAnsiTheme="minorHAnsi" w:cstheme="minorHAnsi"/>
          <w:sz w:val="26"/>
          <w:szCs w:val="26"/>
        </w:rPr>
        <w:t xml:space="preserve">.S.M. </w:t>
      </w:r>
      <w:r w:rsidRPr="00170A5F">
        <w:rPr>
          <w:rFonts w:asciiTheme="minorHAnsi" w:hAnsiTheme="minorHAnsi" w:cstheme="minorHAnsi"/>
          <w:sz w:val="26"/>
          <w:szCs w:val="26"/>
        </w:rPr>
        <w:t>au participat la şedinţa Comisiei juridice, de disciplină şi imunităţi în care a fost dezbătută Propunerea legislativă pentru modificarea unor acte normative în domeniul pensiilor de serviciu.</w:t>
      </w:r>
    </w:p>
    <w:p w14:paraId="20AF5F87" w14:textId="414D500B" w:rsidR="00170A5F" w:rsidRDefault="00170A5F" w:rsidP="009E3AD8">
      <w:pPr>
        <w:tabs>
          <w:tab w:val="left" w:pos="709"/>
        </w:tabs>
        <w:spacing w:line="276" w:lineRule="auto"/>
        <w:jc w:val="both"/>
        <w:rPr>
          <w:rFonts w:asciiTheme="minorHAnsi" w:hAnsiTheme="minorHAnsi" w:cstheme="minorHAnsi"/>
          <w:iCs/>
          <w:sz w:val="26"/>
          <w:szCs w:val="26"/>
        </w:rPr>
      </w:pPr>
      <w:r w:rsidRPr="00170A5F">
        <w:rPr>
          <w:rFonts w:asciiTheme="minorHAnsi" w:hAnsiTheme="minorHAnsi" w:cstheme="minorHAnsi"/>
          <w:iCs/>
          <w:sz w:val="26"/>
          <w:szCs w:val="26"/>
        </w:rPr>
        <w:tab/>
        <w:t>La invitaţia Comisiei juridice a Camerei Deputaţilor, reprezentanţi ai C</w:t>
      </w:r>
      <w:r w:rsidR="0025675D">
        <w:rPr>
          <w:rFonts w:asciiTheme="minorHAnsi" w:hAnsiTheme="minorHAnsi" w:cstheme="minorHAnsi"/>
          <w:iCs/>
          <w:sz w:val="26"/>
          <w:szCs w:val="26"/>
        </w:rPr>
        <w:t xml:space="preserve">.S.M. </w:t>
      </w:r>
      <w:r w:rsidRPr="00170A5F">
        <w:rPr>
          <w:rFonts w:asciiTheme="minorHAnsi" w:hAnsiTheme="minorHAnsi" w:cstheme="minorHAnsi"/>
          <w:iCs/>
          <w:sz w:val="26"/>
          <w:szCs w:val="26"/>
        </w:rPr>
        <w:t xml:space="preserve">au participat la întâlnirea organizată la data de 30 iunie 2025 în contextul unor consultări interinstituţionale, menite să fundamenteze o propunere de modificare a Codului Penal cu scopul de a preveni violenţele exercitate împotriva femeilor. Ulterior, la datele de </w:t>
      </w:r>
      <w:r w:rsidR="00533727">
        <w:rPr>
          <w:rFonts w:asciiTheme="minorHAnsi" w:hAnsiTheme="minorHAnsi" w:cstheme="minorHAnsi"/>
          <w:iCs/>
          <w:sz w:val="26"/>
          <w:szCs w:val="26"/>
        </w:rPr>
        <w:t>0</w:t>
      </w:r>
      <w:r w:rsidRPr="00170A5F">
        <w:rPr>
          <w:rFonts w:asciiTheme="minorHAnsi" w:hAnsiTheme="minorHAnsi" w:cstheme="minorHAnsi"/>
          <w:iCs/>
          <w:sz w:val="26"/>
          <w:szCs w:val="26"/>
        </w:rPr>
        <w:t xml:space="preserve">9 septembrie 2025, 16 septembrie 2025 şi </w:t>
      </w:r>
      <w:r w:rsidR="00533727">
        <w:rPr>
          <w:rFonts w:asciiTheme="minorHAnsi" w:hAnsiTheme="minorHAnsi" w:cstheme="minorHAnsi"/>
          <w:iCs/>
          <w:sz w:val="26"/>
          <w:szCs w:val="26"/>
        </w:rPr>
        <w:t>0</w:t>
      </w:r>
      <w:r w:rsidRPr="00170A5F">
        <w:rPr>
          <w:rFonts w:asciiTheme="minorHAnsi" w:hAnsiTheme="minorHAnsi" w:cstheme="minorHAnsi"/>
          <w:iCs/>
          <w:sz w:val="26"/>
          <w:szCs w:val="26"/>
        </w:rPr>
        <w:t>1 octombrie 2025, un reprezentant al C</w:t>
      </w:r>
      <w:r w:rsidR="0025675D">
        <w:rPr>
          <w:rFonts w:asciiTheme="minorHAnsi" w:hAnsiTheme="minorHAnsi" w:cstheme="minorHAnsi"/>
          <w:iCs/>
          <w:sz w:val="26"/>
          <w:szCs w:val="26"/>
        </w:rPr>
        <w:t xml:space="preserve">.S.M. </w:t>
      </w:r>
      <w:r w:rsidRPr="00170A5F">
        <w:rPr>
          <w:rFonts w:asciiTheme="minorHAnsi" w:hAnsiTheme="minorHAnsi" w:cstheme="minorHAnsi"/>
          <w:iCs/>
          <w:sz w:val="26"/>
          <w:szCs w:val="26"/>
        </w:rPr>
        <w:t xml:space="preserve">a participat la întâlnirile grupului tehnic de lucru pentru modificarea Codului Penal. </w:t>
      </w:r>
    </w:p>
    <w:p w14:paraId="4E048EC9" w14:textId="77828AE7" w:rsidR="00045725" w:rsidRPr="00B050F5" w:rsidRDefault="00045725" w:rsidP="009E3AD8">
      <w:pPr>
        <w:tabs>
          <w:tab w:val="left" w:pos="709"/>
        </w:tabs>
        <w:spacing w:line="276" w:lineRule="auto"/>
        <w:jc w:val="both"/>
        <w:rPr>
          <w:rFonts w:asciiTheme="minorHAnsi" w:hAnsiTheme="minorHAnsi" w:cstheme="minorHAnsi"/>
          <w:iCs/>
          <w:sz w:val="26"/>
          <w:szCs w:val="26"/>
        </w:rPr>
      </w:pPr>
      <w:r>
        <w:rPr>
          <w:rFonts w:asciiTheme="minorHAnsi" w:hAnsiTheme="minorHAnsi" w:cstheme="minorHAnsi"/>
          <w:iCs/>
          <w:color w:val="FF0000"/>
          <w:sz w:val="26"/>
          <w:szCs w:val="26"/>
        </w:rPr>
        <w:tab/>
      </w:r>
      <w:r w:rsidRPr="00B050F5">
        <w:rPr>
          <w:rFonts w:asciiTheme="minorHAnsi" w:hAnsiTheme="minorHAnsi" w:cstheme="minorHAnsi"/>
          <w:iCs/>
          <w:sz w:val="26"/>
          <w:szCs w:val="26"/>
        </w:rPr>
        <w:t>La invitaţia Comisiei pentru apărare, ordine publică şi siguranţă naţională, un reprezentant al C</w:t>
      </w:r>
      <w:r w:rsidR="006F541C" w:rsidRPr="00B050F5">
        <w:rPr>
          <w:rFonts w:asciiTheme="minorHAnsi" w:hAnsiTheme="minorHAnsi" w:cstheme="minorHAnsi"/>
          <w:iCs/>
          <w:sz w:val="26"/>
          <w:szCs w:val="26"/>
        </w:rPr>
        <w:t xml:space="preserve">.S.M. </w:t>
      </w:r>
      <w:r w:rsidRPr="00B050F5">
        <w:rPr>
          <w:rFonts w:asciiTheme="minorHAnsi" w:hAnsiTheme="minorHAnsi" w:cstheme="minorHAnsi"/>
          <w:iCs/>
          <w:sz w:val="26"/>
          <w:szCs w:val="26"/>
        </w:rPr>
        <w:t>a participat la întâlnirea organizată la data de 25 noiembrie 2025 la dezbaterile vizând Proiectul de lege privind căutarea persoanelor dispărute.</w:t>
      </w:r>
    </w:p>
    <w:p w14:paraId="5D486C99" w14:textId="77777777" w:rsidR="00170A5F" w:rsidRPr="00170A5F" w:rsidRDefault="00170A5F" w:rsidP="009E3AD8">
      <w:pPr>
        <w:spacing w:line="276" w:lineRule="auto"/>
        <w:ind w:firstLine="708"/>
        <w:jc w:val="both"/>
        <w:rPr>
          <w:rFonts w:asciiTheme="minorHAnsi" w:hAnsiTheme="minorHAnsi" w:cstheme="minorHAnsi"/>
          <w:sz w:val="26"/>
          <w:szCs w:val="26"/>
        </w:rPr>
      </w:pPr>
      <w:r w:rsidRPr="00170A5F">
        <w:rPr>
          <w:rFonts w:asciiTheme="minorHAnsi" w:hAnsiTheme="minorHAnsi" w:cstheme="minorHAnsi"/>
          <w:b/>
          <w:sz w:val="26"/>
          <w:szCs w:val="26"/>
        </w:rPr>
        <w:t xml:space="preserve">B. </w:t>
      </w:r>
      <w:r w:rsidRPr="00170A5F">
        <w:rPr>
          <w:rFonts w:asciiTheme="minorHAnsi" w:hAnsiTheme="minorHAnsi" w:cstheme="minorHAnsi"/>
          <w:sz w:val="26"/>
          <w:szCs w:val="26"/>
        </w:rPr>
        <w:t>În ceea ce privește</w:t>
      </w:r>
      <w:r w:rsidRPr="00170A5F">
        <w:rPr>
          <w:rFonts w:asciiTheme="minorHAnsi" w:hAnsiTheme="minorHAnsi" w:cstheme="minorHAnsi"/>
          <w:b/>
          <w:sz w:val="26"/>
          <w:szCs w:val="26"/>
        </w:rPr>
        <w:t xml:space="preserve"> raporturile Consiliului Superior al Magistraturii cu puterea executivă</w:t>
      </w:r>
      <w:r w:rsidRPr="00170A5F">
        <w:rPr>
          <w:rFonts w:asciiTheme="minorHAnsi" w:hAnsiTheme="minorHAnsi" w:cstheme="minorHAnsi"/>
          <w:sz w:val="26"/>
          <w:szCs w:val="26"/>
        </w:rPr>
        <w:t>, se evidențiază colaborarea cu Ministerul Justiţiei din perspectiva procesului legislativ, colaborare în cadrul căreia Consiliul şi-a exercitat atribuţiile referitoare la avizarea actelor normative care privesc activitatea autorităţii judecătoreşti, prevăzute de art. 39 alin. (3) din Legea nr. 305/2022 privind Consiliul Superior al Magistraturii, prezentate în cadrul Secţiunii 1 a Capitolului III.</w:t>
      </w:r>
    </w:p>
    <w:p w14:paraId="3E7B1CF9" w14:textId="77777777" w:rsidR="00170A5F" w:rsidRPr="00170A5F" w:rsidRDefault="00170A5F" w:rsidP="009E3AD8">
      <w:pPr>
        <w:spacing w:line="276" w:lineRule="auto"/>
        <w:ind w:firstLine="708"/>
        <w:jc w:val="both"/>
        <w:rPr>
          <w:rFonts w:asciiTheme="minorHAnsi" w:hAnsiTheme="minorHAnsi" w:cstheme="minorHAnsi"/>
          <w:sz w:val="26"/>
          <w:szCs w:val="26"/>
        </w:rPr>
      </w:pPr>
      <w:r w:rsidRPr="00170A5F">
        <w:rPr>
          <w:rFonts w:asciiTheme="minorHAnsi" w:hAnsiTheme="minorHAnsi" w:cstheme="minorHAnsi"/>
          <w:sz w:val="26"/>
          <w:szCs w:val="26"/>
        </w:rPr>
        <w:t>O altă componentă importantă a acestor raporturi se referă la sesizările transmise Ministerului Justiţiei prin intermediul Plenului sau comisiilor sale de specialitate, în contextul cooperării dintre aceste instituţii şi al necesităţii asigurării unei bune funcționări a autorității judecătorești.</w:t>
      </w:r>
    </w:p>
    <w:p w14:paraId="141362D0" w14:textId="18AD65B7" w:rsidR="00170A5F" w:rsidRPr="00170A5F" w:rsidRDefault="00170A5F" w:rsidP="009E3AD8">
      <w:pPr>
        <w:widowControl w:val="0"/>
        <w:spacing w:line="276" w:lineRule="auto"/>
        <w:ind w:firstLine="708"/>
        <w:jc w:val="both"/>
        <w:rPr>
          <w:rFonts w:asciiTheme="minorHAnsi" w:hAnsiTheme="minorHAnsi" w:cstheme="minorHAnsi"/>
          <w:bCs/>
          <w:color w:val="000000"/>
          <w:sz w:val="26"/>
          <w:szCs w:val="26"/>
        </w:rPr>
      </w:pPr>
      <w:r w:rsidRPr="00170A5F">
        <w:rPr>
          <w:rFonts w:asciiTheme="minorHAnsi" w:hAnsiTheme="minorHAnsi" w:cstheme="minorHAnsi"/>
          <w:sz w:val="26"/>
          <w:szCs w:val="26"/>
        </w:rPr>
        <w:t>Astfel, prin Hotărârea nr. 40</w:t>
      </w:r>
      <w:r w:rsidR="00AB1987">
        <w:rPr>
          <w:rFonts w:asciiTheme="minorHAnsi" w:hAnsiTheme="minorHAnsi" w:cstheme="minorHAnsi"/>
          <w:sz w:val="26"/>
          <w:szCs w:val="26"/>
        </w:rPr>
        <w:t>/</w:t>
      </w:r>
      <w:r w:rsidRPr="00170A5F">
        <w:rPr>
          <w:rFonts w:asciiTheme="minorHAnsi" w:hAnsiTheme="minorHAnsi" w:cstheme="minorHAnsi"/>
          <w:sz w:val="26"/>
          <w:szCs w:val="26"/>
        </w:rPr>
        <w:t>25</w:t>
      </w:r>
      <w:r w:rsidR="00AB1987">
        <w:rPr>
          <w:rFonts w:asciiTheme="minorHAnsi" w:hAnsiTheme="minorHAnsi" w:cstheme="minorHAnsi"/>
          <w:sz w:val="26"/>
          <w:szCs w:val="26"/>
        </w:rPr>
        <w:t>.03.</w:t>
      </w:r>
      <w:r w:rsidRPr="00170A5F">
        <w:rPr>
          <w:rFonts w:asciiTheme="minorHAnsi" w:hAnsiTheme="minorHAnsi" w:cstheme="minorHAnsi"/>
          <w:sz w:val="26"/>
          <w:szCs w:val="26"/>
        </w:rPr>
        <w:t xml:space="preserve">2025, Plenul Consiliului Superior al Magistraturii a sesizat </w:t>
      </w:r>
      <w:r w:rsidR="00DC4D8A">
        <w:rPr>
          <w:rFonts w:asciiTheme="minorHAnsi" w:hAnsiTheme="minorHAnsi" w:cstheme="minorHAnsi"/>
          <w:sz w:val="26"/>
          <w:szCs w:val="26"/>
        </w:rPr>
        <w:t>M</w:t>
      </w:r>
      <w:r w:rsidRPr="00170A5F">
        <w:rPr>
          <w:rFonts w:asciiTheme="minorHAnsi" w:hAnsiTheme="minorHAnsi" w:cstheme="minorHAnsi"/>
          <w:sz w:val="26"/>
          <w:szCs w:val="26"/>
        </w:rPr>
        <w:t xml:space="preserve">inisterul </w:t>
      </w:r>
      <w:r w:rsidR="00DC4D8A">
        <w:rPr>
          <w:rFonts w:asciiTheme="minorHAnsi" w:hAnsiTheme="minorHAnsi" w:cstheme="minorHAnsi"/>
          <w:sz w:val="26"/>
          <w:szCs w:val="26"/>
        </w:rPr>
        <w:t>J</w:t>
      </w:r>
      <w:r w:rsidRPr="00170A5F">
        <w:rPr>
          <w:rFonts w:asciiTheme="minorHAnsi" w:hAnsiTheme="minorHAnsi" w:cstheme="minorHAnsi"/>
          <w:sz w:val="26"/>
          <w:szCs w:val="26"/>
        </w:rPr>
        <w:t xml:space="preserve">ustiţiei </w:t>
      </w:r>
      <w:r w:rsidRPr="00170A5F">
        <w:rPr>
          <w:rFonts w:asciiTheme="minorHAnsi" w:hAnsiTheme="minorHAnsi" w:cstheme="minorHAnsi"/>
          <w:color w:val="000000"/>
          <w:sz w:val="26"/>
          <w:szCs w:val="26"/>
        </w:rPr>
        <w:t xml:space="preserve">în vederea efectuării demersurilor necesare modificării art. 283 alin. (1) și (3) din Legea nr. 303/2022 privind statutul judecătorilor și procurorilor, </w:t>
      </w:r>
      <w:r w:rsidRPr="00170A5F">
        <w:rPr>
          <w:rFonts w:asciiTheme="minorHAnsi" w:hAnsiTheme="minorHAnsi" w:cstheme="minorHAnsi"/>
          <w:bCs/>
          <w:color w:val="000000"/>
          <w:sz w:val="26"/>
          <w:szCs w:val="26"/>
        </w:rPr>
        <w:t>astfel încât durata de 2 ani a cursurilor Institutului Național al Magistraturii să fie aplicabilă auditorilor de justiție admiși până în anul 2027 inclusiv. Plenul a reţinut că situația existentă în prezent la nivelul sistemului judiciar reclamă o preocupare permanentă pentru adoptarea unei politici coerente și eficiente de resurse umane în cadrul instanțelor judecătorești și parchetelor de pe lângă acestea.</w:t>
      </w:r>
      <w:r w:rsidRPr="00170A5F">
        <w:rPr>
          <w:rFonts w:asciiTheme="minorHAnsi" w:hAnsiTheme="minorHAnsi" w:cstheme="minorHAnsi"/>
          <w:sz w:val="26"/>
          <w:szCs w:val="26"/>
        </w:rPr>
        <w:t xml:space="preserve"> </w:t>
      </w:r>
      <w:r w:rsidRPr="00170A5F">
        <w:rPr>
          <w:rFonts w:asciiTheme="minorHAnsi" w:hAnsiTheme="minorHAnsi" w:cstheme="minorHAnsi"/>
          <w:bCs/>
          <w:color w:val="000000"/>
          <w:sz w:val="26"/>
          <w:szCs w:val="26"/>
        </w:rPr>
        <w:t xml:space="preserve">Pornind de la dezideratele prezente și de perspectivă, este necesară promovarea unor demersuri prin care să se asigure posibilitatea ocupării posturilor vacante de la nivelul instanțelor și parchetelor, măsură menită să contribuie la respectarea standardelor constituționale vizând principiul fundamental al independenței justiției, evitând astfel destabilizarea sistemului judiciar în ansamblul său și afectarea gravă a dreptului cetățeanului de acces la justiție. </w:t>
      </w:r>
    </w:p>
    <w:p w14:paraId="46C27DAF" w14:textId="66323B65" w:rsidR="00170A5F" w:rsidRPr="00170A5F" w:rsidRDefault="00170A5F" w:rsidP="009E3AD8">
      <w:pPr>
        <w:widowControl w:val="0"/>
        <w:spacing w:line="276" w:lineRule="auto"/>
        <w:ind w:firstLine="708"/>
        <w:jc w:val="both"/>
        <w:rPr>
          <w:rFonts w:asciiTheme="minorHAnsi" w:hAnsiTheme="minorHAnsi" w:cstheme="minorHAnsi"/>
          <w:bCs/>
          <w:color w:val="000000"/>
          <w:sz w:val="26"/>
          <w:szCs w:val="26"/>
        </w:rPr>
      </w:pPr>
      <w:r w:rsidRPr="00170A5F">
        <w:rPr>
          <w:rFonts w:asciiTheme="minorHAnsi" w:hAnsiTheme="minorHAnsi" w:cstheme="minorHAnsi"/>
          <w:sz w:val="26"/>
          <w:szCs w:val="26"/>
        </w:rPr>
        <w:lastRenderedPageBreak/>
        <w:t>De asemenea, prin Hotărârea nr. 41</w:t>
      </w:r>
      <w:r w:rsidR="00E6797E">
        <w:rPr>
          <w:rFonts w:asciiTheme="minorHAnsi" w:hAnsiTheme="minorHAnsi" w:cstheme="minorHAnsi"/>
          <w:sz w:val="26"/>
          <w:szCs w:val="26"/>
        </w:rPr>
        <w:t>/</w:t>
      </w:r>
      <w:r w:rsidRPr="00170A5F">
        <w:rPr>
          <w:rFonts w:asciiTheme="minorHAnsi" w:hAnsiTheme="minorHAnsi" w:cstheme="minorHAnsi"/>
          <w:sz w:val="26"/>
          <w:szCs w:val="26"/>
        </w:rPr>
        <w:t>25</w:t>
      </w:r>
      <w:r w:rsidR="00E6797E">
        <w:rPr>
          <w:rFonts w:asciiTheme="minorHAnsi" w:hAnsiTheme="minorHAnsi" w:cstheme="minorHAnsi"/>
          <w:sz w:val="26"/>
          <w:szCs w:val="26"/>
        </w:rPr>
        <w:t>.03.</w:t>
      </w:r>
      <w:r w:rsidRPr="00170A5F">
        <w:rPr>
          <w:rFonts w:asciiTheme="minorHAnsi" w:hAnsiTheme="minorHAnsi" w:cstheme="minorHAnsi"/>
          <w:sz w:val="26"/>
          <w:szCs w:val="26"/>
        </w:rPr>
        <w:t xml:space="preserve">2025, Plenul Consiliului Superior al Magistraturii a sesizat </w:t>
      </w:r>
      <w:r w:rsidR="00662CA9">
        <w:rPr>
          <w:rFonts w:asciiTheme="minorHAnsi" w:hAnsiTheme="minorHAnsi" w:cstheme="minorHAnsi"/>
          <w:sz w:val="26"/>
          <w:szCs w:val="26"/>
        </w:rPr>
        <w:t>M</w:t>
      </w:r>
      <w:r w:rsidRPr="00170A5F">
        <w:rPr>
          <w:rFonts w:asciiTheme="minorHAnsi" w:hAnsiTheme="minorHAnsi" w:cstheme="minorHAnsi"/>
          <w:sz w:val="26"/>
          <w:szCs w:val="26"/>
        </w:rPr>
        <w:t xml:space="preserve">inisterul </w:t>
      </w:r>
      <w:r w:rsidR="00662CA9">
        <w:rPr>
          <w:rFonts w:asciiTheme="minorHAnsi" w:hAnsiTheme="minorHAnsi" w:cstheme="minorHAnsi"/>
          <w:sz w:val="26"/>
          <w:szCs w:val="26"/>
        </w:rPr>
        <w:t>J</w:t>
      </w:r>
      <w:r w:rsidRPr="00170A5F">
        <w:rPr>
          <w:rFonts w:asciiTheme="minorHAnsi" w:hAnsiTheme="minorHAnsi" w:cstheme="minorHAnsi"/>
          <w:sz w:val="26"/>
          <w:szCs w:val="26"/>
        </w:rPr>
        <w:t xml:space="preserve">ustiţiei </w:t>
      </w:r>
      <w:r w:rsidRPr="00170A5F">
        <w:rPr>
          <w:rFonts w:asciiTheme="minorHAnsi" w:hAnsiTheme="minorHAnsi" w:cstheme="minorHAnsi"/>
          <w:color w:val="000000"/>
          <w:sz w:val="26"/>
          <w:szCs w:val="26"/>
        </w:rPr>
        <w:t>în vederea efectuării demersurilor necesare modificării art. 294 alin. (2) din Legea nr. 303/2022 privind statutul judecătorilor și procurorilor,</w:t>
      </w:r>
      <w:r w:rsidRPr="00170A5F">
        <w:rPr>
          <w:rFonts w:asciiTheme="minorHAnsi" w:hAnsiTheme="minorHAnsi" w:cstheme="minorHAnsi"/>
          <w:bCs/>
          <w:color w:val="000000"/>
          <w:sz w:val="26"/>
          <w:szCs w:val="26"/>
        </w:rPr>
        <w:t xml:space="preserve"> astfel încât perioada cât judecătorul sau procurorul a avut calitatea de auditor de justiţie să se ia în continuare în calculul vechimi</w:t>
      </w:r>
      <w:r w:rsidR="002B733D">
        <w:rPr>
          <w:rFonts w:asciiTheme="minorHAnsi" w:hAnsiTheme="minorHAnsi" w:cstheme="minorHAnsi"/>
          <w:bCs/>
          <w:color w:val="000000"/>
          <w:sz w:val="26"/>
          <w:szCs w:val="26"/>
        </w:rPr>
        <w:t>i</w:t>
      </w:r>
      <w:r w:rsidRPr="00170A5F">
        <w:rPr>
          <w:rFonts w:asciiTheme="minorHAnsi" w:hAnsiTheme="minorHAnsi" w:cstheme="minorHAnsi"/>
          <w:bCs/>
          <w:color w:val="000000"/>
          <w:sz w:val="26"/>
          <w:szCs w:val="26"/>
        </w:rPr>
        <w:t xml:space="preserve"> necesare pentru examenele, concursurile sau procedurile de selecţie prevăzute de lege. Plenul a apreciat că dacă ar intra în vigoare dispozițiile care privesc calculul vechimi</w:t>
      </w:r>
      <w:r w:rsidR="002B733D">
        <w:rPr>
          <w:rFonts w:asciiTheme="minorHAnsi" w:hAnsiTheme="minorHAnsi" w:cstheme="minorHAnsi"/>
          <w:bCs/>
          <w:color w:val="000000"/>
          <w:sz w:val="26"/>
          <w:szCs w:val="26"/>
        </w:rPr>
        <w:t>i</w:t>
      </w:r>
      <w:r w:rsidRPr="00170A5F">
        <w:rPr>
          <w:rFonts w:asciiTheme="minorHAnsi" w:hAnsiTheme="minorHAnsi" w:cstheme="minorHAnsi"/>
          <w:bCs/>
          <w:color w:val="000000"/>
          <w:sz w:val="26"/>
          <w:szCs w:val="26"/>
        </w:rPr>
        <w:t xml:space="preserve"> fără luarea în considerare a perioadei cât judecătorul sau procurorul a avut calitatea de auditor de justiţie, la data de </w:t>
      </w:r>
      <w:r w:rsidR="00E6797E">
        <w:rPr>
          <w:rFonts w:asciiTheme="minorHAnsi" w:hAnsiTheme="minorHAnsi" w:cstheme="minorHAnsi"/>
          <w:bCs/>
          <w:color w:val="000000"/>
          <w:sz w:val="26"/>
          <w:szCs w:val="26"/>
        </w:rPr>
        <w:t>0</w:t>
      </w:r>
      <w:r w:rsidRPr="00170A5F">
        <w:rPr>
          <w:rFonts w:asciiTheme="minorHAnsi" w:hAnsiTheme="minorHAnsi" w:cstheme="minorHAnsi"/>
          <w:bCs/>
          <w:color w:val="000000"/>
          <w:sz w:val="26"/>
          <w:szCs w:val="26"/>
        </w:rPr>
        <w:t xml:space="preserve">1 ianuarie 2026 ar putea exista un număr de 355 de judecători și 177 procurori care ar mai îndeplini condițiile de participare la concursul de promovare în funcții de execuție la tribunale și parchetele de pe lângă tribunale, comparativ cu numărul mult mai mare, de 590 judecători și 316 procurori, care ar putea participa la acest concurs dacă perioada în care magistratul a avut calitatea de auditor de justiție ar fi luată în considerare în continuare la calculul vechimii necesare pentru promovare. Așadar, intrarea în vigoare a acestor dispoziții ar genera o reducere substanțială a bazei de selecție pentru tribunale și parchetele de pe lângă tribunale, fapt care ar constitui un factor suplimentar de îngreunare a demersurilor pe care le-ar putea întreprinde Consiliul Superior al Magistraturii pentru reducerea deficitului major de personal înregistrat la aceste instanțe și parchete. </w:t>
      </w:r>
    </w:p>
    <w:p w14:paraId="2E5C7E4A" w14:textId="661C0546" w:rsidR="00170A5F" w:rsidRPr="00170A5F" w:rsidRDefault="00170A5F" w:rsidP="009E3AD8">
      <w:pPr>
        <w:spacing w:line="276" w:lineRule="auto"/>
        <w:ind w:firstLine="708"/>
        <w:jc w:val="both"/>
        <w:rPr>
          <w:rFonts w:asciiTheme="minorHAnsi" w:hAnsiTheme="minorHAnsi" w:cstheme="minorHAnsi"/>
          <w:sz w:val="26"/>
          <w:szCs w:val="26"/>
        </w:rPr>
      </w:pPr>
      <w:r w:rsidRPr="00170A5F">
        <w:rPr>
          <w:rFonts w:asciiTheme="minorHAnsi" w:hAnsiTheme="minorHAnsi" w:cstheme="minorHAnsi"/>
          <w:sz w:val="26"/>
          <w:szCs w:val="26"/>
        </w:rPr>
        <w:t xml:space="preserve">În ședința din data de 24 aprilie 2025, Comisia nr. 1 reunită - „Legislație și cooperare interinstituțională” a decis sesizarea ministrului justiției și a ministrului apărării naționale cu privire la necesitatea modificării unor dispoziții din Legea nr. 80/1995 și din Ordinul MApN nr. M90/2024. Astfel, cu privire la modificarea dispozițiilor legale care stabilesc </w:t>
      </w:r>
      <w:r w:rsidRPr="00170A5F">
        <w:rPr>
          <w:rFonts w:asciiTheme="minorHAnsi" w:hAnsiTheme="minorHAnsi" w:cstheme="minorHAnsi"/>
          <w:bCs/>
          <w:sz w:val="26"/>
          <w:szCs w:val="26"/>
        </w:rPr>
        <w:t>vârsta maximă de 45 ani</w:t>
      </w:r>
      <w:r w:rsidRPr="00170A5F">
        <w:rPr>
          <w:rFonts w:asciiTheme="minorHAnsi" w:hAnsiTheme="minorHAnsi" w:cstheme="minorHAnsi"/>
          <w:sz w:val="26"/>
          <w:szCs w:val="26"/>
        </w:rPr>
        <w:t xml:space="preserve"> pentru activarea în cadrul forțelor armate, Comisia a reținut că această limită a fost introdusă prin Legea nr. 101/2019. Anterior acestui moment, o atare limită de vârstă nu exista atunci când încadrarea în funcția de ofițer se realiza din sursă externă. Activitatea judiciară desfășurată în instanțele militare și parchetele militare nu este deloc diferită de cea pe care o desfășoară magistrații civili. S-a apreciat că experiența acumulată odată cu înaintarea în vârstă de către magistrați nu poate constitui decât un avantaj pentru instanța, respectiv parchetul la care aceștia sunt încadrați, aceeași concluzie fiind valabilă și pentru instanțele militare, respectiv parchetele militare. În acest sens, Comisia a apreciat că poate fi reglementată o excepție de la condiția privind vârsta în ceea ce privește justiția militară și o posibilă soluție legislativă ar putea fi modificarea art. 36 alin. (3) din Legea nr. 80/1995.</w:t>
      </w:r>
    </w:p>
    <w:p w14:paraId="2D659CF3" w14:textId="3B6A5983" w:rsidR="00170A5F" w:rsidRPr="00170A5F" w:rsidRDefault="00170A5F" w:rsidP="009E3AD8">
      <w:pPr>
        <w:tabs>
          <w:tab w:val="left" w:pos="5475"/>
        </w:tabs>
        <w:spacing w:line="276" w:lineRule="auto"/>
        <w:ind w:firstLine="720"/>
        <w:jc w:val="both"/>
        <w:rPr>
          <w:rFonts w:asciiTheme="minorHAnsi" w:hAnsiTheme="minorHAnsi" w:cstheme="minorHAnsi"/>
          <w:bCs/>
          <w:sz w:val="26"/>
          <w:szCs w:val="26"/>
          <w14:shadow w14:blurRad="63500" w14:dist="50800" w14:dir="13500000" w14:sx="0" w14:sy="0" w14:kx="0" w14:ky="0" w14:algn="none">
            <w14:srgbClr w14:val="000000">
              <w14:alpha w14:val="50000"/>
            </w14:srgbClr>
          </w14:shadow>
        </w:rPr>
      </w:pPr>
      <w:r w:rsidRPr="00170A5F">
        <w:rPr>
          <w:rFonts w:asciiTheme="minorHAnsi" w:hAnsiTheme="minorHAnsi" w:cstheme="minorHAnsi"/>
          <w:sz w:val="26"/>
          <w:szCs w:val="26"/>
        </w:rPr>
        <w:t xml:space="preserve">În contextul intrării în vigoare a </w:t>
      </w:r>
      <w:r w:rsidR="00662CA9">
        <w:rPr>
          <w:rFonts w:asciiTheme="minorHAnsi" w:hAnsiTheme="minorHAnsi" w:cstheme="minorHAnsi"/>
          <w:sz w:val="26"/>
          <w:szCs w:val="26"/>
        </w:rPr>
        <w:t xml:space="preserve">O.U.G. </w:t>
      </w:r>
      <w:r w:rsidRPr="00170A5F">
        <w:rPr>
          <w:rFonts w:asciiTheme="minorHAnsi" w:hAnsiTheme="minorHAnsi" w:cstheme="minorHAnsi"/>
          <w:sz w:val="26"/>
          <w:szCs w:val="26"/>
        </w:rPr>
        <w:t xml:space="preserve">nr. 156/2024 privind unele măsuri fiscal-bugetare în domeniul cheltuielilor publice pentru fundamentarea bugetului general consolidat pe anul 2025, pentru modificarea şi completarea unor acte normative, precum şi pentru prorogarea unor termene, la nivelul Consiliului Superior al Magistraturii a fost realizată o analiză a implicațiilor pe care art. I alin. (4) din acest act normativ le are asupra derulării în condiții optime a proiectelor finanțate din fonduri europene nerambursabile. Prin adresele nr. 5/3918/25.03.2025 şi nr. 6/3918/25.03.2025 a fost sesizat Ministerul Justiţiei, precum şi Ministerul Finanţelor, </w:t>
      </w:r>
      <w:r w:rsidRPr="00170A5F">
        <w:rPr>
          <w:rFonts w:asciiTheme="minorHAnsi" w:hAnsiTheme="minorHAnsi" w:cstheme="minorHAnsi"/>
          <w:bCs/>
          <w:sz w:val="26"/>
          <w:szCs w:val="26"/>
          <w14:shadow w14:blurRad="63500" w14:dist="50800" w14:dir="13500000" w14:sx="0" w14:sy="0" w14:kx="0" w14:ky="0" w14:algn="none">
            <w14:srgbClr w14:val="000000">
              <w14:alpha w14:val="50000"/>
            </w14:srgbClr>
          </w14:shadow>
        </w:rPr>
        <w:t>cu privire la necesitatea inițierii unui demers normativ care să conducă, cu celeritate, la exceptarea proiectelor finanțate din fonduri europene nerambursabile de la aplicarea art. I alin. (4) din O.U.G. nr. 156/2024.</w:t>
      </w:r>
    </w:p>
    <w:p w14:paraId="2E42D55E" w14:textId="4F15C031" w:rsidR="00170A5F" w:rsidRPr="00170A5F" w:rsidRDefault="00170A5F" w:rsidP="009E3AD8">
      <w:pPr>
        <w:spacing w:line="276" w:lineRule="auto"/>
        <w:ind w:firstLine="708"/>
        <w:jc w:val="both"/>
        <w:rPr>
          <w:rFonts w:asciiTheme="minorHAnsi" w:hAnsiTheme="minorHAnsi" w:cstheme="minorHAnsi"/>
          <w:color w:val="000000"/>
          <w:sz w:val="26"/>
          <w:szCs w:val="26"/>
        </w:rPr>
      </w:pPr>
      <w:r w:rsidRPr="00170A5F">
        <w:rPr>
          <w:rFonts w:asciiTheme="minorHAnsi" w:hAnsiTheme="minorHAnsi" w:cstheme="minorHAnsi"/>
          <w:sz w:val="26"/>
          <w:szCs w:val="26"/>
        </w:rPr>
        <w:t>Prin Hotărârea nr. 123</w:t>
      </w:r>
      <w:r w:rsidR="005C757E">
        <w:rPr>
          <w:rFonts w:asciiTheme="minorHAnsi" w:hAnsiTheme="minorHAnsi" w:cstheme="minorHAnsi"/>
          <w:sz w:val="26"/>
          <w:szCs w:val="26"/>
        </w:rPr>
        <w:t>/</w:t>
      </w:r>
      <w:r w:rsidRPr="00170A5F">
        <w:rPr>
          <w:rFonts w:asciiTheme="minorHAnsi" w:hAnsiTheme="minorHAnsi" w:cstheme="minorHAnsi"/>
          <w:sz w:val="26"/>
          <w:szCs w:val="26"/>
        </w:rPr>
        <w:t>18</w:t>
      </w:r>
      <w:r w:rsidR="005C757E">
        <w:rPr>
          <w:rFonts w:asciiTheme="minorHAnsi" w:hAnsiTheme="minorHAnsi" w:cstheme="minorHAnsi"/>
          <w:sz w:val="26"/>
          <w:szCs w:val="26"/>
        </w:rPr>
        <w:t>.09.</w:t>
      </w:r>
      <w:r w:rsidRPr="00170A5F">
        <w:rPr>
          <w:rFonts w:asciiTheme="minorHAnsi" w:hAnsiTheme="minorHAnsi" w:cstheme="minorHAnsi"/>
          <w:sz w:val="26"/>
          <w:szCs w:val="26"/>
        </w:rPr>
        <w:t xml:space="preserve">2025, Plenul Consiliului Superior al Magistraturii a sesizat </w:t>
      </w:r>
      <w:r w:rsidR="005C757E">
        <w:rPr>
          <w:rFonts w:asciiTheme="minorHAnsi" w:hAnsiTheme="minorHAnsi" w:cstheme="minorHAnsi"/>
          <w:sz w:val="26"/>
          <w:szCs w:val="26"/>
        </w:rPr>
        <w:t>M</w:t>
      </w:r>
      <w:r w:rsidRPr="00170A5F">
        <w:rPr>
          <w:rFonts w:asciiTheme="minorHAnsi" w:hAnsiTheme="minorHAnsi" w:cstheme="minorHAnsi"/>
          <w:sz w:val="26"/>
          <w:szCs w:val="26"/>
        </w:rPr>
        <w:t xml:space="preserve">inisterul </w:t>
      </w:r>
      <w:r w:rsidR="005C757E">
        <w:rPr>
          <w:rFonts w:asciiTheme="minorHAnsi" w:hAnsiTheme="minorHAnsi" w:cstheme="minorHAnsi"/>
          <w:sz w:val="26"/>
          <w:szCs w:val="26"/>
        </w:rPr>
        <w:t>J</w:t>
      </w:r>
      <w:r w:rsidRPr="00170A5F">
        <w:rPr>
          <w:rFonts w:asciiTheme="minorHAnsi" w:hAnsiTheme="minorHAnsi" w:cstheme="minorHAnsi"/>
          <w:sz w:val="26"/>
          <w:szCs w:val="26"/>
        </w:rPr>
        <w:t xml:space="preserve">ustiţiei </w:t>
      </w:r>
      <w:r w:rsidRPr="00170A5F">
        <w:rPr>
          <w:rFonts w:asciiTheme="minorHAnsi" w:hAnsiTheme="minorHAnsi" w:cstheme="minorHAnsi"/>
          <w:color w:val="000000"/>
          <w:sz w:val="26"/>
          <w:szCs w:val="26"/>
        </w:rPr>
        <w:t>cu propunerea de modificare și completare a art. 666 din</w:t>
      </w:r>
      <w:r w:rsidRPr="00170A5F">
        <w:rPr>
          <w:rFonts w:asciiTheme="minorHAnsi" w:hAnsiTheme="minorHAnsi" w:cstheme="minorHAnsi"/>
          <w:sz w:val="26"/>
          <w:szCs w:val="26"/>
        </w:rPr>
        <w:t xml:space="preserve"> </w:t>
      </w:r>
      <w:r w:rsidRPr="00170A5F">
        <w:rPr>
          <w:rFonts w:asciiTheme="minorHAnsi" w:hAnsiTheme="minorHAnsi" w:cstheme="minorHAnsi"/>
          <w:color w:val="000000"/>
          <w:sz w:val="26"/>
          <w:szCs w:val="26"/>
        </w:rPr>
        <w:t xml:space="preserve">Legea nr. 134/2010 </w:t>
      </w:r>
      <w:r w:rsidRPr="00170A5F">
        <w:rPr>
          <w:rFonts w:asciiTheme="minorHAnsi" w:hAnsiTheme="minorHAnsi" w:cstheme="minorHAnsi"/>
          <w:color w:val="000000"/>
          <w:sz w:val="26"/>
          <w:szCs w:val="26"/>
        </w:rPr>
        <w:lastRenderedPageBreak/>
        <w:t>privind Codul de procedură civilă,</w:t>
      </w:r>
      <w:r w:rsidRPr="00170A5F">
        <w:rPr>
          <w:rFonts w:asciiTheme="minorHAnsi" w:hAnsiTheme="minorHAnsi" w:cstheme="minorHAnsi"/>
          <w:sz w:val="26"/>
          <w:szCs w:val="26"/>
        </w:rPr>
        <w:t xml:space="preserve"> </w:t>
      </w:r>
      <w:r w:rsidRPr="00170A5F">
        <w:rPr>
          <w:rFonts w:asciiTheme="minorHAnsi" w:hAnsiTheme="minorHAnsi" w:cstheme="minorHAnsi"/>
          <w:color w:val="000000"/>
          <w:sz w:val="26"/>
          <w:szCs w:val="26"/>
        </w:rPr>
        <w:t>republicată în Monitorul Oficial al României, Partea I, nr. 247 din 10 aprilie 2015, cu modificările şi completările ulterioare</w:t>
      </w:r>
      <w:r w:rsidR="00662CA9">
        <w:rPr>
          <w:rFonts w:asciiTheme="minorHAnsi" w:hAnsiTheme="minorHAnsi" w:cstheme="minorHAnsi"/>
          <w:color w:val="000000"/>
          <w:sz w:val="26"/>
          <w:szCs w:val="26"/>
        </w:rPr>
        <w:t>, p</w:t>
      </w:r>
      <w:r w:rsidRPr="00170A5F">
        <w:rPr>
          <w:rFonts w:asciiTheme="minorHAnsi" w:hAnsiTheme="minorHAnsi" w:cstheme="minorHAnsi"/>
          <w:bCs/>
          <w:color w:val="000000"/>
          <w:sz w:val="26"/>
          <w:szCs w:val="26"/>
        </w:rPr>
        <w:t>ropunere</w:t>
      </w:r>
      <w:r w:rsidR="00662CA9">
        <w:rPr>
          <w:rFonts w:asciiTheme="minorHAnsi" w:hAnsiTheme="minorHAnsi" w:cstheme="minorHAnsi"/>
          <w:bCs/>
          <w:color w:val="000000"/>
          <w:sz w:val="26"/>
          <w:szCs w:val="26"/>
        </w:rPr>
        <w:t xml:space="preserve"> ce </w:t>
      </w:r>
      <w:r w:rsidRPr="00170A5F">
        <w:rPr>
          <w:rFonts w:asciiTheme="minorHAnsi" w:hAnsiTheme="minorHAnsi" w:cstheme="minorHAnsi"/>
          <w:bCs/>
          <w:color w:val="000000"/>
          <w:sz w:val="26"/>
          <w:szCs w:val="26"/>
        </w:rPr>
        <w:t>vizează constituirea dosarelor de încuviințare a executării silite exclusiv în format electronic.</w:t>
      </w:r>
      <w:r w:rsidRPr="00170A5F">
        <w:rPr>
          <w:rFonts w:asciiTheme="minorHAnsi" w:hAnsiTheme="minorHAnsi" w:cstheme="minorHAnsi"/>
          <w:color w:val="000000"/>
          <w:sz w:val="26"/>
          <w:szCs w:val="26"/>
        </w:rPr>
        <w:t xml:space="preserve"> </w:t>
      </w:r>
      <w:r w:rsidRPr="00170A5F">
        <w:rPr>
          <w:rFonts w:asciiTheme="minorHAnsi" w:hAnsiTheme="minorHAnsi" w:cstheme="minorHAnsi"/>
          <w:sz w:val="26"/>
          <w:szCs w:val="26"/>
        </w:rPr>
        <w:t xml:space="preserve">O astfel de intervenție normativă este menită să conducă la economii de costuri și de timp, la eficientizarea activității instanței prin simplificarea operațiunilor administrative realizate în legătură cu aceste dosare, precum și la asigurarea trasabilității transmiterii documentelor. În același timp, acest demers este de natură să consolideze transparența în activitatea judiciară, să sporească încrederea cetățenilor în actul de justiție și să conducă la creșterea eficacității procedurilor judiciare. </w:t>
      </w:r>
    </w:p>
    <w:p w14:paraId="55004EBD" w14:textId="74007F4D" w:rsidR="00170A5F" w:rsidRPr="00B050F5" w:rsidRDefault="00170A5F" w:rsidP="009E3AD8">
      <w:pPr>
        <w:tabs>
          <w:tab w:val="left" w:pos="5475"/>
        </w:tabs>
        <w:spacing w:line="276" w:lineRule="auto"/>
        <w:ind w:firstLine="720"/>
        <w:jc w:val="both"/>
        <w:rPr>
          <w:rFonts w:asciiTheme="minorHAnsi" w:hAnsiTheme="minorHAnsi" w:cstheme="minorHAnsi"/>
          <w:sz w:val="26"/>
          <w:szCs w:val="26"/>
          <w14:shadow w14:blurRad="63500" w14:dist="50800" w14:dir="13500000" w14:sx="0" w14:sy="0" w14:kx="0" w14:ky="0" w14:algn="none">
            <w14:srgbClr w14:val="000000">
              <w14:alpha w14:val="50000"/>
            </w14:srgbClr>
          </w14:shadow>
        </w:rPr>
      </w:pPr>
      <w:r w:rsidRPr="00170A5F">
        <w:rPr>
          <w:rFonts w:asciiTheme="minorHAnsi" w:hAnsiTheme="minorHAnsi" w:cstheme="minorHAnsi"/>
          <w:bCs/>
          <w:sz w:val="26"/>
          <w:szCs w:val="26"/>
        </w:rPr>
        <w:t>P</w:t>
      </w:r>
      <w:r w:rsidRPr="00170A5F">
        <w:rPr>
          <w:rFonts w:asciiTheme="minorHAnsi" w:hAnsiTheme="minorHAnsi" w:cstheme="minorHAnsi"/>
          <w:bCs/>
          <w:color w:val="000000"/>
          <w:sz w:val="26"/>
          <w:szCs w:val="26"/>
        </w:rPr>
        <w:t>rin Hotărârea nr. 74</w:t>
      </w:r>
      <w:r w:rsidR="00F50FCF">
        <w:rPr>
          <w:rFonts w:asciiTheme="minorHAnsi" w:hAnsiTheme="minorHAnsi" w:cstheme="minorHAnsi"/>
          <w:bCs/>
          <w:color w:val="000000"/>
          <w:sz w:val="26"/>
          <w:szCs w:val="26"/>
        </w:rPr>
        <w:t>/</w:t>
      </w:r>
      <w:r w:rsidRPr="00170A5F">
        <w:rPr>
          <w:rFonts w:asciiTheme="minorHAnsi" w:hAnsiTheme="minorHAnsi" w:cstheme="minorHAnsi"/>
          <w:bCs/>
          <w:color w:val="000000"/>
          <w:sz w:val="26"/>
          <w:szCs w:val="26"/>
        </w:rPr>
        <w:t>27</w:t>
      </w:r>
      <w:r w:rsidR="00F50FCF">
        <w:rPr>
          <w:rFonts w:asciiTheme="minorHAnsi" w:hAnsiTheme="minorHAnsi" w:cstheme="minorHAnsi"/>
          <w:bCs/>
          <w:color w:val="000000"/>
          <w:sz w:val="26"/>
          <w:szCs w:val="26"/>
        </w:rPr>
        <w:t>.05.</w:t>
      </w:r>
      <w:r w:rsidRPr="00170A5F">
        <w:rPr>
          <w:rFonts w:asciiTheme="minorHAnsi" w:hAnsiTheme="minorHAnsi" w:cstheme="minorHAnsi"/>
          <w:bCs/>
          <w:color w:val="000000"/>
          <w:sz w:val="26"/>
          <w:szCs w:val="26"/>
        </w:rPr>
        <w:t xml:space="preserve">2025, Plenul Consiliului Superior al Magistraturii a sesizat ministrul justiției cu propunerea de </w:t>
      </w:r>
      <w:bookmarkStart w:id="63" w:name="_Hlk176954044"/>
      <w:r w:rsidRPr="00170A5F">
        <w:rPr>
          <w:rFonts w:asciiTheme="minorHAnsi" w:hAnsiTheme="minorHAnsi" w:cstheme="minorHAnsi"/>
          <w:bCs/>
          <w:color w:val="000000"/>
          <w:sz w:val="26"/>
          <w:szCs w:val="26"/>
        </w:rPr>
        <w:t xml:space="preserve">inițiere </w:t>
      </w:r>
      <w:bookmarkEnd w:id="63"/>
      <w:r w:rsidRPr="00170A5F">
        <w:rPr>
          <w:rFonts w:asciiTheme="minorHAnsi" w:hAnsiTheme="minorHAnsi" w:cstheme="minorHAnsi"/>
          <w:sz w:val="26"/>
          <w:szCs w:val="26"/>
          <w14:shadow w14:blurRad="63500" w14:dist="50800" w14:dir="13500000" w14:sx="0" w14:sy="0" w14:kx="0" w14:ky="0" w14:algn="none">
            <w14:srgbClr w14:val="000000">
              <w14:alpha w14:val="50000"/>
            </w14:srgbClr>
          </w14:shadow>
        </w:rPr>
        <w:t xml:space="preserve">a unui proiect de act normativ referitor la cuantumul cotizației ce trebuie plătită de Institutul Național al Magistraturii către Reţeaua Europeană de </w:t>
      </w:r>
      <w:r w:rsidRPr="00B050F5">
        <w:rPr>
          <w:rFonts w:asciiTheme="minorHAnsi" w:hAnsiTheme="minorHAnsi" w:cstheme="minorHAnsi"/>
          <w:sz w:val="26"/>
          <w:szCs w:val="26"/>
          <w14:shadow w14:blurRad="63500" w14:dist="50800" w14:dir="13500000" w14:sx="0" w14:sy="0" w14:kx="0" w14:ky="0" w14:algn="none">
            <w14:srgbClr w14:val="000000">
              <w14:alpha w14:val="50000"/>
            </w14:srgbClr>
          </w14:shadow>
        </w:rPr>
        <w:t>Formare Judiciară (E</w:t>
      </w:r>
      <w:r w:rsidR="00F50FCF" w:rsidRPr="00B050F5">
        <w:rPr>
          <w:rFonts w:asciiTheme="minorHAnsi" w:hAnsiTheme="minorHAnsi" w:cstheme="minorHAnsi"/>
          <w:sz w:val="26"/>
          <w:szCs w:val="26"/>
          <w14:shadow w14:blurRad="63500" w14:dist="50800" w14:dir="13500000" w14:sx="0" w14:sy="0" w14:kx="0" w14:ky="0" w14:algn="none">
            <w14:srgbClr w14:val="000000">
              <w14:alpha w14:val="50000"/>
            </w14:srgbClr>
          </w14:shadow>
        </w:rPr>
        <w:t>.</w:t>
      </w:r>
      <w:r w:rsidRPr="00B050F5">
        <w:rPr>
          <w:rFonts w:asciiTheme="minorHAnsi" w:hAnsiTheme="minorHAnsi" w:cstheme="minorHAnsi"/>
          <w:sz w:val="26"/>
          <w:szCs w:val="26"/>
          <w14:shadow w14:blurRad="63500" w14:dist="50800" w14:dir="13500000" w14:sx="0" w14:sy="0" w14:kx="0" w14:ky="0" w14:algn="none">
            <w14:srgbClr w14:val="000000">
              <w14:alpha w14:val="50000"/>
            </w14:srgbClr>
          </w14:shadow>
        </w:rPr>
        <w:t>J</w:t>
      </w:r>
      <w:r w:rsidR="00F50FCF" w:rsidRPr="00B050F5">
        <w:rPr>
          <w:rFonts w:asciiTheme="minorHAnsi" w:hAnsiTheme="minorHAnsi" w:cstheme="minorHAnsi"/>
          <w:sz w:val="26"/>
          <w:szCs w:val="26"/>
          <w14:shadow w14:blurRad="63500" w14:dist="50800" w14:dir="13500000" w14:sx="0" w14:sy="0" w14:kx="0" w14:ky="0" w14:algn="none">
            <w14:srgbClr w14:val="000000">
              <w14:alpha w14:val="50000"/>
            </w14:srgbClr>
          </w14:shadow>
        </w:rPr>
        <w:t>.</w:t>
      </w:r>
      <w:r w:rsidRPr="00B050F5">
        <w:rPr>
          <w:rFonts w:asciiTheme="minorHAnsi" w:hAnsiTheme="minorHAnsi" w:cstheme="minorHAnsi"/>
          <w:sz w:val="26"/>
          <w:szCs w:val="26"/>
          <w14:shadow w14:blurRad="63500" w14:dist="50800" w14:dir="13500000" w14:sx="0" w14:sy="0" w14:kx="0" w14:ky="0" w14:algn="none">
            <w14:srgbClr w14:val="000000">
              <w14:alpha w14:val="50000"/>
            </w14:srgbClr>
          </w14:shadow>
        </w:rPr>
        <w:t>T</w:t>
      </w:r>
      <w:r w:rsidR="00F50FCF" w:rsidRPr="00B050F5">
        <w:rPr>
          <w:rFonts w:asciiTheme="minorHAnsi" w:hAnsiTheme="minorHAnsi" w:cstheme="minorHAnsi"/>
          <w:sz w:val="26"/>
          <w:szCs w:val="26"/>
          <w14:shadow w14:blurRad="63500" w14:dist="50800" w14:dir="13500000" w14:sx="0" w14:sy="0" w14:kx="0" w14:ky="0" w14:algn="none">
            <w14:srgbClr w14:val="000000">
              <w14:alpha w14:val="50000"/>
            </w14:srgbClr>
          </w14:shadow>
        </w:rPr>
        <w:t>.</w:t>
      </w:r>
      <w:r w:rsidRPr="00B050F5">
        <w:rPr>
          <w:rFonts w:asciiTheme="minorHAnsi" w:hAnsiTheme="minorHAnsi" w:cstheme="minorHAnsi"/>
          <w:sz w:val="26"/>
          <w:szCs w:val="26"/>
          <w14:shadow w14:blurRad="63500" w14:dist="50800" w14:dir="13500000" w14:sx="0" w14:sy="0" w14:kx="0" w14:ky="0" w14:algn="none">
            <w14:srgbClr w14:val="000000">
              <w14:alpha w14:val="50000"/>
            </w14:srgbClr>
          </w14:shadow>
        </w:rPr>
        <w:t>N</w:t>
      </w:r>
      <w:r w:rsidR="00F50FCF" w:rsidRPr="00B050F5">
        <w:rPr>
          <w:rFonts w:asciiTheme="minorHAnsi" w:hAnsiTheme="minorHAnsi" w:cstheme="minorHAnsi"/>
          <w:sz w:val="26"/>
          <w:szCs w:val="26"/>
          <w14:shadow w14:blurRad="63500" w14:dist="50800" w14:dir="13500000" w14:sx="0" w14:sy="0" w14:kx="0" w14:ky="0" w14:algn="none">
            <w14:srgbClr w14:val="000000">
              <w14:alpha w14:val="50000"/>
            </w14:srgbClr>
          </w14:shadow>
        </w:rPr>
        <w:t>.</w:t>
      </w:r>
      <w:r w:rsidRPr="00B050F5">
        <w:rPr>
          <w:rFonts w:asciiTheme="minorHAnsi" w:hAnsiTheme="minorHAnsi" w:cstheme="minorHAnsi"/>
          <w:sz w:val="26"/>
          <w:szCs w:val="26"/>
          <w14:shadow w14:blurRad="63500" w14:dist="50800" w14:dir="13500000" w14:sx="0" w14:sy="0" w14:kx="0" w14:ky="0" w14:algn="none">
            <w14:srgbClr w14:val="000000">
              <w14:alpha w14:val="50000"/>
            </w14:srgbClr>
          </w14:shadow>
        </w:rPr>
        <w:t>).</w:t>
      </w:r>
    </w:p>
    <w:p w14:paraId="3F99F899" w14:textId="77777777" w:rsidR="00B66A54" w:rsidRPr="00B050F5" w:rsidRDefault="00B66A54" w:rsidP="00B66A54">
      <w:pPr>
        <w:tabs>
          <w:tab w:val="left" w:pos="5475"/>
        </w:tabs>
        <w:spacing w:line="276" w:lineRule="auto"/>
        <w:ind w:firstLine="720"/>
        <w:jc w:val="both"/>
        <w:rPr>
          <w:rFonts w:asciiTheme="minorHAnsi" w:hAnsiTheme="minorHAnsi" w:cstheme="minorHAnsi"/>
          <w:sz w:val="26"/>
          <w:szCs w:val="26"/>
          <w14:shadow w14:blurRad="63500" w14:dist="50800" w14:dir="13500000" w14:sx="0" w14:sy="0" w14:kx="0" w14:ky="0" w14:algn="none">
            <w14:srgbClr w14:val="000000">
              <w14:alpha w14:val="50000"/>
            </w14:srgbClr>
          </w14:shadow>
        </w:rPr>
      </w:pPr>
      <w:r w:rsidRPr="00B050F5">
        <w:rPr>
          <w:rFonts w:asciiTheme="minorHAnsi" w:hAnsiTheme="minorHAnsi" w:cstheme="minorHAnsi"/>
          <w:sz w:val="26"/>
          <w:szCs w:val="26"/>
          <w14:shadow w14:blurRad="63500" w14:dist="50800" w14:dir="13500000" w14:sx="0" w14:sy="0" w14:kx="0" w14:ky="0" w14:algn="none">
            <w14:srgbClr w14:val="000000">
              <w14:alpha w14:val="50000"/>
            </w14:srgbClr>
          </w14:shadow>
        </w:rPr>
        <w:t>Prin Hotărârea nr. 149 din 13 noiembrie 2025, Plenul Consiliului Superior al Magistraturii a sesizat ministrul justiției cu propunerile de modificare a art. 283 alin. (1) și (3) și a art. 294 alin. (2) din Legea nr. 303/2022 privind statutul judecătorilor și procurorilor, precum și a art. 168 alin. (2) din Legea nr. 304/2022 privind organizarea judiciară. Plenul a apreciat că este necesară o intervenție legislativă pentru modificarea dispozițiilor legale în vigoare, astfel încât perioada cât judecătorul sau procurorul a avut calitatea de auditor de justiţie să se ia în continuare în calculul vechimilor necesare pentru examenele, concursurile sau procedurile de selecţie prevăzute de lege. Totodată, Plenul a apreciat necesară și modificarea Legii nr. 303/2022 privind statutul judecătorilor și procurorilor, astfel încât durata de 2 ani a cursurilor Institutului Național al Magistraturii să fie aplicabilă auditorilor de justiție admiși până în anul 2027 inclusiv.</w:t>
      </w:r>
    </w:p>
    <w:p w14:paraId="5220963F" w14:textId="0962A412" w:rsidR="00B66A54" w:rsidRPr="00B050F5" w:rsidRDefault="00B66A54" w:rsidP="00B66A54">
      <w:pPr>
        <w:tabs>
          <w:tab w:val="left" w:pos="5475"/>
        </w:tabs>
        <w:spacing w:line="276" w:lineRule="auto"/>
        <w:ind w:firstLine="720"/>
        <w:jc w:val="both"/>
        <w:rPr>
          <w:rFonts w:asciiTheme="minorHAnsi" w:hAnsiTheme="minorHAnsi" w:cstheme="minorHAnsi"/>
          <w:sz w:val="26"/>
          <w:szCs w:val="26"/>
          <w14:shadow w14:blurRad="63500" w14:dist="50800" w14:dir="13500000" w14:sx="0" w14:sy="0" w14:kx="0" w14:ky="0" w14:algn="none">
            <w14:srgbClr w14:val="000000">
              <w14:alpha w14:val="50000"/>
            </w14:srgbClr>
          </w14:shadow>
        </w:rPr>
      </w:pPr>
      <w:r w:rsidRPr="00B050F5">
        <w:rPr>
          <w:rFonts w:asciiTheme="minorHAnsi" w:hAnsiTheme="minorHAnsi" w:cstheme="minorHAnsi"/>
          <w:sz w:val="26"/>
          <w:szCs w:val="26"/>
          <w14:shadow w14:blurRad="63500" w14:dist="50800" w14:dir="13500000" w14:sx="0" w14:sy="0" w14:kx="0" w14:ky="0" w14:algn="none">
            <w14:srgbClr w14:val="000000">
              <w14:alpha w14:val="50000"/>
            </w14:srgbClr>
          </w14:shadow>
        </w:rPr>
        <w:t>La data de 2</w:t>
      </w:r>
      <w:r w:rsidR="00D7412D" w:rsidRPr="00B050F5">
        <w:rPr>
          <w:rFonts w:asciiTheme="minorHAnsi" w:hAnsiTheme="minorHAnsi" w:cstheme="minorHAnsi"/>
          <w:sz w:val="26"/>
          <w:szCs w:val="26"/>
          <w14:shadow w14:blurRad="63500" w14:dist="50800" w14:dir="13500000" w14:sx="0" w14:sy="0" w14:kx="0" w14:ky="0" w14:algn="none">
            <w14:srgbClr w14:val="000000">
              <w14:alpha w14:val="50000"/>
            </w14:srgbClr>
          </w14:shadow>
        </w:rPr>
        <w:t xml:space="preserve">9 decembrie </w:t>
      </w:r>
      <w:r w:rsidRPr="00B050F5">
        <w:rPr>
          <w:rFonts w:asciiTheme="minorHAnsi" w:hAnsiTheme="minorHAnsi" w:cstheme="minorHAnsi"/>
          <w:sz w:val="26"/>
          <w:szCs w:val="26"/>
          <w14:shadow w14:blurRad="63500" w14:dist="50800" w14:dir="13500000" w14:sx="0" w14:sy="0" w14:kx="0" w14:ky="0" w14:algn="none">
            <w14:srgbClr w14:val="000000">
              <w14:alpha w14:val="50000"/>
            </w14:srgbClr>
          </w14:shadow>
        </w:rPr>
        <w:t>2025 Ministerul Justiţiei a transmis Consiliului Superior al Magistraturii proiectul de Ordonanţă de urgenţă a Guvernului privind unele măsuri temporare în domeniul justiţiei în vederea avizării. Răspunsul Consiliului a fost transmis Ministerului Justiţiei cu adresa nr. 2/19467/2025 din data de 29</w:t>
      </w:r>
      <w:r w:rsidR="00822C16" w:rsidRPr="00B050F5">
        <w:rPr>
          <w:rFonts w:asciiTheme="minorHAnsi" w:hAnsiTheme="minorHAnsi" w:cstheme="minorHAnsi"/>
          <w:sz w:val="26"/>
          <w:szCs w:val="26"/>
          <w14:shadow w14:blurRad="63500" w14:dist="50800" w14:dir="13500000" w14:sx="0" w14:sy="0" w14:kx="0" w14:ky="0" w14:algn="none">
            <w14:srgbClr w14:val="000000">
              <w14:alpha w14:val="50000"/>
            </w14:srgbClr>
          </w14:shadow>
        </w:rPr>
        <w:t xml:space="preserve"> decembrie </w:t>
      </w:r>
      <w:r w:rsidRPr="00B050F5">
        <w:rPr>
          <w:rFonts w:asciiTheme="minorHAnsi" w:hAnsiTheme="minorHAnsi" w:cstheme="minorHAnsi"/>
          <w:sz w:val="26"/>
          <w:szCs w:val="26"/>
          <w14:shadow w14:blurRad="63500" w14:dist="50800" w14:dir="13500000" w14:sx="0" w14:sy="0" w14:kx="0" w14:ky="0" w14:algn="none">
            <w14:srgbClr w14:val="000000">
              <w14:alpha w14:val="50000"/>
            </w14:srgbClr>
          </w14:shadow>
        </w:rPr>
        <w:t>2025.</w:t>
      </w:r>
    </w:p>
    <w:p w14:paraId="406183CC" w14:textId="77777777" w:rsidR="00170A5F" w:rsidRPr="00170A5F" w:rsidRDefault="00170A5F" w:rsidP="009E3AD8">
      <w:pPr>
        <w:pStyle w:val="NormalWeb"/>
        <w:shd w:val="clear" w:color="auto" w:fill="FFFFFF"/>
        <w:spacing w:before="0" w:beforeAutospacing="0" w:after="0" w:afterAutospacing="0" w:line="276" w:lineRule="auto"/>
        <w:ind w:firstLine="708"/>
        <w:jc w:val="both"/>
        <w:rPr>
          <w:rFonts w:asciiTheme="minorHAnsi" w:hAnsiTheme="minorHAnsi" w:cstheme="minorHAnsi"/>
          <w:sz w:val="26"/>
          <w:szCs w:val="26"/>
        </w:rPr>
      </w:pPr>
      <w:r w:rsidRPr="00170A5F">
        <w:rPr>
          <w:rFonts w:asciiTheme="minorHAnsi" w:hAnsiTheme="minorHAnsi" w:cstheme="minorHAnsi"/>
          <w:sz w:val="26"/>
          <w:szCs w:val="26"/>
        </w:rPr>
        <w:t xml:space="preserve">La solicitarea Ministerului Justiției, </w:t>
      </w:r>
      <w:r w:rsidRPr="00170A5F">
        <w:rPr>
          <w:rFonts w:asciiTheme="minorHAnsi" w:hAnsiTheme="minorHAnsi" w:cstheme="minorHAnsi"/>
          <w:b/>
          <w:sz w:val="26"/>
          <w:szCs w:val="26"/>
        </w:rPr>
        <w:t>comisia de specialitate</w:t>
      </w:r>
      <w:r w:rsidRPr="00170A5F">
        <w:rPr>
          <w:rFonts w:asciiTheme="minorHAnsi" w:hAnsiTheme="minorHAnsi" w:cstheme="minorHAnsi"/>
          <w:sz w:val="26"/>
          <w:szCs w:val="26"/>
        </w:rPr>
        <w:t xml:space="preserve"> din cadrul Consiliului Superior al Magistraturii a transmis o serie de </w:t>
      </w:r>
      <w:r w:rsidRPr="00170A5F">
        <w:rPr>
          <w:rFonts w:asciiTheme="minorHAnsi" w:hAnsiTheme="minorHAnsi" w:cstheme="minorHAnsi"/>
          <w:b/>
          <w:sz w:val="26"/>
          <w:szCs w:val="26"/>
        </w:rPr>
        <w:t>puncte de vedere</w:t>
      </w:r>
      <w:r w:rsidRPr="00170A5F">
        <w:rPr>
          <w:rFonts w:asciiTheme="minorHAnsi" w:hAnsiTheme="minorHAnsi" w:cstheme="minorHAnsi"/>
          <w:sz w:val="26"/>
          <w:szCs w:val="26"/>
        </w:rPr>
        <w:t xml:space="preserve"> referitoare la adoptarea, modificarea sau completarea unor acte normative. Dintre acestea, menționăm: </w:t>
      </w:r>
    </w:p>
    <w:p w14:paraId="780A1275" w14:textId="64992404" w:rsidR="00170A5F" w:rsidRPr="00170A5F" w:rsidRDefault="00170A5F" w:rsidP="009E3AD8">
      <w:pPr>
        <w:spacing w:line="276" w:lineRule="auto"/>
        <w:ind w:firstLine="708"/>
        <w:jc w:val="both"/>
        <w:rPr>
          <w:rFonts w:asciiTheme="minorHAnsi" w:hAnsiTheme="minorHAnsi" w:cstheme="minorHAnsi"/>
          <w:sz w:val="26"/>
          <w:szCs w:val="26"/>
        </w:rPr>
      </w:pPr>
      <w:r w:rsidRPr="00170A5F">
        <w:rPr>
          <w:rFonts w:asciiTheme="minorHAnsi" w:hAnsiTheme="minorHAnsi" w:cstheme="minorHAnsi"/>
          <w:iCs/>
          <w:sz w:val="26"/>
          <w:szCs w:val="26"/>
        </w:rPr>
        <w:t xml:space="preserve">- </w:t>
      </w:r>
      <w:r w:rsidRPr="00170A5F">
        <w:rPr>
          <w:rFonts w:asciiTheme="minorHAnsi" w:hAnsiTheme="minorHAnsi" w:cstheme="minorHAnsi"/>
          <w:sz w:val="26"/>
          <w:szCs w:val="26"/>
        </w:rPr>
        <w:t xml:space="preserve">punctul de vedere referitor la proiectul de </w:t>
      </w:r>
      <w:r w:rsidR="000E6B95">
        <w:rPr>
          <w:rFonts w:asciiTheme="minorHAnsi" w:hAnsiTheme="minorHAnsi" w:cstheme="minorHAnsi"/>
          <w:sz w:val="26"/>
          <w:szCs w:val="26"/>
        </w:rPr>
        <w:t>H.G.</w:t>
      </w:r>
      <w:r w:rsidRPr="00170A5F">
        <w:rPr>
          <w:rFonts w:asciiTheme="minorHAnsi" w:hAnsiTheme="minorHAnsi" w:cstheme="minorHAnsi"/>
          <w:sz w:val="26"/>
          <w:szCs w:val="26"/>
        </w:rPr>
        <w:t xml:space="preserve"> privind aprobarea Strategiei naționale pentru prevenire</w:t>
      </w:r>
      <w:r w:rsidR="000E6B95">
        <w:rPr>
          <w:rFonts w:asciiTheme="minorHAnsi" w:hAnsiTheme="minorHAnsi" w:cstheme="minorHAnsi"/>
          <w:sz w:val="26"/>
          <w:szCs w:val="26"/>
        </w:rPr>
        <w:t>a</w:t>
      </w:r>
      <w:r w:rsidRPr="00170A5F">
        <w:rPr>
          <w:rFonts w:asciiTheme="minorHAnsi" w:hAnsiTheme="minorHAnsi" w:cstheme="minorHAnsi"/>
          <w:sz w:val="26"/>
          <w:szCs w:val="26"/>
        </w:rPr>
        <w:t xml:space="preserve"> recidivei 2025</w:t>
      </w:r>
      <w:r w:rsidR="00C25EF5">
        <w:rPr>
          <w:rFonts w:asciiTheme="minorHAnsi" w:hAnsiTheme="minorHAnsi" w:cstheme="minorHAnsi"/>
          <w:sz w:val="26"/>
          <w:szCs w:val="26"/>
        </w:rPr>
        <w:t xml:space="preserve"> </w:t>
      </w:r>
      <w:r w:rsidRPr="00170A5F">
        <w:rPr>
          <w:rFonts w:asciiTheme="minorHAnsi" w:hAnsiTheme="minorHAnsi" w:cstheme="minorHAnsi"/>
          <w:sz w:val="26"/>
          <w:szCs w:val="26"/>
        </w:rPr>
        <w:t>-</w:t>
      </w:r>
      <w:r w:rsidR="00C25EF5">
        <w:rPr>
          <w:rFonts w:asciiTheme="minorHAnsi" w:hAnsiTheme="minorHAnsi" w:cstheme="minorHAnsi"/>
          <w:sz w:val="26"/>
          <w:szCs w:val="26"/>
        </w:rPr>
        <w:t xml:space="preserve"> </w:t>
      </w:r>
      <w:r w:rsidRPr="00170A5F">
        <w:rPr>
          <w:rFonts w:asciiTheme="minorHAnsi" w:hAnsiTheme="minorHAnsi" w:cstheme="minorHAnsi"/>
          <w:sz w:val="26"/>
          <w:szCs w:val="26"/>
        </w:rPr>
        <w:t>2029 (S</w:t>
      </w:r>
      <w:r w:rsidR="00C25EF5">
        <w:rPr>
          <w:rFonts w:asciiTheme="minorHAnsi" w:hAnsiTheme="minorHAnsi" w:cstheme="minorHAnsi"/>
          <w:sz w:val="26"/>
          <w:szCs w:val="26"/>
        </w:rPr>
        <w:t>.</w:t>
      </w:r>
      <w:r w:rsidRPr="00170A5F">
        <w:rPr>
          <w:rFonts w:asciiTheme="minorHAnsi" w:hAnsiTheme="minorHAnsi" w:cstheme="minorHAnsi"/>
          <w:sz w:val="26"/>
          <w:szCs w:val="26"/>
        </w:rPr>
        <w:t>N</w:t>
      </w:r>
      <w:r w:rsidR="00C25EF5">
        <w:rPr>
          <w:rFonts w:asciiTheme="minorHAnsi" w:hAnsiTheme="minorHAnsi" w:cstheme="minorHAnsi"/>
          <w:sz w:val="26"/>
          <w:szCs w:val="26"/>
        </w:rPr>
        <w:t>.</w:t>
      </w:r>
      <w:r w:rsidRPr="00170A5F">
        <w:rPr>
          <w:rFonts w:asciiTheme="minorHAnsi" w:hAnsiTheme="minorHAnsi" w:cstheme="minorHAnsi"/>
          <w:sz w:val="26"/>
          <w:szCs w:val="26"/>
        </w:rPr>
        <w:t>P</w:t>
      </w:r>
      <w:r w:rsidR="00C25EF5">
        <w:rPr>
          <w:rFonts w:asciiTheme="minorHAnsi" w:hAnsiTheme="minorHAnsi" w:cstheme="minorHAnsi"/>
          <w:sz w:val="26"/>
          <w:szCs w:val="26"/>
        </w:rPr>
        <w:t>.</w:t>
      </w:r>
      <w:r w:rsidRPr="00170A5F">
        <w:rPr>
          <w:rFonts w:asciiTheme="minorHAnsi" w:hAnsiTheme="minorHAnsi" w:cstheme="minorHAnsi"/>
          <w:sz w:val="26"/>
          <w:szCs w:val="26"/>
        </w:rPr>
        <w:t>R</w:t>
      </w:r>
      <w:r w:rsidR="00C25EF5">
        <w:rPr>
          <w:rFonts w:asciiTheme="minorHAnsi" w:hAnsiTheme="minorHAnsi" w:cstheme="minorHAnsi"/>
          <w:sz w:val="26"/>
          <w:szCs w:val="26"/>
        </w:rPr>
        <w:t>.</w:t>
      </w:r>
      <w:r w:rsidRPr="00170A5F">
        <w:rPr>
          <w:rFonts w:asciiTheme="minorHAnsi" w:hAnsiTheme="minorHAnsi" w:cstheme="minorHAnsi"/>
          <w:sz w:val="26"/>
          <w:szCs w:val="26"/>
        </w:rPr>
        <w:t>) și a Planului de acțiune pentru implementarea Strategiei naționale pentru prevenirea recidivei 2025</w:t>
      </w:r>
      <w:r w:rsidR="00C25EF5">
        <w:rPr>
          <w:rFonts w:asciiTheme="minorHAnsi" w:hAnsiTheme="minorHAnsi" w:cstheme="minorHAnsi"/>
          <w:sz w:val="26"/>
          <w:szCs w:val="26"/>
        </w:rPr>
        <w:t xml:space="preserve"> </w:t>
      </w:r>
      <w:r w:rsidRPr="00170A5F">
        <w:rPr>
          <w:rFonts w:asciiTheme="minorHAnsi" w:hAnsiTheme="minorHAnsi" w:cstheme="minorHAnsi"/>
          <w:sz w:val="26"/>
          <w:szCs w:val="26"/>
        </w:rPr>
        <w:t>-</w:t>
      </w:r>
      <w:r w:rsidR="00C25EF5">
        <w:rPr>
          <w:rFonts w:asciiTheme="minorHAnsi" w:hAnsiTheme="minorHAnsi" w:cstheme="minorHAnsi"/>
          <w:sz w:val="26"/>
          <w:szCs w:val="26"/>
        </w:rPr>
        <w:t xml:space="preserve"> </w:t>
      </w:r>
      <w:r w:rsidRPr="00170A5F">
        <w:rPr>
          <w:rFonts w:asciiTheme="minorHAnsi" w:hAnsiTheme="minorHAnsi" w:cstheme="minorHAnsi"/>
          <w:sz w:val="26"/>
          <w:szCs w:val="26"/>
        </w:rPr>
        <w:t>2029. Proiectul a fost analizat în ședința din data de 20 martie 2025 a Comisiei nr. 1 - reunită „Legislație și cooperare interinstituțională”. Observaţiile Comisiei au fost transmise Ministerului Justiţiei prin adresa nr. 3/3932/25.03.2025.</w:t>
      </w:r>
    </w:p>
    <w:p w14:paraId="3572FB2E" w14:textId="77777777" w:rsidR="00170A5F" w:rsidRPr="00170A5F" w:rsidRDefault="00170A5F" w:rsidP="009E3AD8">
      <w:pPr>
        <w:spacing w:line="276" w:lineRule="auto"/>
        <w:ind w:firstLine="708"/>
        <w:jc w:val="both"/>
        <w:rPr>
          <w:rFonts w:asciiTheme="minorHAnsi" w:hAnsiTheme="minorHAnsi" w:cstheme="minorHAnsi"/>
          <w:sz w:val="26"/>
          <w:szCs w:val="26"/>
        </w:rPr>
      </w:pPr>
      <w:r w:rsidRPr="00170A5F">
        <w:rPr>
          <w:rFonts w:asciiTheme="minorHAnsi" w:hAnsiTheme="minorHAnsi" w:cstheme="minorHAnsi"/>
          <w:sz w:val="26"/>
          <w:szCs w:val="26"/>
        </w:rPr>
        <w:t>- punctul de vedere referitor la Propunerea legislativă pentru modificarea şi completarea Legii nr. 47/1992 privind organizarea şi funcţionarea Curţii Constituţionale, cu modificările şi completările ulterioare. Propunerea a fost analizată în ședința din data de 20 martie 2025 a Comisiei nr. 1 - reunită „Legislație și cooperare interinstituțională”, apreciindu-se că aceasta nu poate fi adoptată întrucât este marcată de vicii de neconstituţionalitate evidente. Observaţiile Comisiei au fost transmise Ministerului Justiţiei prin adresa nr. 3/3393/25.03.2025.</w:t>
      </w:r>
    </w:p>
    <w:p w14:paraId="171AE41D" w14:textId="03777906" w:rsidR="00170A5F" w:rsidRPr="00170A5F" w:rsidRDefault="00170A5F" w:rsidP="009E3AD8">
      <w:pPr>
        <w:spacing w:line="276" w:lineRule="auto"/>
        <w:ind w:firstLine="709"/>
        <w:jc w:val="both"/>
        <w:rPr>
          <w:rFonts w:asciiTheme="minorHAnsi" w:hAnsiTheme="minorHAnsi" w:cstheme="minorHAnsi"/>
          <w:bCs/>
          <w:sz w:val="26"/>
          <w:szCs w:val="26"/>
        </w:rPr>
      </w:pPr>
      <w:r w:rsidRPr="00170A5F">
        <w:rPr>
          <w:rFonts w:asciiTheme="minorHAnsi" w:hAnsiTheme="minorHAnsi" w:cstheme="minorHAnsi"/>
          <w:sz w:val="26"/>
          <w:szCs w:val="26"/>
        </w:rPr>
        <w:t xml:space="preserve">- punctul de vedere referitor la proiectul de act normativ pentru modificarea </w:t>
      </w:r>
      <w:r w:rsidRPr="00170A5F">
        <w:rPr>
          <w:rFonts w:asciiTheme="minorHAnsi" w:hAnsiTheme="minorHAnsi" w:cstheme="minorHAnsi"/>
          <w:bCs/>
          <w:iCs/>
          <w:sz w:val="26"/>
          <w:szCs w:val="26"/>
        </w:rPr>
        <w:t>Legii nr. 340/2009 privind formularea de către România a unei declarații în baza prevederilor art. 35 paragraful (2) din Tratatul privind Uniunea Europeană</w:t>
      </w:r>
      <w:r w:rsidRPr="00170A5F">
        <w:rPr>
          <w:rFonts w:asciiTheme="minorHAnsi" w:hAnsiTheme="minorHAnsi" w:cstheme="minorHAnsi"/>
          <w:bCs/>
          <w:sz w:val="26"/>
          <w:szCs w:val="26"/>
        </w:rPr>
        <w:t xml:space="preserve">. </w:t>
      </w:r>
      <w:r w:rsidRPr="00170A5F">
        <w:rPr>
          <w:rFonts w:asciiTheme="minorHAnsi" w:hAnsiTheme="minorHAnsi" w:cstheme="minorHAnsi"/>
          <w:sz w:val="26"/>
          <w:szCs w:val="26"/>
        </w:rPr>
        <w:t xml:space="preserve">Proiectul a fost analizat în ședința din data </w:t>
      </w:r>
      <w:r w:rsidRPr="00170A5F">
        <w:rPr>
          <w:rFonts w:asciiTheme="minorHAnsi" w:hAnsiTheme="minorHAnsi" w:cstheme="minorHAnsi"/>
          <w:sz w:val="26"/>
          <w:szCs w:val="26"/>
        </w:rPr>
        <w:lastRenderedPageBreak/>
        <w:t>de 20 martie 2025 a Comisiei nr. 1 - reunită „Legislație și cooperare interinstituțională”.</w:t>
      </w:r>
      <w:r w:rsidRPr="00170A5F">
        <w:rPr>
          <w:rFonts w:asciiTheme="minorHAnsi" w:hAnsiTheme="minorHAnsi" w:cstheme="minorHAnsi"/>
          <w:bCs/>
          <w:sz w:val="26"/>
          <w:szCs w:val="26"/>
        </w:rPr>
        <w:t xml:space="preserve"> La nivelul comisiei de specialitate s-a conturat opinia potrivit căreia, în esență, modificările preconizate ale Legii nr. 340/2009 sunt în concordanță cu evoluția dreptului Uniunii Europene în ceea ce privește cererile adresate de instanțele naționale Curții de Justiție a Uniunii Europene în vederea pronunțării unor hotărâri preliminare, în materie penală, din perspectiva competenței Curții de Justiție în domeniul spațiului de securitate, libertate și justiție, modificările legislative fiind necesare în contextul în care nu există dispoziții speciale în Codul de procedură penală care să reglementeze anumite aspecte procedurale, dar și pentru a se asigura respectarea Deciziei Curții Constituționale nr. 219/2024. Observaţiile Comisiei au fost transmise Ministerului Justiţiei prin adresa nr. 3/2196/25.03.2025.</w:t>
      </w:r>
    </w:p>
    <w:p w14:paraId="7DADDC30" w14:textId="2351525C" w:rsidR="00170A5F" w:rsidRPr="00170A5F" w:rsidRDefault="0042563A" w:rsidP="009E3AD8">
      <w:pPr>
        <w:tabs>
          <w:tab w:val="left" w:pos="709"/>
        </w:tabs>
        <w:spacing w:line="276" w:lineRule="auto"/>
        <w:jc w:val="both"/>
        <w:rPr>
          <w:rFonts w:asciiTheme="minorHAnsi" w:hAnsiTheme="minorHAnsi" w:cstheme="minorHAnsi"/>
          <w:bCs/>
          <w:sz w:val="26"/>
          <w:szCs w:val="26"/>
        </w:rPr>
      </w:pPr>
      <w:r>
        <w:rPr>
          <w:rFonts w:asciiTheme="minorHAnsi" w:hAnsiTheme="minorHAnsi" w:cstheme="minorHAnsi"/>
          <w:bCs/>
          <w:sz w:val="26"/>
          <w:szCs w:val="26"/>
        </w:rPr>
        <w:tab/>
      </w:r>
      <w:r w:rsidR="00170A5F" w:rsidRPr="00170A5F">
        <w:rPr>
          <w:rFonts w:asciiTheme="minorHAnsi" w:hAnsiTheme="minorHAnsi" w:cstheme="minorHAnsi"/>
          <w:bCs/>
          <w:sz w:val="26"/>
          <w:szCs w:val="26"/>
        </w:rPr>
        <w:t xml:space="preserve">- </w:t>
      </w:r>
      <w:r w:rsidR="00170A5F" w:rsidRPr="00170A5F">
        <w:rPr>
          <w:rFonts w:asciiTheme="minorHAnsi" w:hAnsiTheme="minorHAnsi" w:cstheme="minorHAnsi"/>
          <w:sz w:val="26"/>
          <w:szCs w:val="26"/>
        </w:rPr>
        <w:t xml:space="preserve">punctul de vedere referitor la proiectul de </w:t>
      </w:r>
      <w:r w:rsidR="000E6B95">
        <w:rPr>
          <w:rFonts w:asciiTheme="minorHAnsi" w:hAnsiTheme="minorHAnsi" w:cstheme="minorHAnsi"/>
          <w:sz w:val="26"/>
          <w:szCs w:val="26"/>
        </w:rPr>
        <w:t xml:space="preserve">H.G. </w:t>
      </w:r>
      <w:r w:rsidR="00170A5F" w:rsidRPr="00170A5F">
        <w:rPr>
          <w:rFonts w:asciiTheme="minorHAnsi" w:hAnsiTheme="minorHAnsi" w:cstheme="minorHAnsi"/>
          <w:sz w:val="26"/>
          <w:szCs w:val="26"/>
        </w:rPr>
        <w:t xml:space="preserve">pentru modificarea şi completarea Anexei la </w:t>
      </w:r>
      <w:r w:rsidR="000E6B95">
        <w:rPr>
          <w:rFonts w:asciiTheme="minorHAnsi" w:hAnsiTheme="minorHAnsi" w:cstheme="minorHAnsi"/>
          <w:sz w:val="26"/>
          <w:szCs w:val="26"/>
        </w:rPr>
        <w:t>H.G.</w:t>
      </w:r>
      <w:r w:rsidR="00170A5F" w:rsidRPr="00170A5F">
        <w:rPr>
          <w:rFonts w:asciiTheme="minorHAnsi" w:hAnsiTheme="minorHAnsi" w:cstheme="minorHAnsi"/>
          <w:sz w:val="26"/>
          <w:szCs w:val="26"/>
        </w:rPr>
        <w:t xml:space="preserve"> nr. 706/2015 pentru aprobarea Normelor metodologice de aplicare a prevederilor referitoare la stabilirea pensiilor de serviciu din Legea nr. 567/2004 privind statutul personalului auxiliar de specialitate al instanţelor judecătoreşti şi al parchetelor de pe lângă acestea şi al personalului care funcţionează în cadrul Institutului Naţional de Expertize Criminalistice, </w:t>
      </w:r>
      <w:r w:rsidR="00170A5F" w:rsidRPr="00170A5F">
        <w:rPr>
          <w:rFonts w:asciiTheme="minorHAnsi" w:hAnsiTheme="minorHAnsi" w:cstheme="minorHAnsi"/>
          <w:iCs/>
          <w:sz w:val="26"/>
          <w:szCs w:val="26"/>
        </w:rPr>
        <w:t>analizat în ședința din data de 5 iunie 2025 a Comisiei nr. 1 – reunită „Legislație şi cooperare interinstituțională”.</w:t>
      </w:r>
      <w:r w:rsidR="00170A5F" w:rsidRPr="00170A5F">
        <w:rPr>
          <w:rFonts w:asciiTheme="minorHAnsi" w:hAnsiTheme="minorHAnsi" w:cstheme="minorHAnsi"/>
          <w:bCs/>
          <w:sz w:val="26"/>
          <w:szCs w:val="26"/>
        </w:rPr>
        <w:t xml:space="preserve"> Observaţiile Comisiei au fost transmise Ministerului Justiţiei prin adresa nr. 7/19295/2024 din 12.06.2025.</w:t>
      </w:r>
    </w:p>
    <w:p w14:paraId="11E50B5C" w14:textId="55BF955C" w:rsidR="00170A5F" w:rsidRPr="00170A5F" w:rsidRDefault="00170A5F" w:rsidP="009C1A25">
      <w:pPr>
        <w:spacing w:line="276" w:lineRule="auto"/>
        <w:ind w:firstLine="810"/>
        <w:jc w:val="both"/>
        <w:rPr>
          <w:rFonts w:asciiTheme="minorHAnsi" w:hAnsiTheme="minorHAnsi" w:cstheme="minorHAnsi"/>
          <w:i/>
          <w:sz w:val="26"/>
          <w:szCs w:val="26"/>
        </w:rPr>
      </w:pPr>
      <w:r w:rsidRPr="00170A5F">
        <w:rPr>
          <w:rFonts w:asciiTheme="minorHAnsi" w:hAnsiTheme="minorHAnsi" w:cstheme="minorHAnsi"/>
          <w:bCs/>
          <w:sz w:val="26"/>
          <w:szCs w:val="26"/>
        </w:rPr>
        <w:t xml:space="preserve">- punctul de vedere referitor la </w:t>
      </w:r>
      <w:r w:rsidRPr="00170A5F">
        <w:rPr>
          <w:rFonts w:asciiTheme="minorHAnsi" w:hAnsiTheme="minorHAnsi" w:cstheme="minorHAnsi"/>
          <w:sz w:val="26"/>
          <w:szCs w:val="26"/>
        </w:rPr>
        <w:t xml:space="preserve">forma preliminară a </w:t>
      </w:r>
      <w:r w:rsidRPr="00170A5F">
        <w:rPr>
          <w:rFonts w:asciiTheme="minorHAnsi" w:hAnsiTheme="minorHAnsi" w:cstheme="minorHAnsi"/>
          <w:bCs/>
          <w:iCs/>
          <w:sz w:val="26"/>
          <w:szCs w:val="26"/>
        </w:rPr>
        <w:t xml:space="preserve">Proiectului de lege pentru modificarea și completarea </w:t>
      </w:r>
      <w:r w:rsidR="000E6B95">
        <w:rPr>
          <w:rFonts w:asciiTheme="minorHAnsi" w:hAnsiTheme="minorHAnsi" w:cstheme="minorHAnsi"/>
          <w:bCs/>
          <w:iCs/>
          <w:sz w:val="26"/>
          <w:szCs w:val="26"/>
        </w:rPr>
        <w:t xml:space="preserve">O.G. </w:t>
      </w:r>
      <w:r w:rsidRPr="00170A5F">
        <w:rPr>
          <w:rFonts w:asciiTheme="minorHAnsi" w:hAnsiTheme="minorHAnsi" w:cstheme="minorHAnsi"/>
          <w:bCs/>
          <w:iCs/>
          <w:sz w:val="26"/>
          <w:szCs w:val="26"/>
        </w:rPr>
        <w:t>nr. 2/2000 privind organizarea activității de expertiză tehnică judiciară și extrajudiciară, precum și pentru modificarea și completarea altor acte normative</w:t>
      </w:r>
      <w:r w:rsidRPr="00170A5F">
        <w:rPr>
          <w:rFonts w:asciiTheme="minorHAnsi" w:hAnsiTheme="minorHAnsi" w:cstheme="minorHAnsi"/>
          <w:bCs/>
          <w:sz w:val="26"/>
          <w:szCs w:val="26"/>
        </w:rPr>
        <w:t>,</w:t>
      </w:r>
      <w:r w:rsidRPr="00170A5F">
        <w:rPr>
          <w:rFonts w:asciiTheme="minorHAnsi" w:hAnsiTheme="minorHAnsi" w:cstheme="minorHAnsi"/>
          <w:sz w:val="26"/>
          <w:szCs w:val="26"/>
        </w:rPr>
        <w:t xml:space="preserve"> analizat în ședința din data de 26 iunie 2025 a Comisiei nr. 1 - reunită „Legislație și cooperare interinstituțională”.</w:t>
      </w:r>
      <w:r w:rsidR="0025675D">
        <w:rPr>
          <w:rFonts w:asciiTheme="minorHAnsi" w:hAnsiTheme="minorHAnsi" w:cstheme="minorHAnsi"/>
          <w:bCs/>
          <w:sz w:val="26"/>
          <w:szCs w:val="26"/>
        </w:rPr>
        <w:t xml:space="preserve"> </w:t>
      </w:r>
      <w:r w:rsidRPr="00170A5F">
        <w:rPr>
          <w:rFonts w:asciiTheme="minorHAnsi" w:hAnsiTheme="minorHAnsi" w:cstheme="minorHAnsi"/>
          <w:bCs/>
          <w:sz w:val="26"/>
          <w:szCs w:val="26"/>
        </w:rPr>
        <w:t>Din perspectiva comisiei de specialitate a C</w:t>
      </w:r>
      <w:r w:rsidR="0025675D">
        <w:rPr>
          <w:rFonts w:asciiTheme="minorHAnsi" w:hAnsiTheme="minorHAnsi" w:cstheme="minorHAnsi"/>
          <w:bCs/>
          <w:sz w:val="26"/>
          <w:szCs w:val="26"/>
        </w:rPr>
        <w:t>.S.M.</w:t>
      </w:r>
      <w:r w:rsidRPr="00170A5F">
        <w:rPr>
          <w:rFonts w:asciiTheme="minorHAnsi" w:hAnsiTheme="minorHAnsi" w:cstheme="minorHAnsi"/>
          <w:bCs/>
          <w:sz w:val="26"/>
          <w:szCs w:val="26"/>
        </w:rPr>
        <w:t>, în virtutea principiului colaborării interinstituționale, a fost analizată măsura în care aceste propuneri de reglementare ar putea avea incidență asupra derulării activității instanțelor judecătorești, respectiv a parchetelor de pe lângă acestea, în special în ceea ce privește regulile de procedură în materia efectuării expertizelor tehnice judiciare, precum și sub aspectul posibilității integrării în proiect a propunerilor formulate de instanțe și parchete. Observaţiile comisiei de specialitate</w:t>
      </w:r>
      <w:r w:rsidR="0025675D">
        <w:rPr>
          <w:rFonts w:asciiTheme="minorHAnsi" w:hAnsiTheme="minorHAnsi" w:cstheme="minorHAnsi"/>
          <w:bCs/>
          <w:sz w:val="26"/>
          <w:szCs w:val="26"/>
        </w:rPr>
        <w:t xml:space="preserve"> </w:t>
      </w:r>
      <w:r w:rsidRPr="00170A5F">
        <w:rPr>
          <w:rFonts w:asciiTheme="minorHAnsi" w:hAnsiTheme="minorHAnsi" w:cstheme="minorHAnsi"/>
          <w:bCs/>
          <w:sz w:val="26"/>
          <w:szCs w:val="26"/>
        </w:rPr>
        <w:t>au fost transmise Ministerului Justiţiei cu adresa nr. 11/1734/2024/04.07.2025.</w:t>
      </w:r>
    </w:p>
    <w:p w14:paraId="1AF18DE2" w14:textId="77777777" w:rsidR="00170A5F" w:rsidRPr="00170A5F" w:rsidRDefault="00170A5F" w:rsidP="009E3AD8">
      <w:pPr>
        <w:spacing w:line="276" w:lineRule="auto"/>
        <w:ind w:firstLine="708"/>
        <w:jc w:val="both"/>
        <w:rPr>
          <w:rFonts w:asciiTheme="minorHAnsi" w:hAnsiTheme="minorHAnsi" w:cstheme="minorHAnsi"/>
          <w:bCs/>
          <w:sz w:val="26"/>
          <w:szCs w:val="26"/>
        </w:rPr>
      </w:pPr>
      <w:r w:rsidRPr="00170A5F">
        <w:rPr>
          <w:rFonts w:asciiTheme="minorHAnsi" w:hAnsiTheme="minorHAnsi" w:cstheme="minorHAnsi"/>
          <w:sz w:val="26"/>
          <w:szCs w:val="26"/>
        </w:rPr>
        <w:t xml:space="preserve">- punctul de vedere referitor la proiectul de </w:t>
      </w:r>
      <w:r w:rsidRPr="00170A5F">
        <w:rPr>
          <w:rFonts w:asciiTheme="minorHAnsi" w:hAnsiTheme="minorHAnsi" w:cstheme="minorHAnsi"/>
          <w:iCs/>
          <w:sz w:val="26"/>
          <w:szCs w:val="26"/>
        </w:rPr>
        <w:t xml:space="preserve">Lege privind protecţia împotriva cererilor vădit neîntemeiate sau a procedurilor judiciare abuzive îndreptate împotriva persoanelor implicate în acţiuni de mobilizare publică </w:t>
      </w:r>
      <w:r w:rsidRPr="00170A5F">
        <w:rPr>
          <w:rFonts w:asciiTheme="minorHAnsi" w:hAnsiTheme="minorHAnsi" w:cstheme="minorHAnsi"/>
          <w:sz w:val="26"/>
          <w:szCs w:val="26"/>
        </w:rPr>
        <w:t>şi la instrumentul de prezentare şi motivare a acestuia</w:t>
      </w:r>
      <w:r w:rsidRPr="00170A5F">
        <w:rPr>
          <w:rFonts w:asciiTheme="minorHAnsi" w:eastAsia="Arial" w:hAnsiTheme="minorHAnsi" w:cstheme="minorHAnsi"/>
          <w:sz w:val="26"/>
          <w:szCs w:val="26"/>
        </w:rPr>
        <w:t xml:space="preserve">, </w:t>
      </w:r>
      <w:r w:rsidRPr="00170A5F">
        <w:rPr>
          <w:rFonts w:asciiTheme="minorHAnsi" w:hAnsiTheme="minorHAnsi" w:cstheme="minorHAnsi"/>
          <w:bCs/>
          <w:sz w:val="26"/>
          <w:szCs w:val="26"/>
        </w:rPr>
        <w:t>analizat în ședința din data de 27 august 2025 a Comisiei nr. 1 – reunită - „Legislație şi cooperare interinstituțională” şi transmis Ministerului Justiţiei prin adresa nr. 14/19909/02.09.2025.</w:t>
      </w:r>
    </w:p>
    <w:p w14:paraId="3FDCD930" w14:textId="311B7DFE" w:rsidR="00170A5F" w:rsidRPr="00170A5F" w:rsidRDefault="00170A5F" w:rsidP="009E3AD8">
      <w:pPr>
        <w:spacing w:line="276" w:lineRule="auto"/>
        <w:ind w:firstLine="708"/>
        <w:jc w:val="both"/>
        <w:rPr>
          <w:rFonts w:asciiTheme="minorHAnsi" w:hAnsiTheme="minorHAnsi" w:cstheme="minorHAnsi"/>
          <w:sz w:val="26"/>
          <w:szCs w:val="26"/>
        </w:rPr>
      </w:pPr>
      <w:r w:rsidRPr="00170A5F">
        <w:rPr>
          <w:rFonts w:asciiTheme="minorHAnsi" w:hAnsiTheme="minorHAnsi" w:cstheme="minorHAnsi"/>
          <w:bCs/>
          <w:sz w:val="26"/>
          <w:szCs w:val="26"/>
        </w:rPr>
        <w:t xml:space="preserve">- </w:t>
      </w:r>
      <w:r w:rsidRPr="00170A5F">
        <w:rPr>
          <w:rFonts w:asciiTheme="minorHAnsi" w:hAnsiTheme="minorHAnsi" w:cstheme="minorHAnsi"/>
          <w:sz w:val="26"/>
          <w:szCs w:val="26"/>
        </w:rPr>
        <w:t>punctul de vedere cu privire la raportul Comitetului European pentru Prevenirea Torturii şi a Pedepselor sau Tratamentelor Inumane sau Degradante (C</w:t>
      </w:r>
      <w:r w:rsidR="00454A2B">
        <w:rPr>
          <w:rFonts w:asciiTheme="minorHAnsi" w:hAnsiTheme="minorHAnsi" w:cstheme="minorHAnsi"/>
          <w:sz w:val="26"/>
          <w:szCs w:val="26"/>
        </w:rPr>
        <w:t>.</w:t>
      </w:r>
      <w:r w:rsidRPr="00170A5F">
        <w:rPr>
          <w:rFonts w:asciiTheme="minorHAnsi" w:hAnsiTheme="minorHAnsi" w:cstheme="minorHAnsi"/>
          <w:sz w:val="26"/>
          <w:szCs w:val="26"/>
        </w:rPr>
        <w:t>P</w:t>
      </w:r>
      <w:r w:rsidR="00454A2B">
        <w:rPr>
          <w:rFonts w:asciiTheme="minorHAnsi" w:hAnsiTheme="minorHAnsi" w:cstheme="minorHAnsi"/>
          <w:sz w:val="26"/>
          <w:szCs w:val="26"/>
        </w:rPr>
        <w:t>.</w:t>
      </w:r>
      <w:r w:rsidRPr="00170A5F">
        <w:rPr>
          <w:rFonts w:asciiTheme="minorHAnsi" w:hAnsiTheme="minorHAnsi" w:cstheme="minorHAnsi"/>
          <w:sz w:val="26"/>
          <w:szCs w:val="26"/>
        </w:rPr>
        <w:t>T</w:t>
      </w:r>
      <w:r w:rsidR="00454A2B">
        <w:rPr>
          <w:rFonts w:asciiTheme="minorHAnsi" w:hAnsiTheme="minorHAnsi" w:cstheme="minorHAnsi"/>
          <w:sz w:val="26"/>
          <w:szCs w:val="26"/>
        </w:rPr>
        <w:t>.</w:t>
      </w:r>
      <w:r w:rsidRPr="00170A5F">
        <w:rPr>
          <w:rFonts w:asciiTheme="minorHAnsi" w:hAnsiTheme="minorHAnsi" w:cstheme="minorHAnsi"/>
          <w:sz w:val="26"/>
          <w:szCs w:val="26"/>
        </w:rPr>
        <w:t>) realizat ca urmare a evaluării implementării recomandărilor C</w:t>
      </w:r>
      <w:r w:rsidR="00454A2B">
        <w:rPr>
          <w:rFonts w:asciiTheme="minorHAnsi" w:hAnsiTheme="minorHAnsi" w:cstheme="minorHAnsi"/>
          <w:sz w:val="26"/>
          <w:szCs w:val="26"/>
        </w:rPr>
        <w:t>.</w:t>
      </w:r>
      <w:r w:rsidRPr="00170A5F">
        <w:rPr>
          <w:rFonts w:asciiTheme="minorHAnsi" w:hAnsiTheme="minorHAnsi" w:cstheme="minorHAnsi"/>
          <w:sz w:val="26"/>
          <w:szCs w:val="26"/>
        </w:rPr>
        <w:t>P</w:t>
      </w:r>
      <w:r w:rsidR="00454A2B">
        <w:rPr>
          <w:rFonts w:asciiTheme="minorHAnsi" w:hAnsiTheme="minorHAnsi" w:cstheme="minorHAnsi"/>
          <w:sz w:val="26"/>
          <w:szCs w:val="26"/>
        </w:rPr>
        <w:t>.</w:t>
      </w:r>
      <w:r w:rsidRPr="00170A5F">
        <w:rPr>
          <w:rFonts w:asciiTheme="minorHAnsi" w:hAnsiTheme="minorHAnsi" w:cstheme="minorHAnsi"/>
          <w:sz w:val="26"/>
          <w:szCs w:val="26"/>
        </w:rPr>
        <w:t>T</w:t>
      </w:r>
      <w:r w:rsidR="00454A2B">
        <w:rPr>
          <w:rFonts w:asciiTheme="minorHAnsi" w:hAnsiTheme="minorHAnsi" w:cstheme="minorHAnsi"/>
          <w:sz w:val="26"/>
          <w:szCs w:val="26"/>
        </w:rPr>
        <w:t>.</w:t>
      </w:r>
      <w:r w:rsidRPr="00170A5F">
        <w:rPr>
          <w:rFonts w:asciiTheme="minorHAnsi" w:hAnsiTheme="minorHAnsi" w:cstheme="minorHAnsi"/>
          <w:sz w:val="26"/>
          <w:szCs w:val="26"/>
        </w:rPr>
        <w:t xml:space="preserve"> vizând tratamentul şi condiţiile de detenţie a pacienţilor în patru spitale de psihiatrie şi măsuri de siguranţă din România, analizat în şedinţa din data de 15 mai 2025 a Comisiei nr. 1 – reunită „Legislaţie şi cooperare interinstituţională”. Răspunsul a fost transmis Ministerului Justiţiei cu adre</w:t>
      </w:r>
      <w:r w:rsidR="00820D95">
        <w:rPr>
          <w:rFonts w:asciiTheme="minorHAnsi" w:hAnsiTheme="minorHAnsi" w:cstheme="minorHAnsi"/>
          <w:sz w:val="26"/>
          <w:szCs w:val="26"/>
        </w:rPr>
        <w:t>s</w:t>
      </w:r>
      <w:r w:rsidRPr="00170A5F">
        <w:rPr>
          <w:rFonts w:asciiTheme="minorHAnsi" w:hAnsiTheme="minorHAnsi" w:cstheme="minorHAnsi"/>
          <w:sz w:val="26"/>
          <w:szCs w:val="26"/>
        </w:rPr>
        <w:t>a nr. 4/4519/20.05.2025.</w:t>
      </w:r>
    </w:p>
    <w:p w14:paraId="1684E839" w14:textId="530C2E87" w:rsidR="00170A5F" w:rsidRDefault="00170A5F" w:rsidP="009E3AD8">
      <w:pPr>
        <w:spacing w:line="276" w:lineRule="auto"/>
        <w:ind w:firstLine="708"/>
        <w:jc w:val="both"/>
        <w:rPr>
          <w:rFonts w:asciiTheme="minorHAnsi" w:hAnsiTheme="minorHAnsi" w:cstheme="minorHAnsi"/>
          <w:bCs/>
          <w:color w:val="000000"/>
          <w:sz w:val="26"/>
          <w:szCs w:val="26"/>
        </w:rPr>
      </w:pPr>
      <w:r w:rsidRPr="00170A5F">
        <w:rPr>
          <w:rFonts w:asciiTheme="minorHAnsi" w:hAnsiTheme="minorHAnsi" w:cstheme="minorHAnsi"/>
          <w:iCs/>
          <w:sz w:val="26"/>
          <w:szCs w:val="26"/>
        </w:rPr>
        <w:t xml:space="preserve">- </w:t>
      </w:r>
      <w:r w:rsidRPr="00170A5F">
        <w:rPr>
          <w:rFonts w:asciiTheme="minorHAnsi" w:hAnsiTheme="minorHAnsi" w:cstheme="minorHAnsi"/>
          <w:sz w:val="26"/>
          <w:szCs w:val="26"/>
        </w:rPr>
        <w:t xml:space="preserve">în ședința din data de </w:t>
      </w:r>
      <w:r w:rsidR="00C777C2">
        <w:rPr>
          <w:rFonts w:asciiTheme="minorHAnsi" w:hAnsiTheme="minorHAnsi" w:cstheme="minorHAnsi"/>
          <w:sz w:val="26"/>
          <w:szCs w:val="26"/>
        </w:rPr>
        <w:t>0</w:t>
      </w:r>
      <w:r w:rsidRPr="00170A5F">
        <w:rPr>
          <w:rFonts w:asciiTheme="minorHAnsi" w:hAnsiTheme="minorHAnsi" w:cstheme="minorHAnsi"/>
          <w:sz w:val="26"/>
          <w:szCs w:val="26"/>
        </w:rPr>
        <w:t xml:space="preserve">4 septembrie 2025, Comisia nr. 1 – reunită ”Legislație și cooperare interinstituțională” a analizat sesizarea Ministerului Justiţiei vizând necesitatea implementării art. 17 și </w:t>
      </w:r>
      <w:r w:rsidR="005960B4">
        <w:rPr>
          <w:rFonts w:asciiTheme="minorHAnsi" w:hAnsiTheme="minorHAnsi" w:cstheme="minorHAnsi"/>
          <w:sz w:val="26"/>
          <w:szCs w:val="26"/>
        </w:rPr>
        <w:t xml:space="preserve">art. </w:t>
      </w:r>
      <w:r w:rsidRPr="00170A5F">
        <w:rPr>
          <w:rFonts w:asciiTheme="minorHAnsi" w:hAnsiTheme="minorHAnsi" w:cstheme="minorHAnsi"/>
          <w:sz w:val="26"/>
          <w:szCs w:val="26"/>
        </w:rPr>
        <w:t>18 din Directiva (U</w:t>
      </w:r>
      <w:r w:rsidR="00C777C2">
        <w:rPr>
          <w:rFonts w:asciiTheme="minorHAnsi" w:hAnsiTheme="minorHAnsi" w:cstheme="minorHAnsi"/>
          <w:sz w:val="26"/>
          <w:szCs w:val="26"/>
        </w:rPr>
        <w:t>.</w:t>
      </w:r>
      <w:r w:rsidRPr="00170A5F">
        <w:rPr>
          <w:rFonts w:asciiTheme="minorHAnsi" w:hAnsiTheme="minorHAnsi" w:cstheme="minorHAnsi"/>
          <w:sz w:val="26"/>
          <w:szCs w:val="26"/>
        </w:rPr>
        <w:t>E</w:t>
      </w:r>
      <w:r w:rsidR="00C777C2">
        <w:rPr>
          <w:rFonts w:asciiTheme="minorHAnsi" w:hAnsiTheme="minorHAnsi" w:cstheme="minorHAnsi"/>
          <w:sz w:val="26"/>
          <w:szCs w:val="26"/>
        </w:rPr>
        <w:t>.</w:t>
      </w:r>
      <w:r w:rsidRPr="00170A5F">
        <w:rPr>
          <w:rFonts w:asciiTheme="minorHAnsi" w:hAnsiTheme="minorHAnsi" w:cstheme="minorHAnsi"/>
          <w:sz w:val="26"/>
          <w:szCs w:val="26"/>
        </w:rPr>
        <w:t xml:space="preserve">) 2024/1203 privind protecţia mediului prin intermediul dreptului </w:t>
      </w:r>
      <w:r w:rsidRPr="00170A5F">
        <w:rPr>
          <w:rFonts w:asciiTheme="minorHAnsi" w:hAnsiTheme="minorHAnsi" w:cstheme="minorHAnsi"/>
          <w:sz w:val="26"/>
          <w:szCs w:val="26"/>
        </w:rPr>
        <w:lastRenderedPageBreak/>
        <w:t xml:space="preserve">penal şi de înlocuire a Directivelor 2008/99/CE şi 2009/123/CE. Comisia a decis transmiterea unei solicitări către Institutul Naţional al Magistraturii pentru a avea în vedere în activitatea de formare centralizată și descentralizată implementarea art. 18 din </w:t>
      </w:r>
      <w:r w:rsidRPr="00170A5F">
        <w:rPr>
          <w:rFonts w:asciiTheme="minorHAnsi" w:hAnsiTheme="minorHAnsi" w:cstheme="minorHAnsi"/>
          <w:bCs/>
          <w:color w:val="000000"/>
          <w:sz w:val="26"/>
          <w:szCs w:val="26"/>
        </w:rPr>
        <w:t>Directiva (U</w:t>
      </w:r>
      <w:r w:rsidR="00C777C2">
        <w:rPr>
          <w:rFonts w:asciiTheme="minorHAnsi" w:hAnsiTheme="minorHAnsi" w:cstheme="minorHAnsi"/>
          <w:bCs/>
          <w:color w:val="000000"/>
          <w:sz w:val="26"/>
          <w:szCs w:val="26"/>
        </w:rPr>
        <w:t>.</w:t>
      </w:r>
      <w:r w:rsidRPr="00170A5F">
        <w:rPr>
          <w:rFonts w:asciiTheme="minorHAnsi" w:hAnsiTheme="minorHAnsi" w:cstheme="minorHAnsi"/>
          <w:bCs/>
          <w:color w:val="000000"/>
          <w:sz w:val="26"/>
          <w:szCs w:val="26"/>
        </w:rPr>
        <w:t>E</w:t>
      </w:r>
      <w:r w:rsidR="00C777C2">
        <w:rPr>
          <w:rFonts w:asciiTheme="minorHAnsi" w:hAnsiTheme="minorHAnsi" w:cstheme="minorHAnsi"/>
          <w:bCs/>
          <w:color w:val="000000"/>
          <w:sz w:val="26"/>
          <w:szCs w:val="26"/>
        </w:rPr>
        <w:t>.</w:t>
      </w:r>
      <w:r w:rsidRPr="00170A5F">
        <w:rPr>
          <w:rFonts w:asciiTheme="minorHAnsi" w:hAnsiTheme="minorHAnsi" w:cstheme="minorHAnsi"/>
          <w:bCs/>
          <w:color w:val="000000"/>
          <w:sz w:val="26"/>
          <w:szCs w:val="26"/>
        </w:rPr>
        <w:t xml:space="preserve">) 2024/1203, prin formarea specializată în </w:t>
      </w:r>
      <w:r w:rsidRPr="00170A5F">
        <w:rPr>
          <w:rFonts w:asciiTheme="minorHAnsi" w:hAnsiTheme="minorHAnsi" w:cstheme="minorHAnsi"/>
          <w:sz w:val="26"/>
          <w:szCs w:val="26"/>
        </w:rPr>
        <w:t xml:space="preserve">domeniul </w:t>
      </w:r>
      <w:r w:rsidRPr="00170A5F">
        <w:rPr>
          <w:rFonts w:asciiTheme="minorHAnsi" w:hAnsiTheme="minorHAnsi" w:cstheme="minorHAnsi"/>
          <w:color w:val="000000"/>
          <w:sz w:val="26"/>
          <w:szCs w:val="26"/>
        </w:rPr>
        <w:t>infracţiunilor de mediu a unui număr suficient de judecători și procurori.</w:t>
      </w:r>
      <w:r w:rsidRPr="00170A5F">
        <w:rPr>
          <w:rFonts w:asciiTheme="minorHAnsi" w:hAnsiTheme="minorHAnsi" w:cstheme="minorHAnsi"/>
          <w:sz w:val="26"/>
          <w:szCs w:val="26"/>
        </w:rPr>
        <w:t xml:space="preserve"> Totodată, dat fiind că Parchetul de pe lângă Înalta Curte de Casaţie şi Justiţie este responsabil de formarea continuă descentralizată și are, potrivit Strategiei de dezvoltare a sistemului judiciar şi a justiţiei ca serviciu public 2025</w:t>
      </w:r>
      <w:r w:rsidR="00C777C2">
        <w:rPr>
          <w:rFonts w:asciiTheme="minorHAnsi" w:hAnsiTheme="minorHAnsi" w:cstheme="minorHAnsi"/>
          <w:sz w:val="26"/>
          <w:szCs w:val="26"/>
        </w:rPr>
        <w:t xml:space="preserve"> </w:t>
      </w:r>
      <w:r w:rsidRPr="00170A5F">
        <w:rPr>
          <w:rFonts w:asciiTheme="minorHAnsi" w:hAnsiTheme="minorHAnsi" w:cstheme="minorHAnsi"/>
          <w:sz w:val="26"/>
          <w:szCs w:val="26"/>
        </w:rPr>
        <w:t>-</w:t>
      </w:r>
      <w:r w:rsidR="00C777C2">
        <w:rPr>
          <w:rFonts w:asciiTheme="minorHAnsi" w:hAnsiTheme="minorHAnsi" w:cstheme="minorHAnsi"/>
          <w:sz w:val="26"/>
          <w:szCs w:val="26"/>
        </w:rPr>
        <w:t xml:space="preserve"> </w:t>
      </w:r>
      <w:r w:rsidRPr="00170A5F">
        <w:rPr>
          <w:rFonts w:asciiTheme="minorHAnsi" w:hAnsiTheme="minorHAnsi" w:cstheme="minorHAnsi"/>
          <w:sz w:val="26"/>
          <w:szCs w:val="26"/>
        </w:rPr>
        <w:t xml:space="preserve">2029, atribuţii în </w:t>
      </w:r>
      <w:r w:rsidRPr="00170A5F">
        <w:rPr>
          <w:rFonts w:asciiTheme="minorHAnsi" w:hAnsiTheme="minorHAnsi" w:cstheme="minorHAnsi"/>
          <w:color w:val="000000"/>
          <w:sz w:val="26"/>
          <w:szCs w:val="26"/>
        </w:rPr>
        <w:t>specializarea procurorilor şi a poliţiştilor judiciari, pentru investigarea cu celeritate a tuturor infracţiunilor de mediu (</w:t>
      </w:r>
      <w:r w:rsidRPr="00170A5F">
        <w:rPr>
          <w:rFonts w:asciiTheme="minorHAnsi" w:hAnsiTheme="minorHAnsi" w:cstheme="minorHAnsi"/>
          <w:sz w:val="26"/>
          <w:szCs w:val="26"/>
        </w:rPr>
        <w:t>alături de Consiliul Superior al Magistraturii), comisia a decis transmiterea unei solicitări şi către această instituţie</w:t>
      </w:r>
      <w:r w:rsidRPr="00170A5F">
        <w:rPr>
          <w:rFonts w:asciiTheme="minorHAnsi" w:hAnsiTheme="minorHAnsi" w:cstheme="minorHAnsi"/>
          <w:color w:val="000000"/>
          <w:sz w:val="26"/>
          <w:szCs w:val="26"/>
        </w:rPr>
        <w:t xml:space="preserve"> pentru a lua măsuri privind formarea procurorilor cu privire la obiectivele </w:t>
      </w:r>
      <w:r w:rsidRPr="00170A5F">
        <w:rPr>
          <w:rFonts w:asciiTheme="minorHAnsi" w:hAnsiTheme="minorHAnsi" w:cstheme="minorHAnsi"/>
          <w:bCs/>
          <w:color w:val="000000"/>
          <w:sz w:val="26"/>
          <w:szCs w:val="26"/>
        </w:rPr>
        <w:t>Directivei (UE) 2024/1203. Răspunsul comisiei de specialitate a fost transmis Ministerului Justiţiei cu adresa nr. 3/10903/12.09.2025.</w:t>
      </w:r>
    </w:p>
    <w:p w14:paraId="1561CF61" w14:textId="55392422" w:rsidR="00622FE2" w:rsidRPr="00046F6E" w:rsidRDefault="00622FE2" w:rsidP="009E3AD8">
      <w:pPr>
        <w:spacing w:line="276" w:lineRule="auto"/>
        <w:ind w:firstLine="708"/>
        <w:jc w:val="both"/>
        <w:rPr>
          <w:rFonts w:asciiTheme="minorHAnsi" w:hAnsiTheme="minorHAnsi" w:cstheme="minorHAnsi"/>
          <w:sz w:val="26"/>
          <w:szCs w:val="26"/>
        </w:rPr>
      </w:pPr>
      <w:r w:rsidRPr="00046F6E">
        <w:rPr>
          <w:rFonts w:asciiTheme="minorHAnsi" w:hAnsiTheme="minorHAnsi" w:cstheme="minorHAnsi"/>
          <w:sz w:val="26"/>
          <w:szCs w:val="26"/>
        </w:rPr>
        <w:t xml:space="preserve">- punctul de vedere referitor la proiectul de Lege pentru modificarea Legii nr. 340/2009 privind formularea de către România a unei declarații în baza prevederilor art. 35 paragraful (2) din Tratatul privind Uniunea Europeană, analizat în şedinţa din data de 13 noiembrie 2025 a Comisiei nr. 1 – reunită „Legislaţie şi cooperare interinstituţională”. Comisia de specialitate a reținut că au fost implementate o parte dintre propunerile formulate anterior de Consiliul Superior al Magistraturii, precum și că a fost prevăzută contestația drept cale de atac ce poate fi formulată împotriva încheierii prin care instanța penală se pronunță cu privire la suspendarea judecății în cazul sesizării Curții de Justiție a Uniunii Europene, cu trimitere la dispozițiile corespunzătoare din Codul de procedură penală, în vederea asigurării punerii în acord a prevederilor Legii nr. 340/2009 cu constatările din Decizia Curții Constituționale nr. 219/2024. Răspunsul comisiei de specialitate a Consiliului Superior al Magistraturii a fost transmis Ministerului Justiţiei </w:t>
      </w:r>
      <w:r w:rsidR="00822C16" w:rsidRPr="00046F6E">
        <w:rPr>
          <w:rFonts w:asciiTheme="minorHAnsi" w:hAnsiTheme="minorHAnsi" w:cstheme="minorHAnsi"/>
          <w:sz w:val="26"/>
          <w:szCs w:val="26"/>
        </w:rPr>
        <w:t>prin</w:t>
      </w:r>
      <w:r w:rsidRPr="00046F6E">
        <w:rPr>
          <w:rFonts w:asciiTheme="minorHAnsi" w:hAnsiTheme="minorHAnsi" w:cstheme="minorHAnsi"/>
          <w:sz w:val="26"/>
          <w:szCs w:val="26"/>
        </w:rPr>
        <w:t xml:space="preserve"> adresa nr. 6/2196/19.11.2025.</w:t>
      </w:r>
    </w:p>
    <w:p w14:paraId="03CD87C3" w14:textId="15EAE0A1" w:rsidR="00170A5F" w:rsidRPr="00046F6E" w:rsidRDefault="00170A5F" w:rsidP="009E3AD8">
      <w:pPr>
        <w:spacing w:line="276" w:lineRule="auto"/>
        <w:ind w:firstLine="708"/>
        <w:jc w:val="both"/>
        <w:rPr>
          <w:rFonts w:asciiTheme="minorHAnsi" w:hAnsiTheme="minorHAnsi" w:cstheme="minorHAnsi"/>
          <w:bCs/>
          <w:sz w:val="26"/>
          <w:szCs w:val="26"/>
        </w:rPr>
      </w:pPr>
      <w:r w:rsidRPr="00170A5F">
        <w:rPr>
          <w:rFonts w:asciiTheme="minorHAnsi" w:hAnsiTheme="minorHAnsi" w:cstheme="minorHAnsi"/>
          <w:sz w:val="26"/>
          <w:szCs w:val="26"/>
        </w:rPr>
        <w:t xml:space="preserve">În contextul colaborării cu Ministerul Justiţiei din perspectiva procesului legislativ şi a îndatoririi Consiliului de a se implica activ în aspectele care privesc autoritatea judecătorească, în şedinţa din data de </w:t>
      </w:r>
      <w:r w:rsidRPr="00170A5F">
        <w:rPr>
          <w:rFonts w:asciiTheme="minorHAnsi" w:hAnsiTheme="minorHAnsi" w:cstheme="minorHAnsi"/>
          <w:bCs/>
          <w:sz w:val="26"/>
          <w:szCs w:val="26"/>
        </w:rPr>
        <w:t xml:space="preserve">20 martie 2025, Comisia nr. 1 – reunită - „Legislație şi cooperare interinstituțională” a analizat solicitarea Ministerului Justiţiei vizând </w:t>
      </w:r>
      <w:r w:rsidRPr="00170A5F">
        <w:rPr>
          <w:rFonts w:asciiTheme="minorHAnsi" w:hAnsiTheme="minorHAnsi" w:cstheme="minorHAnsi"/>
          <w:sz w:val="26"/>
          <w:szCs w:val="26"/>
        </w:rPr>
        <w:t>reanalizarea aspectelor care au făcut obiectul Hotărârii Plenului Consiliului Superior al Magistraturii nr. 232</w:t>
      </w:r>
      <w:r w:rsidR="005960B4">
        <w:rPr>
          <w:rFonts w:asciiTheme="minorHAnsi" w:hAnsiTheme="minorHAnsi" w:cstheme="minorHAnsi"/>
          <w:sz w:val="26"/>
          <w:szCs w:val="26"/>
        </w:rPr>
        <w:t>/05.12.2024,</w:t>
      </w:r>
      <w:r w:rsidRPr="00170A5F">
        <w:rPr>
          <w:rFonts w:asciiTheme="minorHAnsi" w:hAnsiTheme="minorHAnsi" w:cstheme="minorHAnsi"/>
          <w:sz w:val="26"/>
          <w:szCs w:val="26"/>
        </w:rPr>
        <w:t xml:space="preserve"> în ceea ce privește propunerile de modificare și completare a O</w:t>
      </w:r>
      <w:r w:rsidR="000E6B95">
        <w:rPr>
          <w:rFonts w:asciiTheme="minorHAnsi" w:hAnsiTheme="minorHAnsi" w:cstheme="minorHAnsi"/>
          <w:sz w:val="26"/>
          <w:szCs w:val="26"/>
        </w:rPr>
        <w:t xml:space="preserve">.U.G. </w:t>
      </w:r>
      <w:r w:rsidRPr="00170A5F">
        <w:rPr>
          <w:rFonts w:asciiTheme="minorHAnsi" w:hAnsiTheme="minorHAnsi" w:cstheme="minorHAnsi"/>
          <w:sz w:val="26"/>
          <w:szCs w:val="26"/>
        </w:rPr>
        <w:t xml:space="preserve">nr. 80/2013 privind taxele judiciare de timbru, cu modificările şi completările ulterioare. </w:t>
      </w:r>
      <w:r w:rsidRPr="00170A5F">
        <w:rPr>
          <w:rFonts w:asciiTheme="minorHAnsi" w:hAnsiTheme="minorHAnsi" w:cstheme="minorHAnsi"/>
          <w:bCs/>
          <w:sz w:val="26"/>
          <w:szCs w:val="26"/>
        </w:rPr>
        <w:t xml:space="preserve">Comisia de specialitate a apreciat că subzistă considerentele avute în vedere de Plenul Consiliului Superior al Magistraturii în Hotărârea nr. 232/05.12.2024, care susțin necesitatea inițierii unui proiect legislativ pentru modificarea prevederilor O.U.G. nr. 80/2013, cu condiția ca soluția legislativă menționată să fie promovată în strânsă legătură cu reglementarea direcționării unei cote din sumele încasate cu acest titlu către bugetul de stat, în contul distinct de venituri al Ministerului Justiției, în calitate de </w:t>
      </w:r>
      <w:r w:rsidRPr="00046F6E">
        <w:rPr>
          <w:rFonts w:asciiTheme="minorHAnsi" w:hAnsiTheme="minorHAnsi" w:cstheme="minorHAnsi"/>
          <w:bCs/>
          <w:sz w:val="26"/>
          <w:szCs w:val="26"/>
        </w:rPr>
        <w:t>ordonator principal de credite care asigură instanțelor judecătorești fondurile necesare în vederea desfășurării activității. Punctul de vedere al Comisiei, împreună cu argumentele care au fost avute în vedere, a fost comunicat Ministerului Justiţiei cu adresa nr. 3/1877/25.03.2025.</w:t>
      </w:r>
    </w:p>
    <w:p w14:paraId="7EDDE807" w14:textId="2FFD659C" w:rsidR="00170A5F" w:rsidRDefault="00170A5F" w:rsidP="009E3AD8">
      <w:pPr>
        <w:spacing w:line="276" w:lineRule="auto"/>
        <w:ind w:firstLine="708"/>
        <w:jc w:val="both"/>
        <w:rPr>
          <w:rFonts w:asciiTheme="minorHAnsi" w:hAnsiTheme="minorHAnsi" w:cstheme="minorHAnsi"/>
          <w:sz w:val="26"/>
          <w:szCs w:val="26"/>
          <w14:shadow w14:blurRad="63500" w14:dist="50800" w14:dir="13500000" w14:sx="0" w14:sy="0" w14:kx="0" w14:ky="0" w14:algn="none">
            <w14:srgbClr w14:val="000000">
              <w14:alpha w14:val="50000"/>
            </w14:srgbClr>
          </w14:shadow>
        </w:rPr>
      </w:pPr>
      <w:r w:rsidRPr="00170A5F">
        <w:rPr>
          <w:rFonts w:asciiTheme="minorHAnsi" w:hAnsiTheme="minorHAnsi" w:cstheme="minorHAnsi"/>
          <w:bCs/>
          <w:sz w:val="26"/>
          <w:szCs w:val="26"/>
        </w:rPr>
        <w:t xml:space="preserve">Prin adresa nr. 4/12308/20.10.2025, Consiliul Superior al Magistraturii a transmis Ministerului Justiţiei </w:t>
      </w:r>
      <w:r w:rsidRPr="00170A5F">
        <w:rPr>
          <w:rFonts w:asciiTheme="minorHAnsi" w:hAnsiTheme="minorHAnsi" w:cstheme="minorHAnsi"/>
          <w:sz w:val="26"/>
          <w:szCs w:val="26"/>
          <w14:shadow w14:blurRad="63500" w14:dist="50800" w14:dir="13500000" w14:sx="0" w14:sy="0" w14:kx="0" w14:ky="0" w14:algn="none">
            <w14:srgbClr w14:val="000000">
              <w14:alpha w14:val="50000"/>
            </w14:srgbClr>
          </w14:shadow>
        </w:rPr>
        <w:t xml:space="preserve">autoevaluarea stadiului implementării măsurilor din Strategia naţională privind recuperarea creanţelor provenite din infracţiuni pentru perioada 2021 - 2025 </w:t>
      </w:r>
      <w:r w:rsidR="00443BC1">
        <w:rPr>
          <w:rFonts w:asciiTheme="minorHAnsi" w:hAnsiTheme="minorHAnsi" w:cstheme="minorHAnsi"/>
          <w:sz w:val="26"/>
          <w:szCs w:val="26"/>
          <w14:shadow w14:blurRad="63500" w14:dist="50800" w14:dir="13500000" w14:sx="0" w14:sy="0" w14:kx="0" w14:ky="0" w14:algn="none">
            <w14:srgbClr w14:val="000000">
              <w14:alpha w14:val="50000"/>
            </w14:srgbClr>
          </w14:shadow>
        </w:rPr>
        <w:lastRenderedPageBreak/>
        <w:t>„</w:t>
      </w:r>
      <w:r w:rsidRPr="00170A5F">
        <w:rPr>
          <w:rFonts w:asciiTheme="minorHAnsi" w:hAnsiTheme="minorHAnsi" w:cstheme="minorHAnsi"/>
          <w:sz w:val="26"/>
          <w:szCs w:val="26"/>
          <w14:shadow w14:blurRad="63500" w14:dist="50800" w14:dir="13500000" w14:sx="0" w14:sy="0" w14:kx="0" w14:ky="0" w14:algn="none">
            <w14:srgbClr w14:val="000000">
              <w14:alpha w14:val="50000"/>
            </w14:srgbClr>
          </w14:shadow>
        </w:rPr>
        <w:t>Criminalitatea nu este profitabilă!", precum și o scurtă descriere a dificultăților înregistrate în implementarea acesteia și propuneri de remediere.</w:t>
      </w:r>
    </w:p>
    <w:p w14:paraId="10E682DB" w14:textId="77777777" w:rsidR="00046F6E" w:rsidRPr="00046F6E" w:rsidRDefault="00046F6E" w:rsidP="00046F6E">
      <w:pPr>
        <w:spacing w:line="276" w:lineRule="auto"/>
        <w:ind w:firstLine="708"/>
        <w:jc w:val="both"/>
        <w:rPr>
          <w:rFonts w:asciiTheme="minorHAnsi" w:hAnsiTheme="minorHAnsi" w:cstheme="minorHAnsi"/>
          <w:bCs/>
          <w:sz w:val="26"/>
          <w:szCs w:val="26"/>
        </w:rPr>
      </w:pPr>
      <w:r w:rsidRPr="00046F6E">
        <w:rPr>
          <w:rFonts w:asciiTheme="minorHAnsi" w:hAnsiTheme="minorHAnsi" w:cstheme="minorHAnsi"/>
          <w:bCs/>
          <w:sz w:val="26"/>
          <w:szCs w:val="26"/>
        </w:rPr>
        <w:t>Ministerul Justiţiei a iniţiat o consultare a Consiliului Superior al Magistraturii cu privire la necesitatea și modalităţile de completare a cadrului normativ în privinţa infracţiunilor contra vieţii, inclusiv a situaţiilor de femicid, aceasta fiind analizată în ședința din data de 06 noiembrie 2025 a Comisiei nr. 1 - reunită „Legislație și cooperare interinstituțională”. Comisia de specialitate a reţinut că îngrijorarea societăţii civile cu privire la numărul crescut de cazuri de violenţă extremă asupra femeilor și fetelor pentru motive de gen este îndreptăţită, Consiliul Superior al Magistraturii putând susţine, în limitele atribuţiile constituţionale și legale care îi sunt conferite de art. 133 şi art. 134 din Constituţia României, republicată, precum şi de art. 31 – 55 din Legea nr. 305/2022 privind Consiliul Superior al Magistraturii, demersurile întreprinse de Ministerul Justiţiei pentru a îmbunătăți mecanismele instituționale de prevenţie și de răspuns la cazurile de violență de gen și violență în familie și a reduce numărul de cazuri letale, inclusiv prin mijloace de natură penală. S-a mai arătat că, în general, feminicidul (definit ca uciderea intenționată a unei femei pe motive de gen) nu este un incident izolat, care apare brusc și pe neașteptate, ci este precedat de acte de violență psihică și fizică continue asupra victimei, motiv pentru care acesta ar putea fi prevăzut și prevenit.</w:t>
      </w:r>
    </w:p>
    <w:p w14:paraId="7636B870" w14:textId="77777777" w:rsidR="00046F6E" w:rsidRPr="00046F6E" w:rsidRDefault="00046F6E" w:rsidP="00046F6E">
      <w:pPr>
        <w:spacing w:line="276" w:lineRule="auto"/>
        <w:ind w:firstLine="708"/>
        <w:jc w:val="both"/>
        <w:rPr>
          <w:rFonts w:asciiTheme="minorHAnsi" w:hAnsiTheme="minorHAnsi" w:cstheme="minorHAnsi"/>
          <w:bCs/>
          <w:sz w:val="26"/>
          <w:szCs w:val="26"/>
        </w:rPr>
      </w:pPr>
      <w:r w:rsidRPr="00046F6E">
        <w:rPr>
          <w:rFonts w:asciiTheme="minorHAnsi" w:hAnsiTheme="minorHAnsi" w:cstheme="minorHAnsi"/>
          <w:bCs/>
          <w:sz w:val="26"/>
          <w:szCs w:val="26"/>
        </w:rPr>
        <w:t>Astfel, pentru descurajarea unor astfel de fapte, s-ar putea avea în vedere reglementarea unor cauze speciale de agravare a răspunderii penale pentru infracţiunile care constituie sursa unui eventual viitor feminicid (s-au indicat, cu titlu de exemplu, infracţiunile prevăzute de art. 193 din Codul penal – lovirea sau alte violenţe, de art. 194 din Codul penal – vătămarea corporală, infracţiunile cuprinse în capitolul VI al titlului I al Codului penal – infracţiunile contra libertăţii persoanei, prevăzute de art.  205 – 208 din Codul penal).  Observaţiile comisiei de specialitate a Consiliului Superior al Magistraturii au fost transmise Ministerului Justiţiei prin adresa nr. 3/14058/17.11.2025.</w:t>
      </w:r>
    </w:p>
    <w:p w14:paraId="221B4A7B" w14:textId="77777777" w:rsidR="00170A5F" w:rsidRPr="00170A5F" w:rsidRDefault="00170A5F" w:rsidP="009E3AD8">
      <w:pPr>
        <w:pStyle w:val="NormalWeb"/>
        <w:shd w:val="clear" w:color="auto" w:fill="FFFFFF"/>
        <w:spacing w:before="0" w:beforeAutospacing="0" w:after="0" w:afterAutospacing="0" w:line="276" w:lineRule="auto"/>
        <w:ind w:firstLine="709"/>
        <w:jc w:val="both"/>
        <w:rPr>
          <w:rFonts w:asciiTheme="minorHAnsi" w:hAnsiTheme="minorHAnsi" w:cstheme="minorHAnsi"/>
          <w:sz w:val="26"/>
          <w:szCs w:val="26"/>
        </w:rPr>
      </w:pPr>
      <w:r w:rsidRPr="00170A5F">
        <w:rPr>
          <w:rFonts w:asciiTheme="minorHAnsi" w:hAnsiTheme="minorHAnsi" w:cstheme="minorHAnsi"/>
          <w:sz w:val="26"/>
          <w:szCs w:val="26"/>
        </w:rPr>
        <w:t>De asemenea, ca urmare a adreselor Ministerului Justiției vizând mai multe interpelări formulate de deputaţi/senatori, Consiliul Superior al Magistraturii a furnizat o serie de informaţii care se</w:t>
      </w:r>
      <w:r w:rsidRPr="00170A5F">
        <w:rPr>
          <w:rFonts w:asciiTheme="minorHAnsi" w:hAnsiTheme="minorHAnsi" w:cstheme="minorHAnsi"/>
          <w:b/>
          <w:sz w:val="26"/>
          <w:szCs w:val="26"/>
        </w:rPr>
        <w:t xml:space="preserve"> </w:t>
      </w:r>
      <w:r w:rsidRPr="00170A5F">
        <w:rPr>
          <w:rFonts w:asciiTheme="minorHAnsi" w:hAnsiTheme="minorHAnsi" w:cstheme="minorHAnsi"/>
          <w:sz w:val="26"/>
          <w:szCs w:val="26"/>
        </w:rPr>
        <w:t>circumscriu competenţei, rolului şi modului de funcţionare consacrate de dispoziţiile legale cu privire la această instituţie.</w:t>
      </w:r>
    </w:p>
    <w:p w14:paraId="3CB32E8F" w14:textId="77777777" w:rsidR="00170A5F" w:rsidRPr="00170A5F" w:rsidRDefault="00170A5F" w:rsidP="009E3AD8">
      <w:pPr>
        <w:pStyle w:val="NormalWeb"/>
        <w:shd w:val="clear" w:color="auto" w:fill="FFFFFF"/>
        <w:spacing w:before="0" w:beforeAutospacing="0" w:after="0" w:afterAutospacing="0" w:line="276" w:lineRule="auto"/>
        <w:ind w:firstLine="709"/>
        <w:jc w:val="both"/>
        <w:rPr>
          <w:rFonts w:asciiTheme="minorHAnsi" w:hAnsiTheme="minorHAnsi" w:cstheme="minorHAnsi"/>
          <w:sz w:val="26"/>
          <w:szCs w:val="26"/>
        </w:rPr>
      </w:pPr>
      <w:r w:rsidRPr="00170A5F">
        <w:rPr>
          <w:rFonts w:asciiTheme="minorHAnsi" w:hAnsiTheme="minorHAnsi" w:cstheme="minorHAnsi"/>
          <w:sz w:val="26"/>
          <w:szCs w:val="26"/>
        </w:rPr>
        <w:t xml:space="preserve">Referitor la colaborarea cu puterea executivă, Consiliul Superior al Magistraturii a exprimat şi </w:t>
      </w:r>
      <w:r w:rsidRPr="00170A5F">
        <w:rPr>
          <w:rFonts w:asciiTheme="minorHAnsi" w:hAnsiTheme="minorHAnsi" w:cstheme="minorHAnsi"/>
          <w:b/>
          <w:sz w:val="26"/>
          <w:szCs w:val="26"/>
        </w:rPr>
        <w:t xml:space="preserve">puncte de vedere la solicitarea unor ministere </w:t>
      </w:r>
      <w:r w:rsidRPr="00170A5F">
        <w:rPr>
          <w:rFonts w:asciiTheme="minorHAnsi" w:hAnsiTheme="minorHAnsi" w:cstheme="minorHAnsi"/>
          <w:sz w:val="26"/>
          <w:szCs w:val="26"/>
        </w:rPr>
        <w:t>(altele decât Ministerul Justiției) sau a altor autorități publice.</w:t>
      </w:r>
    </w:p>
    <w:p w14:paraId="410E0355" w14:textId="77777777" w:rsidR="00170A5F" w:rsidRPr="00170A5F" w:rsidRDefault="00170A5F" w:rsidP="009E3AD8">
      <w:pPr>
        <w:spacing w:line="276" w:lineRule="auto"/>
        <w:ind w:firstLine="709"/>
        <w:jc w:val="both"/>
        <w:rPr>
          <w:rFonts w:asciiTheme="minorHAnsi" w:hAnsiTheme="minorHAnsi" w:cstheme="minorHAnsi"/>
          <w:b/>
          <w:sz w:val="26"/>
          <w:szCs w:val="26"/>
          <w:u w:val="single"/>
        </w:rPr>
      </w:pPr>
      <w:r w:rsidRPr="00170A5F">
        <w:rPr>
          <w:rFonts w:asciiTheme="minorHAnsi" w:hAnsiTheme="minorHAnsi" w:cstheme="minorHAnsi"/>
          <w:sz w:val="26"/>
          <w:szCs w:val="26"/>
        </w:rPr>
        <w:t>În acest sens, putem exemplifica:</w:t>
      </w:r>
      <w:r w:rsidRPr="00170A5F">
        <w:rPr>
          <w:rFonts w:asciiTheme="minorHAnsi" w:hAnsiTheme="minorHAnsi" w:cstheme="minorHAnsi"/>
          <w:b/>
          <w:sz w:val="26"/>
          <w:szCs w:val="26"/>
          <w:u w:val="single"/>
        </w:rPr>
        <w:t xml:space="preserve"> </w:t>
      </w:r>
    </w:p>
    <w:p w14:paraId="51A2B67C" w14:textId="77777777" w:rsidR="00170A5F" w:rsidRPr="00170A5F" w:rsidRDefault="00170A5F" w:rsidP="009E3AD8">
      <w:pPr>
        <w:spacing w:line="276" w:lineRule="auto"/>
        <w:ind w:firstLine="708"/>
        <w:jc w:val="both"/>
        <w:rPr>
          <w:rFonts w:asciiTheme="minorHAnsi" w:hAnsiTheme="minorHAnsi" w:cstheme="minorHAnsi"/>
          <w:sz w:val="26"/>
          <w:szCs w:val="26"/>
        </w:rPr>
      </w:pPr>
      <w:r w:rsidRPr="00170A5F">
        <w:rPr>
          <w:rFonts w:asciiTheme="minorHAnsi" w:hAnsiTheme="minorHAnsi" w:cstheme="minorHAnsi"/>
          <w:sz w:val="26"/>
          <w:szCs w:val="26"/>
        </w:rPr>
        <w:t xml:space="preserve">- punctul de vedere cu privire la proiectul </w:t>
      </w:r>
      <w:r w:rsidRPr="00170A5F">
        <w:rPr>
          <w:rFonts w:asciiTheme="minorHAnsi" w:hAnsiTheme="minorHAnsi" w:cstheme="minorHAnsi"/>
          <w:bCs/>
          <w:iCs/>
          <w:sz w:val="26"/>
          <w:szCs w:val="26"/>
        </w:rPr>
        <w:t>de Lege privind cooperarea polițienească internațională și pentru modificarea unor acte normative în domeniu</w:t>
      </w:r>
      <w:r w:rsidRPr="00170A5F">
        <w:rPr>
          <w:rFonts w:asciiTheme="minorHAnsi" w:hAnsiTheme="minorHAnsi" w:cstheme="minorHAnsi"/>
          <w:sz w:val="26"/>
          <w:szCs w:val="26"/>
        </w:rPr>
        <w:t>. Acesta a fost analizat în ședința din data de 18 februarie 2025 a Comisiei nr. 1 - reunită „Legislație și cooperare interinstituțională”, iar răspunsul a fost transmis Ministerului Afacerilor Interne cu adresa nr. 6/14524/2024/20.02.2025.</w:t>
      </w:r>
    </w:p>
    <w:p w14:paraId="6A3F8E62" w14:textId="39E22F72" w:rsidR="00170A5F" w:rsidRPr="00170A5F" w:rsidRDefault="00170A5F" w:rsidP="009E3AD8">
      <w:pPr>
        <w:spacing w:line="276" w:lineRule="auto"/>
        <w:ind w:firstLine="708"/>
        <w:jc w:val="both"/>
        <w:rPr>
          <w:rFonts w:asciiTheme="minorHAnsi" w:hAnsiTheme="minorHAnsi" w:cstheme="minorHAnsi"/>
          <w:sz w:val="26"/>
          <w:szCs w:val="26"/>
          <w14:shadow w14:blurRad="63500" w14:dist="50800" w14:dir="13500000" w14:sx="0" w14:sy="0" w14:kx="0" w14:ky="0" w14:algn="none">
            <w14:srgbClr w14:val="000000">
              <w14:alpha w14:val="50000"/>
            </w14:srgbClr>
          </w14:shadow>
        </w:rPr>
      </w:pPr>
      <w:r w:rsidRPr="00170A5F">
        <w:rPr>
          <w:rFonts w:asciiTheme="minorHAnsi" w:hAnsiTheme="minorHAnsi" w:cstheme="minorHAnsi"/>
          <w:iCs/>
          <w:sz w:val="26"/>
          <w:szCs w:val="26"/>
          <w14:shadow w14:blurRad="63500" w14:dist="50800" w14:dir="13500000" w14:sx="0" w14:sy="0" w14:kx="0" w14:ky="0" w14:algn="none">
            <w14:srgbClr w14:val="000000">
              <w14:alpha w14:val="50000"/>
            </w14:srgbClr>
          </w14:shadow>
        </w:rPr>
        <w:t xml:space="preserve">- punctul de vedere cu privire la </w:t>
      </w:r>
      <w:r w:rsidRPr="00170A5F">
        <w:rPr>
          <w:rFonts w:asciiTheme="minorHAnsi" w:hAnsiTheme="minorHAnsi" w:cstheme="minorHAnsi"/>
          <w:sz w:val="26"/>
          <w:szCs w:val="26"/>
        </w:rPr>
        <w:t>proiectul de Lege pentru aprobarea Codului de procedură administrativă</w:t>
      </w:r>
      <w:r w:rsidRPr="00170A5F">
        <w:rPr>
          <w:rFonts w:asciiTheme="minorHAnsi" w:hAnsiTheme="minorHAnsi" w:cstheme="minorHAnsi"/>
          <w:iCs/>
          <w:sz w:val="26"/>
          <w:szCs w:val="26"/>
        </w:rPr>
        <w:t xml:space="preserve">, analizat în ședința Comisiei nr. 1 judecători – „Legislație și cooperare interinstituțională” din data de </w:t>
      </w:r>
      <w:r w:rsidR="002C1418">
        <w:rPr>
          <w:rFonts w:asciiTheme="minorHAnsi" w:hAnsiTheme="minorHAnsi" w:cstheme="minorHAnsi"/>
          <w:iCs/>
          <w:sz w:val="26"/>
          <w:szCs w:val="26"/>
        </w:rPr>
        <w:t>0</w:t>
      </w:r>
      <w:r w:rsidRPr="00170A5F">
        <w:rPr>
          <w:rFonts w:asciiTheme="minorHAnsi" w:hAnsiTheme="minorHAnsi" w:cstheme="minorHAnsi"/>
          <w:iCs/>
          <w:sz w:val="26"/>
          <w:szCs w:val="26"/>
        </w:rPr>
        <w:t xml:space="preserve">3 aprilie 2025. </w:t>
      </w:r>
      <w:r w:rsidRPr="00170A5F">
        <w:rPr>
          <w:rFonts w:asciiTheme="minorHAnsi" w:hAnsiTheme="minorHAnsi" w:cstheme="minorHAnsi"/>
          <w:sz w:val="26"/>
          <w:szCs w:val="26"/>
          <w14:shadow w14:blurRad="63500" w14:dist="50800" w14:dir="13500000" w14:sx="0" w14:sy="0" w14:kx="0" w14:ky="0" w14:algn="none">
            <w14:srgbClr w14:val="000000">
              <w14:alpha w14:val="50000"/>
            </w14:srgbClr>
          </w14:shadow>
        </w:rPr>
        <w:t xml:space="preserve">În urma analizei noii forme a proiectului, Comisia a reținut că nu au fost însușite mai multe dintre observațiile transmise anterior de Consiliu prin adresa nr. 5/2995/2024 din 17.04.2024, motiv pentru care a apreciat că acestea trebuie reiterate. </w:t>
      </w:r>
      <w:r w:rsidRPr="00170A5F">
        <w:rPr>
          <w:rFonts w:asciiTheme="minorHAnsi" w:hAnsiTheme="minorHAnsi" w:cstheme="minorHAnsi"/>
          <w:sz w:val="26"/>
          <w:szCs w:val="26"/>
          <w14:shadow w14:blurRad="63500" w14:dist="50800" w14:dir="13500000" w14:sx="0" w14:sy="0" w14:kx="0" w14:ky="0" w14:algn="none">
            <w14:srgbClr w14:val="000000">
              <w14:alpha w14:val="50000"/>
            </w14:srgbClr>
          </w14:shadow>
        </w:rPr>
        <w:lastRenderedPageBreak/>
        <w:t>În același timp, analiza a evidențiat necesitatea formulării și a altor observații. Toate propunerile și observațiile formulate de comisia de specialitate au fost transmise în tabelul anexat adresei nr. 3/2872/09.04.2025, transmisă Ministerului Dezvoltării, Lucrărilor Publice şi Administraţiei.</w:t>
      </w:r>
    </w:p>
    <w:p w14:paraId="23462F8D" w14:textId="09A9B594" w:rsidR="00170A5F" w:rsidRPr="00295D06" w:rsidRDefault="00170A5F" w:rsidP="009E3AD8">
      <w:pPr>
        <w:spacing w:line="276" w:lineRule="auto"/>
        <w:ind w:firstLine="708"/>
        <w:jc w:val="both"/>
        <w:rPr>
          <w:rFonts w:asciiTheme="minorHAnsi" w:hAnsiTheme="minorHAnsi" w:cstheme="minorHAnsi"/>
          <w:sz w:val="26"/>
          <w:szCs w:val="26"/>
        </w:rPr>
      </w:pPr>
      <w:r w:rsidRPr="00170A5F">
        <w:rPr>
          <w:rFonts w:asciiTheme="minorHAnsi" w:hAnsiTheme="minorHAnsi" w:cstheme="minorHAnsi"/>
          <w:iCs/>
          <w:sz w:val="26"/>
          <w:szCs w:val="26"/>
          <w14:shadow w14:blurRad="63500" w14:dist="50800" w14:dir="13500000" w14:sx="0" w14:sy="0" w14:kx="0" w14:ky="0" w14:algn="none">
            <w14:srgbClr w14:val="000000">
              <w14:alpha w14:val="50000"/>
            </w14:srgbClr>
          </w14:shadow>
        </w:rPr>
        <w:t xml:space="preserve">- punctul de vedere cu privire la </w:t>
      </w:r>
      <w:r w:rsidRPr="00170A5F">
        <w:rPr>
          <w:rFonts w:asciiTheme="minorHAnsi" w:hAnsiTheme="minorHAnsi" w:cstheme="minorHAnsi"/>
          <w:sz w:val="26"/>
          <w:szCs w:val="26"/>
        </w:rPr>
        <w:t>proiectul de Lege pentru completarea art. 22</w:t>
      </w:r>
      <w:r w:rsidRPr="00170A5F">
        <w:rPr>
          <w:rFonts w:asciiTheme="minorHAnsi" w:hAnsiTheme="minorHAnsi" w:cstheme="minorHAnsi"/>
          <w:sz w:val="26"/>
          <w:szCs w:val="26"/>
          <w:vertAlign w:val="superscript"/>
        </w:rPr>
        <w:t>1</w:t>
      </w:r>
      <w:r w:rsidRPr="00170A5F">
        <w:rPr>
          <w:rFonts w:asciiTheme="minorHAnsi" w:hAnsiTheme="minorHAnsi" w:cstheme="minorHAnsi"/>
          <w:sz w:val="26"/>
          <w:szCs w:val="26"/>
        </w:rPr>
        <w:t xml:space="preserve"> din Legea nr. 535/2004 privind prevenirea şi combaterea terorismului, analizat în ședința din data de 26 iunie 2025 a Comisiei nr. 1 - reunită „Legislație și cooperare interinstituțională”. Comisia de specialitate a reţinut că prin propunerea de completare a art. 22</w:t>
      </w:r>
      <w:r w:rsidRPr="00170A5F">
        <w:rPr>
          <w:rFonts w:asciiTheme="minorHAnsi" w:hAnsiTheme="minorHAnsi" w:cstheme="minorHAnsi"/>
          <w:sz w:val="26"/>
          <w:szCs w:val="26"/>
          <w:vertAlign w:val="superscript"/>
        </w:rPr>
        <w:t>1</w:t>
      </w:r>
      <w:r w:rsidRPr="00170A5F">
        <w:rPr>
          <w:rFonts w:asciiTheme="minorHAnsi" w:hAnsiTheme="minorHAnsi" w:cstheme="minorHAnsi"/>
          <w:sz w:val="26"/>
          <w:szCs w:val="26"/>
        </w:rPr>
        <w:t xml:space="preserve"> din Legea nr. 535/2004 privind prevenirea şi combaterea terorismului cu alineatele (3)</w:t>
      </w:r>
      <w:r w:rsidR="00C014CF">
        <w:rPr>
          <w:rFonts w:asciiTheme="minorHAnsi" w:hAnsiTheme="minorHAnsi" w:cstheme="minorHAnsi"/>
          <w:sz w:val="26"/>
          <w:szCs w:val="26"/>
        </w:rPr>
        <w:t xml:space="preserve"> </w:t>
      </w:r>
      <w:r w:rsidRPr="00170A5F">
        <w:rPr>
          <w:rFonts w:asciiTheme="minorHAnsi" w:hAnsiTheme="minorHAnsi" w:cstheme="minorHAnsi"/>
          <w:sz w:val="26"/>
          <w:szCs w:val="26"/>
        </w:rPr>
        <w:t>-</w:t>
      </w:r>
      <w:r w:rsidR="00C014CF">
        <w:rPr>
          <w:rFonts w:asciiTheme="minorHAnsi" w:hAnsiTheme="minorHAnsi" w:cstheme="minorHAnsi"/>
          <w:sz w:val="26"/>
          <w:szCs w:val="26"/>
        </w:rPr>
        <w:t xml:space="preserve"> </w:t>
      </w:r>
      <w:r w:rsidRPr="00170A5F">
        <w:rPr>
          <w:rFonts w:asciiTheme="minorHAnsi" w:hAnsiTheme="minorHAnsi" w:cstheme="minorHAnsi"/>
          <w:sz w:val="26"/>
          <w:szCs w:val="26"/>
        </w:rPr>
        <w:t>(5) se realizează o transpunere adecvată a art. 1 punctul 2 din Directiva (U</w:t>
      </w:r>
      <w:r w:rsidR="003D41DE">
        <w:rPr>
          <w:rFonts w:asciiTheme="minorHAnsi" w:hAnsiTheme="minorHAnsi" w:cstheme="minorHAnsi"/>
          <w:sz w:val="26"/>
          <w:szCs w:val="26"/>
        </w:rPr>
        <w:t>.</w:t>
      </w:r>
      <w:r w:rsidRPr="00170A5F">
        <w:rPr>
          <w:rFonts w:asciiTheme="minorHAnsi" w:hAnsiTheme="minorHAnsi" w:cstheme="minorHAnsi"/>
          <w:sz w:val="26"/>
          <w:szCs w:val="26"/>
        </w:rPr>
        <w:t>E</w:t>
      </w:r>
      <w:r w:rsidR="003D41DE">
        <w:rPr>
          <w:rFonts w:asciiTheme="minorHAnsi" w:hAnsiTheme="minorHAnsi" w:cstheme="minorHAnsi"/>
          <w:sz w:val="26"/>
          <w:szCs w:val="26"/>
        </w:rPr>
        <w:t>.</w:t>
      </w:r>
      <w:r w:rsidRPr="00170A5F">
        <w:rPr>
          <w:rFonts w:asciiTheme="minorHAnsi" w:hAnsiTheme="minorHAnsi" w:cstheme="minorHAnsi"/>
          <w:sz w:val="26"/>
          <w:szCs w:val="26"/>
        </w:rPr>
        <w:t xml:space="preserve">) 2023/2123 a Parlamentului European şi a Consiliului din </w:t>
      </w:r>
      <w:r w:rsidR="003D41DE">
        <w:rPr>
          <w:rFonts w:asciiTheme="minorHAnsi" w:hAnsiTheme="minorHAnsi" w:cstheme="minorHAnsi"/>
          <w:sz w:val="26"/>
          <w:szCs w:val="26"/>
        </w:rPr>
        <w:t>0</w:t>
      </w:r>
      <w:r w:rsidRPr="00170A5F">
        <w:rPr>
          <w:rFonts w:asciiTheme="minorHAnsi" w:hAnsiTheme="minorHAnsi" w:cstheme="minorHAnsi"/>
          <w:sz w:val="26"/>
          <w:szCs w:val="26"/>
        </w:rPr>
        <w:t xml:space="preserve">4 octombrie 2023 de modificare a Deciziei 2005/671/JAI a Consiliului în ceea ce priveşte alinierea acesteia la normele Uniunii privind protecţia datelor cu caracter personal (publicată în Jurnalul Oficial al Uniunii Europene, seria L din 11 octombrie 2023). Reţinând totodată că expunerea de motive a proiectului de lege este riguros fundamentată și că nu există probleme de tehnică legislativă, comisia de specialitate a apreciat că proiectul de lege poate fi adoptat în forma </w:t>
      </w:r>
      <w:r w:rsidRPr="00295D06">
        <w:rPr>
          <w:rFonts w:asciiTheme="minorHAnsi" w:hAnsiTheme="minorHAnsi" w:cstheme="minorHAnsi"/>
          <w:sz w:val="26"/>
          <w:szCs w:val="26"/>
        </w:rPr>
        <w:t>propusă. Răspunsul Consiliului a fost transmis Ministerului Afacerilor Interne cu nr. 3/7151/02.07.2025.</w:t>
      </w:r>
    </w:p>
    <w:p w14:paraId="7BB42863" w14:textId="79A2D32F" w:rsidR="00485E33" w:rsidRPr="00295D06" w:rsidRDefault="00485E33" w:rsidP="00485E33">
      <w:pPr>
        <w:spacing w:line="276" w:lineRule="auto"/>
        <w:ind w:firstLine="708"/>
        <w:jc w:val="both"/>
        <w:rPr>
          <w:rFonts w:asciiTheme="minorHAnsi" w:hAnsiTheme="minorHAnsi" w:cstheme="minorHAnsi"/>
          <w:sz w:val="26"/>
          <w:szCs w:val="26"/>
        </w:rPr>
      </w:pPr>
      <w:r w:rsidRPr="00295D06">
        <w:rPr>
          <w:rFonts w:asciiTheme="minorHAnsi" w:hAnsiTheme="minorHAnsi" w:cstheme="minorHAnsi"/>
          <w:sz w:val="26"/>
          <w:szCs w:val="26"/>
        </w:rPr>
        <w:t xml:space="preserve">- comunicarea informaţiilor relevante cu privire la executarea hotărârii Curții Europene a Drepturilor Omului pronunţate în cauza C. împotriva României  (cererea nr. 47358/20), solicitare analizată în ședința din data de </w:t>
      </w:r>
      <w:r w:rsidR="00295D06" w:rsidRPr="00295D06">
        <w:rPr>
          <w:rFonts w:asciiTheme="minorHAnsi" w:hAnsiTheme="minorHAnsi" w:cstheme="minorHAnsi"/>
          <w:sz w:val="26"/>
          <w:szCs w:val="26"/>
        </w:rPr>
        <w:t>0</w:t>
      </w:r>
      <w:r w:rsidRPr="00295D06">
        <w:rPr>
          <w:rFonts w:asciiTheme="minorHAnsi" w:hAnsiTheme="minorHAnsi" w:cstheme="minorHAnsi"/>
          <w:sz w:val="26"/>
          <w:szCs w:val="26"/>
        </w:rPr>
        <w:t xml:space="preserve">9 octombrie 2025 a Comisiei nr. 1 – reunită „Legislație și cooperare interinstituțională”. Răspunsul Consiliului Superior al Magistraturii a fost transmis Ministerului Muncii, Familiei, Tineretului şi Solidarităţii Sociale </w:t>
      </w:r>
      <w:r w:rsidR="00822C16" w:rsidRPr="00295D06">
        <w:rPr>
          <w:rFonts w:asciiTheme="minorHAnsi" w:hAnsiTheme="minorHAnsi" w:cstheme="minorHAnsi"/>
          <w:sz w:val="26"/>
          <w:szCs w:val="26"/>
        </w:rPr>
        <w:t>prin</w:t>
      </w:r>
      <w:r w:rsidRPr="00295D06">
        <w:rPr>
          <w:rFonts w:asciiTheme="minorHAnsi" w:hAnsiTheme="minorHAnsi" w:cstheme="minorHAnsi"/>
          <w:sz w:val="26"/>
          <w:szCs w:val="26"/>
        </w:rPr>
        <w:t xml:space="preserve"> adresa nr. 5/14029/14.10.2025.</w:t>
      </w:r>
    </w:p>
    <w:p w14:paraId="01F6FD8B" w14:textId="77777777" w:rsidR="00295D06" w:rsidRPr="00295D06" w:rsidRDefault="00295D06" w:rsidP="00295D06">
      <w:pPr>
        <w:spacing w:line="276" w:lineRule="auto"/>
        <w:ind w:firstLine="708"/>
        <w:jc w:val="both"/>
        <w:rPr>
          <w:rFonts w:asciiTheme="minorHAnsi" w:hAnsiTheme="minorHAnsi" w:cstheme="minorHAnsi"/>
          <w:sz w:val="26"/>
          <w:szCs w:val="26"/>
        </w:rPr>
      </w:pPr>
      <w:r w:rsidRPr="00295D06">
        <w:rPr>
          <w:rFonts w:asciiTheme="minorHAnsi" w:hAnsiTheme="minorHAnsi" w:cstheme="minorHAnsi"/>
          <w:sz w:val="26"/>
          <w:szCs w:val="26"/>
        </w:rPr>
        <w:t>- punctul de vedere cu privire la proiectul de Ordonanță de urgență a Guvernului pentru modificarea și completarea unor acte normative, analizat în ședința din data de 11 decembrie 2025 a Comisiei nr. 1 - judecători „Legislație și cooperare interinstituțională”, din perspectiva modificărilor care au incidenţă în derularea activităţii instanţelor judecătoreşti. Răspunsul Consiliului Superior al Magistraturii a fost transmis Consiliului Concurenţei prin adresa nr. 3/15914/15.12.2025.</w:t>
      </w:r>
    </w:p>
    <w:p w14:paraId="497E576C" w14:textId="14517C7F" w:rsidR="00485E33" w:rsidRPr="00295D06" w:rsidRDefault="00485E33" w:rsidP="00485E33">
      <w:pPr>
        <w:spacing w:line="276" w:lineRule="auto"/>
        <w:ind w:firstLine="708"/>
        <w:jc w:val="both"/>
        <w:rPr>
          <w:rFonts w:asciiTheme="minorHAnsi" w:hAnsiTheme="minorHAnsi" w:cstheme="minorHAnsi"/>
          <w:sz w:val="26"/>
          <w:szCs w:val="26"/>
        </w:rPr>
      </w:pPr>
      <w:r w:rsidRPr="00295D06">
        <w:rPr>
          <w:rFonts w:asciiTheme="minorHAnsi" w:hAnsiTheme="minorHAnsi" w:cstheme="minorHAnsi"/>
          <w:sz w:val="26"/>
          <w:szCs w:val="26"/>
        </w:rPr>
        <w:t>- punctul de vedere cu privire la proiectul de Lege pentru aprobarea Codului de procedură administrativă, analizat în ședința Comisiei nr. 1 reunită – „Legislație și cooperare interinstituțională” din data de 11 decembrie 2025. În urma analizei noii forme a proiectului, Comisia a reținut că nu au fost însușite mai multe dintre observațiile transmise anterior de Consiliu prin adres</w:t>
      </w:r>
      <w:r w:rsidR="00581CF6" w:rsidRPr="00295D06">
        <w:rPr>
          <w:rFonts w:asciiTheme="minorHAnsi" w:hAnsiTheme="minorHAnsi" w:cstheme="minorHAnsi"/>
          <w:sz w:val="26"/>
          <w:szCs w:val="26"/>
        </w:rPr>
        <w:t>ele</w:t>
      </w:r>
      <w:r w:rsidRPr="00295D06">
        <w:rPr>
          <w:rFonts w:asciiTheme="minorHAnsi" w:hAnsiTheme="minorHAnsi" w:cstheme="minorHAnsi"/>
          <w:sz w:val="26"/>
          <w:szCs w:val="26"/>
        </w:rPr>
        <w:t xml:space="preserve"> nr. 5/2995/2024 din 17</w:t>
      </w:r>
      <w:r w:rsidR="00BA57A5" w:rsidRPr="00295D06">
        <w:rPr>
          <w:rFonts w:asciiTheme="minorHAnsi" w:hAnsiTheme="minorHAnsi" w:cstheme="minorHAnsi"/>
          <w:sz w:val="26"/>
          <w:szCs w:val="26"/>
        </w:rPr>
        <w:t xml:space="preserve"> aprilie </w:t>
      </w:r>
      <w:r w:rsidRPr="00295D06">
        <w:rPr>
          <w:rFonts w:asciiTheme="minorHAnsi" w:hAnsiTheme="minorHAnsi" w:cstheme="minorHAnsi"/>
          <w:sz w:val="26"/>
          <w:szCs w:val="26"/>
        </w:rPr>
        <w:t>2024 și nr. 3/2872/2025 din 09</w:t>
      </w:r>
      <w:r w:rsidR="00BA57A5" w:rsidRPr="00295D06">
        <w:rPr>
          <w:rFonts w:asciiTheme="minorHAnsi" w:hAnsiTheme="minorHAnsi" w:cstheme="minorHAnsi"/>
          <w:sz w:val="26"/>
          <w:szCs w:val="26"/>
        </w:rPr>
        <w:t xml:space="preserve"> aprilie </w:t>
      </w:r>
      <w:r w:rsidRPr="00295D06">
        <w:rPr>
          <w:rFonts w:asciiTheme="minorHAnsi" w:hAnsiTheme="minorHAnsi" w:cstheme="minorHAnsi"/>
          <w:sz w:val="26"/>
          <w:szCs w:val="26"/>
        </w:rPr>
        <w:t xml:space="preserve">2025, motiv pentru care a apreciat că acestea trebuie reiterate. În același timp, analiza a evidențiat necesitatea formulării și a altor observații. Toate propunerile și observațiile formulate de comisia de specialitate au fost transmise Ministerului Dezvoltării, Lucrărilor Publice şi Administraţiei </w:t>
      </w:r>
      <w:r w:rsidR="00BA57A5" w:rsidRPr="00295D06">
        <w:rPr>
          <w:rFonts w:asciiTheme="minorHAnsi" w:hAnsiTheme="minorHAnsi" w:cstheme="minorHAnsi"/>
          <w:sz w:val="26"/>
          <w:szCs w:val="26"/>
        </w:rPr>
        <w:t>prin</w:t>
      </w:r>
      <w:r w:rsidRPr="00295D06">
        <w:rPr>
          <w:rFonts w:asciiTheme="minorHAnsi" w:hAnsiTheme="minorHAnsi" w:cstheme="minorHAnsi"/>
          <w:sz w:val="26"/>
          <w:szCs w:val="26"/>
        </w:rPr>
        <w:t xml:space="preserve"> adresa nr. 3/2872/18.12.2025.</w:t>
      </w:r>
    </w:p>
    <w:p w14:paraId="4EA79EB8" w14:textId="47316135" w:rsidR="00485E33" w:rsidRPr="00295D06" w:rsidRDefault="00485E33" w:rsidP="00485E33">
      <w:pPr>
        <w:spacing w:line="276" w:lineRule="auto"/>
        <w:ind w:firstLine="708"/>
        <w:jc w:val="both"/>
        <w:rPr>
          <w:rFonts w:asciiTheme="minorHAnsi" w:hAnsiTheme="minorHAnsi" w:cstheme="minorHAnsi"/>
          <w:sz w:val="26"/>
          <w:szCs w:val="26"/>
        </w:rPr>
      </w:pPr>
      <w:r w:rsidRPr="00295D06">
        <w:rPr>
          <w:rFonts w:asciiTheme="minorHAnsi" w:hAnsiTheme="minorHAnsi" w:cstheme="minorHAnsi"/>
          <w:sz w:val="26"/>
          <w:szCs w:val="26"/>
        </w:rPr>
        <w:t xml:space="preserve">- punctul de vedere cu privire la intenția de reglementare a unei soluții legislative la nivelul Legii nr. 217/2003 pentru prevenirea și combaterea violenței domestice, analizată de Comisia nr. 1 reunită – Legislație și cooperare interinstituțională în ședința din data de 11 decembrie 2025. Observaţiile Consiliului Superior al Magistraturii au fost transmise Ministerului Afacerilor Interne </w:t>
      </w:r>
      <w:r w:rsidR="00BA57A5" w:rsidRPr="00295D06">
        <w:rPr>
          <w:rFonts w:asciiTheme="minorHAnsi" w:hAnsiTheme="minorHAnsi" w:cstheme="minorHAnsi"/>
          <w:sz w:val="26"/>
          <w:szCs w:val="26"/>
        </w:rPr>
        <w:t>prin</w:t>
      </w:r>
      <w:r w:rsidRPr="00295D06">
        <w:rPr>
          <w:rFonts w:asciiTheme="minorHAnsi" w:hAnsiTheme="minorHAnsi" w:cstheme="minorHAnsi"/>
          <w:sz w:val="26"/>
          <w:szCs w:val="26"/>
        </w:rPr>
        <w:t xml:space="preserve"> adresa nr. 3/17114/18.12.2025.</w:t>
      </w:r>
    </w:p>
    <w:p w14:paraId="569B07EB" w14:textId="77111268" w:rsidR="00170A5F" w:rsidRPr="00170A5F" w:rsidRDefault="00170A5F" w:rsidP="009E3AD8">
      <w:pPr>
        <w:spacing w:line="276" w:lineRule="auto"/>
        <w:ind w:firstLine="708"/>
        <w:jc w:val="both"/>
        <w:rPr>
          <w:rFonts w:asciiTheme="minorHAnsi" w:hAnsiTheme="minorHAnsi" w:cstheme="minorHAnsi"/>
          <w:sz w:val="26"/>
          <w:szCs w:val="26"/>
        </w:rPr>
      </w:pPr>
      <w:r w:rsidRPr="00170A5F">
        <w:rPr>
          <w:rFonts w:asciiTheme="minorHAnsi" w:hAnsiTheme="minorHAnsi" w:cstheme="minorHAnsi"/>
          <w:sz w:val="26"/>
          <w:szCs w:val="26"/>
        </w:rPr>
        <w:lastRenderedPageBreak/>
        <w:t>În ceea ce priveşte proiectul de Lege pentru modificarea şi completarea unor acte normative în domeniul pensiilor de serviciu, la data de 20</w:t>
      </w:r>
      <w:r w:rsidR="009A6E66">
        <w:rPr>
          <w:rFonts w:asciiTheme="minorHAnsi" w:hAnsiTheme="minorHAnsi" w:cstheme="minorHAnsi"/>
          <w:sz w:val="26"/>
          <w:szCs w:val="26"/>
        </w:rPr>
        <w:t xml:space="preserve"> august </w:t>
      </w:r>
      <w:r w:rsidRPr="00170A5F">
        <w:rPr>
          <w:rFonts w:asciiTheme="minorHAnsi" w:hAnsiTheme="minorHAnsi" w:cstheme="minorHAnsi"/>
          <w:sz w:val="26"/>
          <w:szCs w:val="26"/>
        </w:rPr>
        <w:t>2025, Ministerul Muncii, Familiei, Tineretului şi Solidarităţii Sociale a solicitat Consiliului Superior al Magistraturii exprimarea unui punct de vedere. Ulterior, acelaşi minister a revenit la adresa anterioară şi a solicitat Consiliului avizul asupra proiectului de lege menţionat, conform atribuţiilor specifice acestei instituţii, fără a preciza un termen în care acesta să fie acordat. În atare condiţii, termenul de emitere a avizului este de 30 de zile de la sesizare. Cu toate acestea, la data de 29</w:t>
      </w:r>
      <w:r w:rsidR="009A6E66">
        <w:rPr>
          <w:rFonts w:asciiTheme="minorHAnsi" w:hAnsiTheme="minorHAnsi" w:cstheme="minorHAnsi"/>
          <w:sz w:val="26"/>
          <w:szCs w:val="26"/>
        </w:rPr>
        <w:t xml:space="preserve"> august </w:t>
      </w:r>
      <w:r w:rsidRPr="00170A5F">
        <w:rPr>
          <w:rFonts w:asciiTheme="minorHAnsi" w:hAnsiTheme="minorHAnsi" w:cstheme="minorHAnsi"/>
          <w:sz w:val="26"/>
          <w:szCs w:val="26"/>
        </w:rPr>
        <w:t>2025 Guvernul a aprobat o altă formă, diferită de cea trimisă la avizare, iar la data de 01</w:t>
      </w:r>
      <w:r w:rsidR="009A6E66">
        <w:rPr>
          <w:rFonts w:asciiTheme="minorHAnsi" w:hAnsiTheme="minorHAnsi" w:cstheme="minorHAnsi"/>
          <w:sz w:val="26"/>
          <w:szCs w:val="26"/>
        </w:rPr>
        <w:t xml:space="preserve"> septembrie 2</w:t>
      </w:r>
      <w:r w:rsidRPr="00170A5F">
        <w:rPr>
          <w:rFonts w:asciiTheme="minorHAnsi" w:hAnsiTheme="minorHAnsi" w:cstheme="minorHAnsi"/>
          <w:sz w:val="26"/>
          <w:szCs w:val="26"/>
        </w:rPr>
        <w:t>025 (la 9 zile de la data solicitării avizului) Guvernul şi-a angajat răspunderea în Parlament pe acest proiect de lege. Trebuie menţionat că, dată fiind importanţa modificărilor propuse din perspectiva statutului magistraţilor, în procedura de avizare a proiectului de act normativ era absolut necesară consultarea instanţelor şi parchetelor pentru exprimarea unui punct de vedere potrivit art. 56 alin. (1) lit. d) din Legea nr. 304/2022 privind organizarea judiciară, motiv pentru care la data de 21</w:t>
      </w:r>
      <w:r w:rsidR="009A6E66">
        <w:rPr>
          <w:rFonts w:asciiTheme="minorHAnsi" w:hAnsiTheme="minorHAnsi" w:cstheme="minorHAnsi"/>
          <w:sz w:val="26"/>
          <w:szCs w:val="26"/>
        </w:rPr>
        <w:t xml:space="preserve"> august 2</w:t>
      </w:r>
      <w:r w:rsidRPr="00170A5F">
        <w:rPr>
          <w:rFonts w:asciiTheme="minorHAnsi" w:hAnsiTheme="minorHAnsi" w:cstheme="minorHAnsi"/>
          <w:sz w:val="26"/>
          <w:szCs w:val="26"/>
        </w:rPr>
        <w:t>025 (a doua zi după primirea solicitării de la Ministerul Muncii, Familiei, Tineretului şi Solidarităţii Sociale) Consiliul Superior al Magistraturii a transmis acest proiect la instanţe şi parchet pentru analiză.</w:t>
      </w:r>
    </w:p>
    <w:p w14:paraId="148B9818" w14:textId="413BF4CA" w:rsidR="00170A5F" w:rsidRDefault="00170A5F" w:rsidP="009E3AD8">
      <w:pPr>
        <w:spacing w:line="276" w:lineRule="auto"/>
        <w:ind w:firstLine="708"/>
        <w:jc w:val="both"/>
        <w:rPr>
          <w:rFonts w:asciiTheme="minorHAnsi" w:hAnsiTheme="minorHAnsi" w:cstheme="minorHAnsi"/>
          <w:sz w:val="26"/>
          <w:szCs w:val="26"/>
        </w:rPr>
      </w:pPr>
      <w:r w:rsidRPr="00170A5F">
        <w:rPr>
          <w:rFonts w:asciiTheme="minorHAnsi" w:hAnsiTheme="minorHAnsi" w:cstheme="minorHAnsi"/>
          <w:sz w:val="26"/>
          <w:szCs w:val="26"/>
        </w:rPr>
        <w:t>La data de 20 octombrie 2025, Curtea Constituțională a admis obiecția de neconstituționalitate formulată de Înalta Curte de Casație și Justiție – Secțiile Unite și a constatat că </w:t>
      </w:r>
      <w:r w:rsidRPr="00170A5F">
        <w:rPr>
          <w:rFonts w:asciiTheme="minorHAnsi" w:hAnsiTheme="minorHAnsi" w:cstheme="minorHAnsi"/>
          <w:iCs/>
          <w:sz w:val="26"/>
          <w:szCs w:val="26"/>
        </w:rPr>
        <w:t>Legea pentru modificarea și completarea unor acte normative din domeniul pensiilor de serviciu</w:t>
      </w:r>
      <w:r w:rsidRPr="00170A5F">
        <w:rPr>
          <w:rFonts w:asciiTheme="minorHAnsi" w:hAnsiTheme="minorHAnsi" w:cstheme="minorHAnsi"/>
          <w:sz w:val="26"/>
          <w:szCs w:val="26"/>
        </w:rPr>
        <w:t> în ansamblu este neconstituțională. Astfel, a constatat că lipsa avizului Consiliului Superior al Magistraturii coroborat cu neașteptarea curgerii de către Guvern a întregului termen de 30 de zile necesar obținerii acestuia </w:t>
      </w:r>
      <w:r w:rsidRPr="00170A5F">
        <w:rPr>
          <w:rFonts w:asciiTheme="minorHAnsi" w:hAnsiTheme="minorHAnsi" w:cstheme="minorHAnsi"/>
          <w:bCs/>
          <w:sz w:val="26"/>
          <w:szCs w:val="26"/>
        </w:rPr>
        <w:t>încalcă art.</w:t>
      </w:r>
      <w:r w:rsidR="00727E80">
        <w:rPr>
          <w:rFonts w:asciiTheme="minorHAnsi" w:hAnsiTheme="minorHAnsi" w:cstheme="minorHAnsi"/>
          <w:bCs/>
          <w:sz w:val="26"/>
          <w:szCs w:val="26"/>
        </w:rPr>
        <w:t xml:space="preserve"> </w:t>
      </w:r>
      <w:r w:rsidRPr="00170A5F">
        <w:rPr>
          <w:rFonts w:asciiTheme="minorHAnsi" w:hAnsiTheme="minorHAnsi" w:cstheme="minorHAnsi"/>
          <w:bCs/>
          <w:sz w:val="26"/>
          <w:szCs w:val="26"/>
        </w:rPr>
        <w:t>1 alin.</w:t>
      </w:r>
      <w:r w:rsidR="00727E80">
        <w:rPr>
          <w:rFonts w:asciiTheme="minorHAnsi" w:hAnsiTheme="minorHAnsi" w:cstheme="minorHAnsi"/>
          <w:bCs/>
          <w:sz w:val="26"/>
          <w:szCs w:val="26"/>
        </w:rPr>
        <w:t xml:space="preserve"> </w:t>
      </w:r>
      <w:r w:rsidRPr="00170A5F">
        <w:rPr>
          <w:rFonts w:asciiTheme="minorHAnsi" w:hAnsiTheme="minorHAnsi" w:cstheme="minorHAnsi"/>
          <w:bCs/>
          <w:sz w:val="26"/>
          <w:szCs w:val="26"/>
        </w:rPr>
        <w:t>(3) și (5) raportat la art.</w:t>
      </w:r>
      <w:r w:rsidR="00727E80">
        <w:rPr>
          <w:rFonts w:asciiTheme="minorHAnsi" w:hAnsiTheme="minorHAnsi" w:cstheme="minorHAnsi"/>
          <w:bCs/>
          <w:sz w:val="26"/>
          <w:szCs w:val="26"/>
        </w:rPr>
        <w:t xml:space="preserve"> </w:t>
      </w:r>
      <w:r w:rsidRPr="00170A5F">
        <w:rPr>
          <w:rFonts w:asciiTheme="minorHAnsi" w:hAnsiTheme="minorHAnsi" w:cstheme="minorHAnsi"/>
          <w:bCs/>
          <w:sz w:val="26"/>
          <w:szCs w:val="26"/>
        </w:rPr>
        <w:t>133 alin.</w:t>
      </w:r>
      <w:r w:rsidR="00727E80">
        <w:rPr>
          <w:rFonts w:asciiTheme="minorHAnsi" w:hAnsiTheme="minorHAnsi" w:cstheme="minorHAnsi"/>
          <w:bCs/>
          <w:sz w:val="26"/>
          <w:szCs w:val="26"/>
        </w:rPr>
        <w:t xml:space="preserve"> </w:t>
      </w:r>
      <w:r w:rsidRPr="00170A5F">
        <w:rPr>
          <w:rFonts w:asciiTheme="minorHAnsi" w:hAnsiTheme="minorHAnsi" w:cstheme="minorHAnsi"/>
          <w:bCs/>
          <w:sz w:val="26"/>
          <w:szCs w:val="26"/>
        </w:rPr>
        <w:t>(1) și art.</w:t>
      </w:r>
      <w:r w:rsidR="00727E80">
        <w:rPr>
          <w:rFonts w:asciiTheme="minorHAnsi" w:hAnsiTheme="minorHAnsi" w:cstheme="minorHAnsi"/>
          <w:bCs/>
          <w:sz w:val="26"/>
          <w:szCs w:val="26"/>
        </w:rPr>
        <w:t xml:space="preserve"> </w:t>
      </w:r>
      <w:r w:rsidRPr="00170A5F">
        <w:rPr>
          <w:rFonts w:asciiTheme="minorHAnsi" w:hAnsiTheme="minorHAnsi" w:cstheme="minorHAnsi"/>
          <w:bCs/>
          <w:sz w:val="26"/>
          <w:szCs w:val="26"/>
        </w:rPr>
        <w:t>134 alin.</w:t>
      </w:r>
      <w:r w:rsidR="00727E80">
        <w:rPr>
          <w:rFonts w:asciiTheme="minorHAnsi" w:hAnsiTheme="minorHAnsi" w:cstheme="minorHAnsi"/>
          <w:bCs/>
          <w:sz w:val="26"/>
          <w:szCs w:val="26"/>
        </w:rPr>
        <w:t xml:space="preserve"> </w:t>
      </w:r>
      <w:r w:rsidRPr="00170A5F">
        <w:rPr>
          <w:rFonts w:asciiTheme="minorHAnsi" w:hAnsiTheme="minorHAnsi" w:cstheme="minorHAnsi"/>
          <w:bCs/>
          <w:sz w:val="26"/>
          <w:szCs w:val="26"/>
        </w:rPr>
        <w:t>(4) din Constituție</w:t>
      </w:r>
      <w:r w:rsidRPr="00170A5F">
        <w:rPr>
          <w:rFonts w:asciiTheme="minorHAnsi" w:hAnsiTheme="minorHAnsi" w:cstheme="minorHAnsi"/>
          <w:sz w:val="26"/>
          <w:szCs w:val="26"/>
        </w:rPr>
        <w:t>.</w:t>
      </w:r>
    </w:p>
    <w:p w14:paraId="342AC519" w14:textId="579E296D" w:rsidR="006E15DF" w:rsidRPr="00295D06" w:rsidRDefault="006E15DF" w:rsidP="009E3AD8">
      <w:pPr>
        <w:spacing w:line="276" w:lineRule="auto"/>
        <w:ind w:firstLine="708"/>
        <w:jc w:val="both"/>
        <w:rPr>
          <w:rStyle w:val="rvts7"/>
          <w:rFonts w:asciiTheme="minorHAnsi" w:hAnsiTheme="minorHAnsi" w:cstheme="minorHAnsi"/>
          <w:sz w:val="26"/>
          <w:szCs w:val="26"/>
        </w:rPr>
      </w:pPr>
      <w:r w:rsidRPr="00295D06">
        <w:rPr>
          <w:rStyle w:val="rvts7"/>
          <w:rFonts w:asciiTheme="minorHAnsi" w:hAnsiTheme="minorHAnsi" w:cstheme="minorHAnsi"/>
          <w:sz w:val="26"/>
          <w:szCs w:val="26"/>
        </w:rPr>
        <w:t>În urma examinării Proiectului de Lege pentru modificarea și completarea unor acte normative din domeniul pensiilor de serviciu, transmis spre avizare de Ministerul Muncii, Familiei, Tineretului și Solidarității Sociale  (adresele nr. 483/MCV/20.11.2025 şi nr. 483/MCV/25.11.2025), prin Hotărârea nr. 158 din 27 noiembrie 2025, Plenul Consiliului Superior al Magistraturii a avizat negativ Proiectul de Lege pentru modificarea și completarea unor acte normative din domeniul pensiilor de serviciu.</w:t>
      </w:r>
    </w:p>
    <w:p w14:paraId="72EF5148" w14:textId="7A469251" w:rsidR="00170A5F" w:rsidRPr="00170A5F" w:rsidRDefault="00170A5F" w:rsidP="009E3AD8">
      <w:pPr>
        <w:spacing w:line="276" w:lineRule="auto"/>
        <w:ind w:firstLine="709"/>
        <w:jc w:val="both"/>
        <w:rPr>
          <w:rFonts w:asciiTheme="minorHAnsi" w:hAnsiTheme="minorHAnsi" w:cstheme="minorHAnsi"/>
          <w:sz w:val="26"/>
          <w:szCs w:val="26"/>
        </w:rPr>
      </w:pPr>
      <w:r w:rsidRPr="00170A5F">
        <w:rPr>
          <w:rFonts w:asciiTheme="minorHAnsi" w:hAnsiTheme="minorHAnsi" w:cstheme="minorHAnsi"/>
          <w:sz w:val="26"/>
          <w:szCs w:val="26"/>
        </w:rPr>
        <w:t>Nu în ultimul rând, trebuie menționată participarea reprezentanților Consiliului la lucrările diverselor</w:t>
      </w:r>
      <w:r w:rsidRPr="00170A5F">
        <w:rPr>
          <w:rFonts w:asciiTheme="minorHAnsi" w:hAnsiTheme="minorHAnsi" w:cstheme="minorHAnsi"/>
          <w:b/>
          <w:sz w:val="26"/>
          <w:szCs w:val="26"/>
        </w:rPr>
        <w:t xml:space="preserve"> grupuri de lucru interinstituţionale </w:t>
      </w:r>
      <w:r w:rsidRPr="00170A5F">
        <w:rPr>
          <w:rFonts w:asciiTheme="minorHAnsi" w:hAnsiTheme="minorHAnsi" w:cstheme="minorHAnsi"/>
          <w:sz w:val="26"/>
          <w:szCs w:val="26"/>
        </w:rPr>
        <w:t xml:space="preserve">constituite la nivelul Consiliului Superior al Magistraturii, Ministerului Justiţiei sau, după caz, la nivelul altor instituții, pe teme privind sistemul judiciar. De asemenea, reprezentanți ai Consiliului au participat la mai multe întâlniri de lucru organizate de Ministerul Justiției. </w:t>
      </w:r>
    </w:p>
    <w:p w14:paraId="620E3D80" w14:textId="00682743" w:rsidR="00170A5F" w:rsidRPr="00170A5F" w:rsidRDefault="00170A5F" w:rsidP="009E3AD8">
      <w:pPr>
        <w:spacing w:line="276" w:lineRule="auto"/>
        <w:ind w:firstLine="720"/>
        <w:jc w:val="both"/>
        <w:rPr>
          <w:rFonts w:asciiTheme="minorHAnsi" w:hAnsiTheme="minorHAnsi" w:cstheme="minorHAnsi"/>
          <w:sz w:val="26"/>
          <w:szCs w:val="26"/>
        </w:rPr>
      </w:pPr>
      <w:r w:rsidRPr="00170A5F">
        <w:rPr>
          <w:rFonts w:asciiTheme="minorHAnsi" w:hAnsiTheme="minorHAnsi" w:cstheme="minorHAnsi"/>
          <w:sz w:val="26"/>
          <w:szCs w:val="26"/>
        </w:rPr>
        <w:t>Prin Hotărârea nr. 156</w:t>
      </w:r>
      <w:r w:rsidR="00CA3BF9">
        <w:rPr>
          <w:rFonts w:asciiTheme="minorHAnsi" w:hAnsiTheme="minorHAnsi" w:cstheme="minorHAnsi"/>
          <w:sz w:val="26"/>
          <w:szCs w:val="26"/>
        </w:rPr>
        <w:t>/</w:t>
      </w:r>
      <w:r w:rsidRPr="00170A5F">
        <w:rPr>
          <w:rFonts w:asciiTheme="minorHAnsi" w:hAnsiTheme="minorHAnsi" w:cstheme="minorHAnsi"/>
          <w:sz w:val="26"/>
          <w:szCs w:val="26"/>
        </w:rPr>
        <w:t>04</w:t>
      </w:r>
      <w:r w:rsidR="00CA3BF9">
        <w:rPr>
          <w:rFonts w:asciiTheme="minorHAnsi" w:hAnsiTheme="minorHAnsi" w:cstheme="minorHAnsi"/>
          <w:sz w:val="26"/>
          <w:szCs w:val="26"/>
        </w:rPr>
        <w:t>.02.</w:t>
      </w:r>
      <w:r w:rsidRPr="00170A5F">
        <w:rPr>
          <w:rFonts w:asciiTheme="minorHAnsi" w:hAnsiTheme="minorHAnsi" w:cstheme="minorHAnsi"/>
          <w:sz w:val="26"/>
          <w:szCs w:val="26"/>
        </w:rPr>
        <w:t xml:space="preserve">2025 a Secţiei pentru judecători s-a decis constituirea unui grup de lucru la nivelul Consiliului având ca principal obiectiv identificarea unor măsuri privind eficientizarea/monitorizarea activității judecătorului de supraveghere a privării de libertate. Principalele problematici discutate în cadrul grupului de lucru au vizat procedura de păstrare/distrugere a lucrărilor din arhiva judecătorului de supraveghere a privării de libertate şi </w:t>
      </w:r>
      <w:r w:rsidRPr="00170A5F">
        <w:rPr>
          <w:rFonts w:asciiTheme="minorHAnsi" w:hAnsiTheme="minorHAnsi" w:cstheme="minorHAnsi"/>
          <w:bCs/>
          <w:sz w:val="26"/>
          <w:szCs w:val="26"/>
        </w:rPr>
        <w:t>natura juridică a permisiunii ieşirii din centrele de reţinere și arestare preventivă a persoanelor reţinute sau arestate preventiv, pentru a participa la înhumarea unui membru de familie</w:t>
      </w:r>
      <w:r w:rsidRPr="00170A5F">
        <w:rPr>
          <w:rFonts w:asciiTheme="minorHAnsi" w:hAnsiTheme="minorHAnsi" w:cstheme="minorHAnsi"/>
          <w:sz w:val="26"/>
          <w:szCs w:val="26"/>
        </w:rPr>
        <w:t xml:space="preserve">, precum şi oportunitatea reglementării unei </w:t>
      </w:r>
      <w:r w:rsidRPr="00170A5F">
        <w:rPr>
          <w:rFonts w:asciiTheme="minorHAnsi" w:hAnsiTheme="minorHAnsi" w:cstheme="minorHAnsi"/>
          <w:bCs/>
          <w:sz w:val="26"/>
          <w:szCs w:val="26"/>
        </w:rPr>
        <w:t>proceduri</w:t>
      </w:r>
      <w:r w:rsidRPr="00170A5F">
        <w:rPr>
          <w:rFonts w:asciiTheme="minorHAnsi" w:hAnsiTheme="minorHAnsi" w:cstheme="minorHAnsi"/>
          <w:sz w:val="26"/>
          <w:szCs w:val="26"/>
        </w:rPr>
        <w:t xml:space="preserve"> aplicabile soluţionării unor astfel de cereri. În vederea formulării unor propuneri concrete de reglementare, s-a apreciat necesară consultarea </w:t>
      </w:r>
      <w:r w:rsidRPr="00170A5F">
        <w:rPr>
          <w:rFonts w:asciiTheme="minorHAnsi" w:hAnsiTheme="minorHAnsi" w:cstheme="minorHAnsi"/>
          <w:sz w:val="26"/>
          <w:szCs w:val="26"/>
        </w:rPr>
        <w:lastRenderedPageBreak/>
        <w:t>judecătorilor de supraveghere a privării de libertate, a Administraţiei Naţionale a Penitenciarelor, Ministerului Justiţiei, Ministerului Afacerilor Interne, precum şi a Agentului guvernamental pentru Curtea Europeană a Drepturilor Omului, cu privire la aspectele agreate în cadrul şedinţei grupului de lucru.</w:t>
      </w:r>
    </w:p>
    <w:p w14:paraId="575A4B90" w14:textId="77777777" w:rsidR="00170A5F" w:rsidRPr="00170A5F" w:rsidRDefault="00170A5F" w:rsidP="009E3AD8">
      <w:pPr>
        <w:spacing w:before="67" w:line="276" w:lineRule="auto"/>
        <w:ind w:firstLine="708"/>
        <w:jc w:val="both"/>
        <w:rPr>
          <w:rFonts w:asciiTheme="minorHAnsi" w:hAnsiTheme="minorHAnsi" w:cstheme="minorHAnsi"/>
          <w:sz w:val="26"/>
          <w:szCs w:val="26"/>
        </w:rPr>
      </w:pPr>
      <w:r w:rsidRPr="00170A5F">
        <w:rPr>
          <w:rFonts w:asciiTheme="minorHAnsi" w:hAnsiTheme="minorHAnsi" w:cstheme="minorHAnsi"/>
          <w:sz w:val="26"/>
          <w:szCs w:val="26"/>
        </w:rPr>
        <w:t>În vederea armonizării legislaţiei naţionale cu prevederile Convenției Consiliului Europei privind prevenirea şi combaterea violenței împotriva femeilor şi a violenței domestice, precum şi în contextul recomandărilor prezentate de Grupul de experţi GREVIO în raportul de ţară, pentru îndeplinirea angajamentelor asumate de Statul Român la ratificare, în luna martie a anului 2023, la nivelul Agenţiei Naţionale pentru Egalitatea de Șanse între Femei şi Bărbaţi s-a constituit un grup de lucru având ca scop iniţierea şi analizarea propunerilor de modificare a Legii nr. 217/2003 pentru prevenirea şi combaterea violenţei domestice, republicată, cu modificările şi completările ulterioare, precum şi a Ordinului nr. 146/2578/2018 privind modalitatea de gestionare a cazurilor de violenţă domestică de către poliţişti, la care au participat şi reprezentanţi ai Consiliului Superior al Magistraturii. Propunerile formulate în cadrul grupului de lucru interinstituțional privind modificarea și completarea Legii nr. 217/2003 pentru prevenirea şi combaterea violenţei domestice, republicată au fost analizate şi în şedinţa din 20 martie 2025 a Comisiei nr. 1 – reunită - „Legislație şi cooperare interinstituțională”. Observaţiile formulate de comisia de specialitate au fost transmise Agenţiei Naţionale pentru Egalitatea de Şanse între Femei şi Bărbaţi cu adresa nr. 3732/20.03.2025.</w:t>
      </w:r>
    </w:p>
    <w:p w14:paraId="3E11BB04" w14:textId="3C8C9BFE" w:rsidR="00170A5F" w:rsidRPr="00170A5F" w:rsidRDefault="00170A5F" w:rsidP="009E3AD8">
      <w:pPr>
        <w:spacing w:line="276" w:lineRule="auto"/>
        <w:ind w:firstLine="709"/>
        <w:jc w:val="both"/>
        <w:rPr>
          <w:rFonts w:asciiTheme="minorHAnsi" w:hAnsiTheme="minorHAnsi" w:cstheme="minorHAnsi"/>
          <w:bCs/>
          <w:sz w:val="26"/>
          <w:szCs w:val="26"/>
        </w:rPr>
      </w:pPr>
      <w:r w:rsidRPr="00170A5F">
        <w:rPr>
          <w:rFonts w:asciiTheme="minorHAnsi" w:hAnsiTheme="minorHAnsi" w:cstheme="minorHAnsi"/>
          <w:bCs/>
          <w:sz w:val="26"/>
          <w:szCs w:val="26"/>
        </w:rPr>
        <w:t xml:space="preserve">La invitaţia United Nations High Commissioner for Refugees, un reprezentant al </w:t>
      </w:r>
      <w:r w:rsidRPr="00A35EF2">
        <w:rPr>
          <w:rStyle w:val="NoSpacingChar"/>
          <w:rFonts w:asciiTheme="minorHAnsi" w:hAnsiTheme="minorHAnsi" w:cstheme="minorHAnsi"/>
          <w:sz w:val="26"/>
          <w:szCs w:val="26"/>
          <w:lang w:val="ro-RO"/>
        </w:rPr>
        <w:t xml:space="preserve">Consiliului Superior al Magistraturii a participat la lucrările grupului de lucru privind Apatridia din data de </w:t>
      </w:r>
      <w:r w:rsidR="00CA3BF9" w:rsidRPr="00A35EF2">
        <w:rPr>
          <w:rStyle w:val="NoSpacingChar"/>
          <w:rFonts w:asciiTheme="minorHAnsi" w:hAnsiTheme="minorHAnsi" w:cstheme="minorHAnsi"/>
          <w:sz w:val="26"/>
          <w:szCs w:val="26"/>
          <w:lang w:val="ro-RO"/>
        </w:rPr>
        <w:t>0</w:t>
      </w:r>
      <w:r w:rsidRPr="00A35EF2">
        <w:rPr>
          <w:rStyle w:val="NoSpacingChar"/>
          <w:rFonts w:asciiTheme="minorHAnsi" w:hAnsiTheme="minorHAnsi" w:cstheme="minorHAnsi"/>
          <w:sz w:val="26"/>
          <w:szCs w:val="26"/>
          <w:lang w:val="ro-RO"/>
        </w:rPr>
        <w:t>3 aprilie 2025.</w:t>
      </w:r>
    </w:p>
    <w:p w14:paraId="49404AEA" w14:textId="77777777" w:rsidR="00170A5F" w:rsidRPr="00A35EF2" w:rsidRDefault="00170A5F" w:rsidP="009E3AD8">
      <w:pPr>
        <w:tabs>
          <w:tab w:val="left" w:pos="709"/>
        </w:tabs>
        <w:spacing w:line="276" w:lineRule="auto"/>
        <w:ind w:firstLine="708"/>
        <w:jc w:val="both"/>
        <w:rPr>
          <w:rStyle w:val="NoSpacingChar"/>
          <w:rFonts w:asciiTheme="minorHAnsi" w:hAnsiTheme="minorHAnsi" w:cstheme="minorHAnsi"/>
          <w:sz w:val="26"/>
          <w:szCs w:val="26"/>
          <w:lang w:val="fr-FR"/>
        </w:rPr>
      </w:pPr>
      <w:r w:rsidRPr="00A35EF2">
        <w:rPr>
          <w:rStyle w:val="NoSpacingChar"/>
          <w:rFonts w:asciiTheme="minorHAnsi" w:hAnsiTheme="minorHAnsi" w:cstheme="minorHAnsi"/>
          <w:sz w:val="26"/>
          <w:szCs w:val="26"/>
          <w:lang w:val="fr-FR"/>
        </w:rPr>
        <w:t xml:space="preserve">La </w:t>
      </w:r>
      <w:proofErr w:type="spellStart"/>
      <w:r w:rsidRPr="00A35EF2">
        <w:rPr>
          <w:rStyle w:val="NoSpacingChar"/>
          <w:rFonts w:asciiTheme="minorHAnsi" w:hAnsiTheme="minorHAnsi" w:cstheme="minorHAnsi"/>
          <w:sz w:val="26"/>
          <w:szCs w:val="26"/>
          <w:lang w:val="fr-FR"/>
        </w:rPr>
        <w:t>invitaţia</w:t>
      </w:r>
      <w:proofErr w:type="spellEnd"/>
      <w:r w:rsidRPr="00A35EF2">
        <w:rPr>
          <w:rStyle w:val="NoSpacingChar"/>
          <w:rFonts w:asciiTheme="minorHAnsi" w:hAnsiTheme="minorHAnsi" w:cstheme="minorHAnsi"/>
          <w:sz w:val="26"/>
          <w:szCs w:val="26"/>
          <w:lang w:val="fr-FR"/>
        </w:rPr>
        <w:t xml:space="preserve"> Agenţiei </w:t>
      </w:r>
      <w:proofErr w:type="spellStart"/>
      <w:r w:rsidRPr="00A35EF2">
        <w:rPr>
          <w:rStyle w:val="NoSpacingChar"/>
          <w:rFonts w:asciiTheme="minorHAnsi" w:hAnsiTheme="minorHAnsi" w:cstheme="minorHAnsi"/>
          <w:sz w:val="26"/>
          <w:szCs w:val="26"/>
          <w:lang w:val="fr-FR"/>
        </w:rPr>
        <w:t>Naţionale</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pentru</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Egalitatea</w:t>
      </w:r>
      <w:proofErr w:type="spellEnd"/>
      <w:r w:rsidRPr="00A35EF2">
        <w:rPr>
          <w:rStyle w:val="NoSpacingChar"/>
          <w:rFonts w:asciiTheme="minorHAnsi" w:hAnsiTheme="minorHAnsi" w:cstheme="minorHAnsi"/>
          <w:sz w:val="26"/>
          <w:szCs w:val="26"/>
          <w:lang w:val="fr-FR"/>
        </w:rPr>
        <w:t xml:space="preserve"> de </w:t>
      </w:r>
      <w:proofErr w:type="spellStart"/>
      <w:r w:rsidRPr="00A35EF2">
        <w:rPr>
          <w:rStyle w:val="NoSpacingChar"/>
          <w:rFonts w:asciiTheme="minorHAnsi" w:hAnsiTheme="minorHAnsi" w:cstheme="minorHAnsi"/>
          <w:sz w:val="26"/>
          <w:szCs w:val="26"/>
          <w:lang w:val="fr-FR"/>
        </w:rPr>
        <w:t>Şanse</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între</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Femei</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şi</w:t>
      </w:r>
      <w:proofErr w:type="spellEnd"/>
      <w:r w:rsidRPr="00A35EF2">
        <w:rPr>
          <w:rStyle w:val="NoSpacingChar"/>
          <w:rFonts w:asciiTheme="minorHAnsi" w:hAnsiTheme="minorHAnsi" w:cstheme="minorHAnsi"/>
          <w:sz w:val="26"/>
          <w:szCs w:val="26"/>
          <w:lang w:val="fr-FR"/>
        </w:rPr>
        <w:t xml:space="preserve"> Bărbaţi, </w:t>
      </w:r>
      <w:proofErr w:type="spellStart"/>
      <w:r w:rsidRPr="00A35EF2">
        <w:rPr>
          <w:rStyle w:val="NoSpacingChar"/>
          <w:rFonts w:asciiTheme="minorHAnsi" w:hAnsiTheme="minorHAnsi" w:cstheme="minorHAnsi"/>
          <w:sz w:val="26"/>
          <w:szCs w:val="26"/>
          <w:lang w:val="fr-FR"/>
        </w:rPr>
        <w:t>reprezentanţi</w:t>
      </w:r>
      <w:proofErr w:type="spellEnd"/>
      <w:r w:rsidRPr="00A35EF2">
        <w:rPr>
          <w:rStyle w:val="NoSpacingChar"/>
          <w:rFonts w:asciiTheme="minorHAnsi" w:hAnsiTheme="minorHAnsi" w:cstheme="minorHAnsi"/>
          <w:sz w:val="26"/>
          <w:szCs w:val="26"/>
          <w:lang w:val="fr-FR"/>
        </w:rPr>
        <w:t xml:space="preserve"> ai </w:t>
      </w:r>
      <w:proofErr w:type="spellStart"/>
      <w:r w:rsidRPr="00A35EF2">
        <w:rPr>
          <w:rStyle w:val="NoSpacingChar"/>
          <w:rFonts w:asciiTheme="minorHAnsi" w:hAnsiTheme="minorHAnsi" w:cstheme="minorHAnsi"/>
          <w:sz w:val="26"/>
          <w:szCs w:val="26"/>
          <w:lang w:val="fr-FR"/>
        </w:rPr>
        <w:t>Consiliului</w:t>
      </w:r>
      <w:proofErr w:type="spellEnd"/>
      <w:r w:rsidRPr="00A35EF2">
        <w:rPr>
          <w:rStyle w:val="NoSpacingChar"/>
          <w:rFonts w:asciiTheme="minorHAnsi" w:hAnsiTheme="minorHAnsi" w:cstheme="minorHAnsi"/>
          <w:sz w:val="26"/>
          <w:szCs w:val="26"/>
          <w:lang w:val="fr-FR"/>
        </w:rPr>
        <w:t xml:space="preserve"> Superior al </w:t>
      </w:r>
      <w:proofErr w:type="spellStart"/>
      <w:r w:rsidRPr="00A35EF2">
        <w:rPr>
          <w:rStyle w:val="NoSpacingChar"/>
          <w:rFonts w:asciiTheme="minorHAnsi" w:hAnsiTheme="minorHAnsi" w:cstheme="minorHAnsi"/>
          <w:sz w:val="26"/>
          <w:szCs w:val="26"/>
          <w:lang w:val="fr-FR"/>
        </w:rPr>
        <w:t>Magistraturii</w:t>
      </w:r>
      <w:proofErr w:type="spellEnd"/>
      <w:r w:rsidRPr="00A35EF2">
        <w:rPr>
          <w:rStyle w:val="NoSpacingChar"/>
          <w:rFonts w:asciiTheme="minorHAnsi" w:hAnsiTheme="minorHAnsi" w:cstheme="minorHAnsi"/>
          <w:sz w:val="26"/>
          <w:szCs w:val="26"/>
          <w:lang w:val="fr-FR"/>
        </w:rPr>
        <w:t xml:space="preserve"> au </w:t>
      </w:r>
      <w:proofErr w:type="spellStart"/>
      <w:r w:rsidRPr="00A35EF2">
        <w:rPr>
          <w:rStyle w:val="NoSpacingChar"/>
          <w:rFonts w:asciiTheme="minorHAnsi" w:hAnsiTheme="minorHAnsi" w:cstheme="minorHAnsi"/>
          <w:sz w:val="26"/>
          <w:szCs w:val="26"/>
          <w:lang w:val="fr-FR"/>
        </w:rPr>
        <w:t>participat</w:t>
      </w:r>
      <w:proofErr w:type="spellEnd"/>
      <w:r w:rsidRPr="00A35EF2">
        <w:rPr>
          <w:rStyle w:val="NoSpacingChar"/>
          <w:rFonts w:asciiTheme="minorHAnsi" w:hAnsiTheme="minorHAnsi" w:cstheme="minorHAnsi"/>
          <w:sz w:val="26"/>
          <w:szCs w:val="26"/>
          <w:lang w:val="fr-FR"/>
        </w:rPr>
        <w:t xml:space="preserve"> la </w:t>
      </w:r>
      <w:proofErr w:type="spellStart"/>
      <w:r w:rsidRPr="00A35EF2">
        <w:rPr>
          <w:rStyle w:val="NoSpacingChar"/>
          <w:rFonts w:asciiTheme="minorHAnsi" w:hAnsiTheme="minorHAnsi" w:cstheme="minorHAnsi"/>
          <w:sz w:val="26"/>
          <w:szCs w:val="26"/>
          <w:lang w:val="fr-FR"/>
        </w:rPr>
        <w:t>întâlnirile</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grupului</w:t>
      </w:r>
      <w:proofErr w:type="spellEnd"/>
      <w:r w:rsidRPr="00A35EF2">
        <w:rPr>
          <w:rStyle w:val="NoSpacingChar"/>
          <w:rFonts w:asciiTheme="minorHAnsi" w:hAnsiTheme="minorHAnsi" w:cstheme="minorHAnsi"/>
          <w:sz w:val="26"/>
          <w:szCs w:val="26"/>
          <w:lang w:val="fr-FR"/>
        </w:rPr>
        <w:t xml:space="preserve"> de </w:t>
      </w:r>
      <w:proofErr w:type="spellStart"/>
      <w:r w:rsidRPr="00A35EF2">
        <w:rPr>
          <w:rStyle w:val="NoSpacingChar"/>
          <w:rFonts w:asciiTheme="minorHAnsi" w:hAnsiTheme="minorHAnsi" w:cstheme="minorHAnsi"/>
          <w:sz w:val="26"/>
          <w:szCs w:val="26"/>
          <w:lang w:val="fr-FR"/>
        </w:rPr>
        <w:t>lucru</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pentru</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elaborarea</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modificărilor</w:t>
      </w:r>
      <w:proofErr w:type="spellEnd"/>
      <w:r w:rsidRPr="00A35EF2">
        <w:rPr>
          <w:rStyle w:val="NoSpacingChar"/>
          <w:rFonts w:asciiTheme="minorHAnsi" w:hAnsiTheme="minorHAnsi" w:cstheme="minorHAnsi"/>
          <w:sz w:val="26"/>
          <w:szCs w:val="26"/>
          <w:lang w:val="fr-FR"/>
        </w:rPr>
        <w:t xml:space="preserve"> la Legea nr. 217/2003 </w:t>
      </w:r>
      <w:proofErr w:type="spellStart"/>
      <w:r w:rsidRPr="00A35EF2">
        <w:rPr>
          <w:rStyle w:val="NoSpacingChar"/>
          <w:rFonts w:asciiTheme="minorHAnsi" w:hAnsiTheme="minorHAnsi" w:cstheme="minorHAnsi"/>
          <w:sz w:val="26"/>
          <w:szCs w:val="26"/>
          <w:lang w:val="fr-FR"/>
        </w:rPr>
        <w:t>pentru</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prevenirea</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şi</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combaterea</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violenţei</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domestice</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şi</w:t>
      </w:r>
      <w:proofErr w:type="spellEnd"/>
      <w:r w:rsidRPr="00A35EF2">
        <w:rPr>
          <w:rStyle w:val="NoSpacingChar"/>
          <w:rFonts w:asciiTheme="minorHAnsi" w:hAnsiTheme="minorHAnsi" w:cstheme="minorHAnsi"/>
          <w:sz w:val="26"/>
          <w:szCs w:val="26"/>
          <w:lang w:val="fr-FR"/>
        </w:rPr>
        <w:t xml:space="preserve"> a </w:t>
      </w:r>
      <w:proofErr w:type="spellStart"/>
      <w:r w:rsidRPr="00A35EF2">
        <w:rPr>
          <w:rStyle w:val="NoSpacingChar"/>
          <w:rFonts w:asciiTheme="minorHAnsi" w:hAnsiTheme="minorHAnsi" w:cstheme="minorHAnsi"/>
          <w:sz w:val="26"/>
          <w:szCs w:val="26"/>
          <w:lang w:val="fr-FR"/>
        </w:rPr>
        <w:t>Ordinul</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Ministerului</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Afacerilor</w:t>
      </w:r>
      <w:proofErr w:type="spellEnd"/>
      <w:r w:rsidRPr="00A35EF2">
        <w:rPr>
          <w:rStyle w:val="NoSpacingChar"/>
          <w:rFonts w:asciiTheme="minorHAnsi" w:hAnsiTheme="minorHAnsi" w:cstheme="minorHAnsi"/>
          <w:sz w:val="26"/>
          <w:szCs w:val="26"/>
          <w:lang w:val="fr-FR"/>
        </w:rPr>
        <w:t xml:space="preserve"> Interne nr. 146/2018 </w:t>
      </w:r>
      <w:proofErr w:type="spellStart"/>
      <w:r w:rsidRPr="00A35EF2">
        <w:rPr>
          <w:rStyle w:val="NoSpacingChar"/>
          <w:rFonts w:asciiTheme="minorHAnsi" w:hAnsiTheme="minorHAnsi" w:cstheme="minorHAnsi"/>
          <w:sz w:val="26"/>
          <w:szCs w:val="26"/>
          <w:lang w:val="fr-FR"/>
        </w:rPr>
        <w:t>privind</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modalitatea</w:t>
      </w:r>
      <w:proofErr w:type="spellEnd"/>
      <w:r w:rsidRPr="00A35EF2">
        <w:rPr>
          <w:rStyle w:val="NoSpacingChar"/>
          <w:rFonts w:asciiTheme="minorHAnsi" w:hAnsiTheme="minorHAnsi" w:cstheme="minorHAnsi"/>
          <w:sz w:val="26"/>
          <w:szCs w:val="26"/>
          <w:lang w:val="fr-FR"/>
        </w:rPr>
        <w:t xml:space="preserve"> de </w:t>
      </w:r>
      <w:proofErr w:type="spellStart"/>
      <w:r w:rsidRPr="00A35EF2">
        <w:rPr>
          <w:rStyle w:val="NoSpacingChar"/>
          <w:rFonts w:asciiTheme="minorHAnsi" w:hAnsiTheme="minorHAnsi" w:cstheme="minorHAnsi"/>
          <w:sz w:val="26"/>
          <w:szCs w:val="26"/>
          <w:lang w:val="fr-FR"/>
        </w:rPr>
        <w:t>gestionare</w:t>
      </w:r>
      <w:proofErr w:type="spellEnd"/>
      <w:r w:rsidRPr="00A35EF2">
        <w:rPr>
          <w:rStyle w:val="NoSpacingChar"/>
          <w:rFonts w:asciiTheme="minorHAnsi" w:hAnsiTheme="minorHAnsi" w:cstheme="minorHAnsi"/>
          <w:sz w:val="26"/>
          <w:szCs w:val="26"/>
          <w:lang w:val="fr-FR"/>
        </w:rPr>
        <w:t xml:space="preserve"> a </w:t>
      </w:r>
      <w:proofErr w:type="spellStart"/>
      <w:r w:rsidRPr="00A35EF2">
        <w:rPr>
          <w:rStyle w:val="NoSpacingChar"/>
          <w:rFonts w:asciiTheme="minorHAnsi" w:hAnsiTheme="minorHAnsi" w:cstheme="minorHAnsi"/>
          <w:sz w:val="26"/>
          <w:szCs w:val="26"/>
          <w:lang w:val="fr-FR"/>
        </w:rPr>
        <w:t>cazurilor</w:t>
      </w:r>
      <w:proofErr w:type="spellEnd"/>
      <w:r w:rsidRPr="00A35EF2">
        <w:rPr>
          <w:rStyle w:val="NoSpacingChar"/>
          <w:rFonts w:asciiTheme="minorHAnsi" w:hAnsiTheme="minorHAnsi" w:cstheme="minorHAnsi"/>
          <w:sz w:val="26"/>
          <w:szCs w:val="26"/>
          <w:lang w:val="fr-FR"/>
        </w:rPr>
        <w:t xml:space="preserve"> de </w:t>
      </w:r>
      <w:proofErr w:type="spellStart"/>
      <w:r w:rsidRPr="00A35EF2">
        <w:rPr>
          <w:rStyle w:val="NoSpacingChar"/>
          <w:rFonts w:asciiTheme="minorHAnsi" w:hAnsiTheme="minorHAnsi" w:cstheme="minorHAnsi"/>
          <w:sz w:val="26"/>
          <w:szCs w:val="26"/>
          <w:lang w:val="fr-FR"/>
        </w:rPr>
        <w:t>violenţă</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domestică</w:t>
      </w:r>
      <w:proofErr w:type="spellEnd"/>
      <w:r w:rsidRPr="00A35EF2">
        <w:rPr>
          <w:rStyle w:val="NoSpacingChar"/>
          <w:rFonts w:asciiTheme="minorHAnsi" w:hAnsiTheme="minorHAnsi" w:cstheme="minorHAnsi"/>
          <w:sz w:val="26"/>
          <w:szCs w:val="26"/>
          <w:lang w:val="fr-FR"/>
        </w:rPr>
        <w:t xml:space="preserve"> de </w:t>
      </w:r>
      <w:proofErr w:type="spellStart"/>
      <w:r w:rsidRPr="00A35EF2">
        <w:rPr>
          <w:rStyle w:val="NoSpacingChar"/>
          <w:rFonts w:asciiTheme="minorHAnsi" w:hAnsiTheme="minorHAnsi" w:cstheme="minorHAnsi"/>
          <w:sz w:val="26"/>
          <w:szCs w:val="26"/>
          <w:lang w:val="fr-FR"/>
        </w:rPr>
        <w:t>către</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poliţişti</w:t>
      </w:r>
      <w:proofErr w:type="spellEnd"/>
      <w:r w:rsidRPr="00A35EF2">
        <w:rPr>
          <w:rStyle w:val="NoSpacingChar"/>
          <w:rFonts w:asciiTheme="minorHAnsi" w:hAnsiTheme="minorHAnsi" w:cstheme="minorHAnsi"/>
          <w:sz w:val="26"/>
          <w:szCs w:val="26"/>
          <w:lang w:val="fr-FR"/>
        </w:rPr>
        <w:t xml:space="preserve">, </w:t>
      </w:r>
      <w:proofErr w:type="spellStart"/>
      <w:r w:rsidRPr="00A35EF2">
        <w:rPr>
          <w:rStyle w:val="NoSpacingChar"/>
          <w:rFonts w:asciiTheme="minorHAnsi" w:hAnsiTheme="minorHAnsi" w:cstheme="minorHAnsi"/>
          <w:sz w:val="26"/>
          <w:szCs w:val="26"/>
          <w:lang w:val="fr-FR"/>
        </w:rPr>
        <w:t>din</w:t>
      </w:r>
      <w:proofErr w:type="spellEnd"/>
      <w:r w:rsidRPr="00A35EF2">
        <w:rPr>
          <w:rStyle w:val="NoSpacingChar"/>
          <w:rFonts w:asciiTheme="minorHAnsi" w:hAnsiTheme="minorHAnsi" w:cstheme="minorHAnsi"/>
          <w:sz w:val="26"/>
          <w:szCs w:val="26"/>
          <w:lang w:val="fr-FR"/>
        </w:rPr>
        <w:t xml:space="preserve"> data de 21 </w:t>
      </w:r>
      <w:proofErr w:type="spellStart"/>
      <w:r w:rsidRPr="00A35EF2">
        <w:rPr>
          <w:rStyle w:val="NoSpacingChar"/>
          <w:rFonts w:asciiTheme="minorHAnsi" w:hAnsiTheme="minorHAnsi" w:cstheme="minorHAnsi"/>
          <w:sz w:val="26"/>
          <w:szCs w:val="26"/>
          <w:lang w:val="fr-FR"/>
        </w:rPr>
        <w:t>martie</w:t>
      </w:r>
      <w:proofErr w:type="spellEnd"/>
      <w:r w:rsidRPr="00A35EF2">
        <w:rPr>
          <w:rStyle w:val="NoSpacingChar"/>
          <w:rFonts w:asciiTheme="minorHAnsi" w:hAnsiTheme="minorHAnsi" w:cstheme="minorHAnsi"/>
          <w:sz w:val="26"/>
          <w:szCs w:val="26"/>
          <w:lang w:val="fr-FR"/>
        </w:rPr>
        <w:t xml:space="preserve"> 2025.</w:t>
      </w:r>
    </w:p>
    <w:p w14:paraId="4286D145" w14:textId="01F0E890" w:rsidR="00170A5F" w:rsidRPr="00170A5F" w:rsidRDefault="00170A5F" w:rsidP="009E3AD8">
      <w:pPr>
        <w:spacing w:line="276" w:lineRule="auto"/>
        <w:ind w:firstLine="709"/>
        <w:jc w:val="both"/>
        <w:rPr>
          <w:rFonts w:asciiTheme="minorHAnsi" w:hAnsiTheme="minorHAnsi" w:cstheme="minorHAnsi"/>
          <w:sz w:val="26"/>
          <w:szCs w:val="26"/>
        </w:rPr>
      </w:pPr>
      <w:r w:rsidRPr="00170A5F">
        <w:rPr>
          <w:rFonts w:asciiTheme="minorHAnsi" w:hAnsiTheme="minorHAnsi" w:cstheme="minorHAnsi"/>
          <w:sz w:val="26"/>
          <w:szCs w:val="26"/>
        </w:rPr>
        <w:t>La invitaţia Ministerului Justiţiei, reprezentanţi ai Consiliului Superior al Magistraturii au participat la lucrările grupului de lucru constituit în vederea amendării cadrului legal în materia activităţii de expertiză tehnică judiciară şi extrajudiciară din data de 10 aprilie 2025, 29 aprilie 2025</w:t>
      </w:r>
      <w:r w:rsidR="00B87EDB">
        <w:rPr>
          <w:rFonts w:asciiTheme="minorHAnsi" w:hAnsiTheme="minorHAnsi" w:cstheme="minorHAnsi"/>
          <w:sz w:val="26"/>
          <w:szCs w:val="26"/>
        </w:rPr>
        <w:t xml:space="preserve"> și</w:t>
      </w:r>
      <w:r w:rsidRPr="00170A5F">
        <w:rPr>
          <w:rFonts w:asciiTheme="minorHAnsi" w:hAnsiTheme="minorHAnsi" w:cstheme="minorHAnsi"/>
          <w:sz w:val="26"/>
          <w:szCs w:val="26"/>
        </w:rPr>
        <w:t xml:space="preserve"> 22 mai 2025.</w:t>
      </w:r>
    </w:p>
    <w:p w14:paraId="49170AE0" w14:textId="61C81A0D" w:rsidR="00170A5F" w:rsidRPr="00170A5F" w:rsidRDefault="00170A5F" w:rsidP="009E3AD8">
      <w:pPr>
        <w:spacing w:line="276" w:lineRule="auto"/>
        <w:ind w:firstLine="709"/>
        <w:jc w:val="both"/>
        <w:rPr>
          <w:rFonts w:asciiTheme="minorHAnsi" w:hAnsiTheme="minorHAnsi" w:cstheme="minorHAnsi"/>
          <w:sz w:val="26"/>
          <w:szCs w:val="26"/>
        </w:rPr>
      </w:pPr>
      <w:r w:rsidRPr="00170A5F">
        <w:rPr>
          <w:rFonts w:asciiTheme="minorHAnsi" w:hAnsiTheme="minorHAnsi" w:cstheme="minorHAnsi"/>
          <w:sz w:val="26"/>
          <w:szCs w:val="26"/>
        </w:rPr>
        <w:t>La invitaţia Agenţiei Naţionale Împotriva Traficului de Persoane, reprezentanţi ai Consiliului Superior al Magistraturii au participat la evenimentul din data de 12 mai 2025 dedicat consolidării dialogului şi cooperării între O</w:t>
      </w:r>
      <w:r w:rsidR="00B87EDB">
        <w:rPr>
          <w:rFonts w:asciiTheme="minorHAnsi" w:hAnsiTheme="minorHAnsi" w:cstheme="minorHAnsi"/>
          <w:sz w:val="26"/>
          <w:szCs w:val="26"/>
        </w:rPr>
        <w:t>.</w:t>
      </w:r>
      <w:r w:rsidRPr="00170A5F">
        <w:rPr>
          <w:rFonts w:asciiTheme="minorHAnsi" w:hAnsiTheme="minorHAnsi" w:cstheme="minorHAnsi"/>
          <w:sz w:val="26"/>
          <w:szCs w:val="26"/>
        </w:rPr>
        <w:t>N</w:t>
      </w:r>
      <w:r w:rsidR="00B87EDB">
        <w:rPr>
          <w:rFonts w:asciiTheme="minorHAnsi" w:hAnsiTheme="minorHAnsi" w:cstheme="minorHAnsi"/>
          <w:sz w:val="26"/>
          <w:szCs w:val="26"/>
        </w:rPr>
        <w:t>.</w:t>
      </w:r>
      <w:r w:rsidRPr="00170A5F">
        <w:rPr>
          <w:rFonts w:asciiTheme="minorHAnsi" w:hAnsiTheme="minorHAnsi" w:cstheme="minorHAnsi"/>
          <w:sz w:val="26"/>
          <w:szCs w:val="26"/>
        </w:rPr>
        <w:t>G</w:t>
      </w:r>
      <w:r w:rsidR="00B87EDB">
        <w:rPr>
          <w:rFonts w:asciiTheme="minorHAnsi" w:hAnsiTheme="minorHAnsi" w:cstheme="minorHAnsi"/>
          <w:sz w:val="26"/>
          <w:szCs w:val="26"/>
        </w:rPr>
        <w:t>.</w:t>
      </w:r>
      <w:r w:rsidRPr="00170A5F">
        <w:rPr>
          <w:rFonts w:asciiTheme="minorHAnsi" w:hAnsiTheme="minorHAnsi" w:cstheme="minorHAnsi"/>
          <w:sz w:val="26"/>
          <w:szCs w:val="26"/>
        </w:rPr>
        <w:t>-urile care activează în domeniul traficului de persoane şi reprezentanţii sectorului public şi privat.</w:t>
      </w:r>
    </w:p>
    <w:p w14:paraId="1408FFCE" w14:textId="77777777" w:rsidR="00170A5F" w:rsidRPr="00170A5F" w:rsidRDefault="00170A5F" w:rsidP="009E3AD8">
      <w:pPr>
        <w:spacing w:line="276" w:lineRule="auto"/>
        <w:ind w:firstLine="709"/>
        <w:jc w:val="both"/>
        <w:rPr>
          <w:rFonts w:asciiTheme="minorHAnsi" w:hAnsiTheme="minorHAnsi" w:cstheme="minorHAnsi"/>
          <w:sz w:val="26"/>
          <w:szCs w:val="26"/>
        </w:rPr>
      </w:pPr>
      <w:r w:rsidRPr="00170A5F">
        <w:rPr>
          <w:rFonts w:asciiTheme="minorHAnsi" w:hAnsiTheme="minorHAnsi" w:cstheme="minorHAnsi"/>
          <w:sz w:val="26"/>
          <w:szCs w:val="26"/>
        </w:rPr>
        <w:t>La invitaţia Ministerului Justiţiei, un reprezentant al Consiliului Superior al Magistraturii a participat la data de 18 iunie 2025 la reuniunea Platformei de cooperare a autorităţilor independente şi a instituţiilor anticorupţie.</w:t>
      </w:r>
    </w:p>
    <w:p w14:paraId="384A3FCD" w14:textId="68113A59" w:rsidR="00170A5F" w:rsidRPr="00170A5F" w:rsidRDefault="00170A5F" w:rsidP="009E3AD8">
      <w:pPr>
        <w:spacing w:line="276" w:lineRule="auto"/>
        <w:ind w:firstLine="709"/>
        <w:jc w:val="both"/>
        <w:rPr>
          <w:rFonts w:asciiTheme="minorHAnsi" w:hAnsiTheme="minorHAnsi" w:cstheme="minorHAnsi"/>
          <w:sz w:val="26"/>
          <w:szCs w:val="26"/>
        </w:rPr>
      </w:pPr>
      <w:r w:rsidRPr="00170A5F">
        <w:rPr>
          <w:rFonts w:asciiTheme="minorHAnsi" w:hAnsiTheme="minorHAnsi" w:cstheme="minorHAnsi"/>
          <w:sz w:val="26"/>
          <w:szCs w:val="26"/>
        </w:rPr>
        <w:t xml:space="preserve">La data de 29 iulie 2025, reprezentanţi ai Consiliului Superior al Magistraturii au participat la reuniunea de lucru vizând proiectul de </w:t>
      </w:r>
      <w:r w:rsidR="00E36991">
        <w:rPr>
          <w:rFonts w:asciiTheme="minorHAnsi" w:hAnsiTheme="minorHAnsi" w:cstheme="minorHAnsi"/>
          <w:sz w:val="26"/>
          <w:szCs w:val="26"/>
        </w:rPr>
        <w:t>H.G.</w:t>
      </w:r>
      <w:r w:rsidRPr="00170A5F">
        <w:rPr>
          <w:rFonts w:asciiTheme="minorHAnsi" w:hAnsiTheme="minorHAnsi" w:cstheme="minorHAnsi"/>
          <w:sz w:val="26"/>
          <w:szCs w:val="26"/>
        </w:rPr>
        <w:t xml:space="preserve"> pentru modificarea şi completarea Anexei la </w:t>
      </w:r>
      <w:r w:rsidR="00E36991">
        <w:rPr>
          <w:rFonts w:asciiTheme="minorHAnsi" w:hAnsiTheme="minorHAnsi" w:cstheme="minorHAnsi"/>
          <w:sz w:val="26"/>
          <w:szCs w:val="26"/>
        </w:rPr>
        <w:t xml:space="preserve">H.G. </w:t>
      </w:r>
      <w:r w:rsidRPr="00170A5F">
        <w:rPr>
          <w:rFonts w:asciiTheme="minorHAnsi" w:hAnsiTheme="minorHAnsi" w:cstheme="minorHAnsi"/>
          <w:sz w:val="26"/>
          <w:szCs w:val="26"/>
        </w:rPr>
        <w:t xml:space="preserve">nr. 706/2015 pentru aprobarea Normelor metodologice de aplicare a prevederilor referitoare la stabilirea pensiilor de serviciu din Legea nr. 567/2004 privind statutul personalului auxiliar de </w:t>
      </w:r>
      <w:r w:rsidRPr="00170A5F">
        <w:rPr>
          <w:rFonts w:asciiTheme="minorHAnsi" w:hAnsiTheme="minorHAnsi" w:cstheme="minorHAnsi"/>
          <w:sz w:val="26"/>
          <w:szCs w:val="26"/>
        </w:rPr>
        <w:lastRenderedPageBreak/>
        <w:t>specialitate al instanţelor judecătoreşti şi al parchetelor de pe lângă acestea şi al personalului care funcţionează în cadrul Institutului Naţional de Expertize Criminalistice.</w:t>
      </w:r>
    </w:p>
    <w:p w14:paraId="137E7DA2" w14:textId="7851E97C" w:rsidR="00170A5F" w:rsidRPr="00170A5F" w:rsidRDefault="00170A5F" w:rsidP="009E3AD8">
      <w:pPr>
        <w:spacing w:line="276" w:lineRule="auto"/>
        <w:ind w:firstLine="709"/>
        <w:jc w:val="both"/>
        <w:rPr>
          <w:rFonts w:asciiTheme="minorHAnsi" w:hAnsiTheme="minorHAnsi" w:cstheme="minorHAnsi"/>
          <w:sz w:val="26"/>
          <w:szCs w:val="26"/>
        </w:rPr>
      </w:pPr>
      <w:r w:rsidRPr="00170A5F">
        <w:rPr>
          <w:rFonts w:asciiTheme="minorHAnsi" w:hAnsiTheme="minorHAnsi" w:cstheme="minorHAnsi"/>
          <w:sz w:val="26"/>
          <w:szCs w:val="26"/>
        </w:rPr>
        <w:t>La data de 25 septembrie 2025, la invitaţia Ministerului Afacerilor Interne, un reprezentant al Consiliului a participat la reuniunea de lucru vizând identificarea unor soluţii eficiente cu privire la transpunerea/aplicarea anumitor prevederi din Directiva (U</w:t>
      </w:r>
      <w:r w:rsidR="00B87EDB">
        <w:rPr>
          <w:rFonts w:asciiTheme="minorHAnsi" w:hAnsiTheme="minorHAnsi" w:cstheme="minorHAnsi"/>
          <w:sz w:val="26"/>
          <w:szCs w:val="26"/>
        </w:rPr>
        <w:t>.</w:t>
      </w:r>
      <w:r w:rsidRPr="00170A5F">
        <w:rPr>
          <w:rFonts w:asciiTheme="minorHAnsi" w:hAnsiTheme="minorHAnsi" w:cstheme="minorHAnsi"/>
          <w:sz w:val="26"/>
          <w:szCs w:val="26"/>
        </w:rPr>
        <w:t>E</w:t>
      </w:r>
      <w:r w:rsidR="00B87EDB">
        <w:rPr>
          <w:rFonts w:asciiTheme="minorHAnsi" w:hAnsiTheme="minorHAnsi" w:cstheme="minorHAnsi"/>
          <w:sz w:val="26"/>
          <w:szCs w:val="26"/>
        </w:rPr>
        <w:t>.</w:t>
      </w:r>
      <w:r w:rsidRPr="00170A5F">
        <w:rPr>
          <w:rFonts w:asciiTheme="minorHAnsi" w:hAnsiTheme="minorHAnsi" w:cstheme="minorHAnsi"/>
          <w:sz w:val="26"/>
          <w:szCs w:val="26"/>
        </w:rPr>
        <w:t>) 2024/1346 a Parlamentului European şi a Consiliului din 14 mai 2024 de stabilire a standardelor pentru primirea solicitanţilor de protecţie internaţională (R</w:t>
      </w:r>
      <w:r w:rsidR="00A64F9C">
        <w:rPr>
          <w:rFonts w:asciiTheme="minorHAnsi" w:hAnsiTheme="minorHAnsi" w:cstheme="minorHAnsi"/>
          <w:sz w:val="26"/>
          <w:szCs w:val="26"/>
        </w:rPr>
        <w:t>.</w:t>
      </w:r>
      <w:r w:rsidRPr="00170A5F">
        <w:rPr>
          <w:rFonts w:asciiTheme="minorHAnsi" w:hAnsiTheme="minorHAnsi" w:cstheme="minorHAnsi"/>
          <w:sz w:val="26"/>
          <w:szCs w:val="26"/>
        </w:rPr>
        <w:t>C</w:t>
      </w:r>
      <w:r w:rsidR="00A64F9C">
        <w:rPr>
          <w:rFonts w:asciiTheme="minorHAnsi" w:hAnsiTheme="minorHAnsi" w:cstheme="minorHAnsi"/>
          <w:sz w:val="26"/>
          <w:szCs w:val="26"/>
        </w:rPr>
        <w:t>.</w:t>
      </w:r>
      <w:r w:rsidRPr="00170A5F">
        <w:rPr>
          <w:rFonts w:asciiTheme="minorHAnsi" w:hAnsiTheme="minorHAnsi" w:cstheme="minorHAnsi"/>
          <w:sz w:val="26"/>
          <w:szCs w:val="26"/>
        </w:rPr>
        <w:t>D</w:t>
      </w:r>
      <w:r w:rsidR="00A64F9C">
        <w:rPr>
          <w:rFonts w:asciiTheme="minorHAnsi" w:hAnsiTheme="minorHAnsi" w:cstheme="minorHAnsi"/>
          <w:sz w:val="26"/>
          <w:szCs w:val="26"/>
        </w:rPr>
        <w:t>.</w:t>
      </w:r>
      <w:r w:rsidRPr="00170A5F">
        <w:rPr>
          <w:rFonts w:asciiTheme="minorHAnsi" w:hAnsiTheme="minorHAnsi" w:cstheme="minorHAnsi"/>
          <w:sz w:val="26"/>
          <w:szCs w:val="26"/>
        </w:rPr>
        <w:t>) şi din Regulamentul (U</w:t>
      </w:r>
      <w:r w:rsidR="00B87EDB">
        <w:rPr>
          <w:rFonts w:asciiTheme="minorHAnsi" w:hAnsiTheme="minorHAnsi" w:cstheme="minorHAnsi"/>
          <w:sz w:val="26"/>
          <w:szCs w:val="26"/>
        </w:rPr>
        <w:t>.</w:t>
      </w:r>
      <w:r w:rsidRPr="00170A5F">
        <w:rPr>
          <w:rFonts w:asciiTheme="minorHAnsi" w:hAnsiTheme="minorHAnsi" w:cstheme="minorHAnsi"/>
          <w:sz w:val="26"/>
          <w:szCs w:val="26"/>
        </w:rPr>
        <w:t>E</w:t>
      </w:r>
      <w:r w:rsidR="00B87EDB">
        <w:rPr>
          <w:rFonts w:asciiTheme="minorHAnsi" w:hAnsiTheme="minorHAnsi" w:cstheme="minorHAnsi"/>
          <w:sz w:val="26"/>
          <w:szCs w:val="26"/>
        </w:rPr>
        <w:t>.</w:t>
      </w:r>
      <w:r w:rsidRPr="00170A5F">
        <w:rPr>
          <w:rFonts w:asciiTheme="minorHAnsi" w:hAnsiTheme="minorHAnsi" w:cstheme="minorHAnsi"/>
          <w:sz w:val="26"/>
          <w:szCs w:val="26"/>
        </w:rPr>
        <w:t>) 2024/1348 al Parlamentului European şi al Consiliului din 14 mai 2024 de stabilire a unei proceduri comune în materie de protecţie internaţională în Uniune şi de abrogarea a Directivei 2013/32/U</w:t>
      </w:r>
      <w:r w:rsidR="00A64F9C">
        <w:rPr>
          <w:rFonts w:asciiTheme="minorHAnsi" w:hAnsiTheme="minorHAnsi" w:cstheme="minorHAnsi"/>
          <w:sz w:val="26"/>
          <w:szCs w:val="26"/>
        </w:rPr>
        <w:t>.</w:t>
      </w:r>
      <w:r w:rsidRPr="00170A5F">
        <w:rPr>
          <w:rFonts w:asciiTheme="minorHAnsi" w:hAnsiTheme="minorHAnsi" w:cstheme="minorHAnsi"/>
          <w:sz w:val="26"/>
          <w:szCs w:val="26"/>
        </w:rPr>
        <w:t>E</w:t>
      </w:r>
      <w:r w:rsidR="00A64F9C">
        <w:rPr>
          <w:rFonts w:asciiTheme="minorHAnsi" w:hAnsiTheme="minorHAnsi" w:cstheme="minorHAnsi"/>
          <w:sz w:val="26"/>
          <w:szCs w:val="26"/>
        </w:rPr>
        <w:t>.</w:t>
      </w:r>
      <w:r w:rsidRPr="00170A5F">
        <w:rPr>
          <w:rFonts w:asciiTheme="minorHAnsi" w:hAnsiTheme="minorHAnsi" w:cstheme="minorHAnsi"/>
          <w:sz w:val="26"/>
          <w:szCs w:val="26"/>
        </w:rPr>
        <w:t xml:space="preserve"> (A</w:t>
      </w:r>
      <w:r w:rsidR="00A64F9C">
        <w:rPr>
          <w:rFonts w:asciiTheme="minorHAnsi" w:hAnsiTheme="minorHAnsi" w:cstheme="minorHAnsi"/>
          <w:sz w:val="26"/>
          <w:szCs w:val="26"/>
        </w:rPr>
        <w:t>.</w:t>
      </w:r>
      <w:r w:rsidRPr="00170A5F">
        <w:rPr>
          <w:rFonts w:asciiTheme="minorHAnsi" w:hAnsiTheme="minorHAnsi" w:cstheme="minorHAnsi"/>
          <w:sz w:val="26"/>
          <w:szCs w:val="26"/>
        </w:rPr>
        <w:t>P</w:t>
      </w:r>
      <w:r w:rsidR="00A64F9C">
        <w:rPr>
          <w:rFonts w:asciiTheme="minorHAnsi" w:hAnsiTheme="minorHAnsi" w:cstheme="minorHAnsi"/>
          <w:sz w:val="26"/>
          <w:szCs w:val="26"/>
        </w:rPr>
        <w:t>.</w:t>
      </w:r>
      <w:r w:rsidRPr="00170A5F">
        <w:rPr>
          <w:rFonts w:asciiTheme="minorHAnsi" w:hAnsiTheme="minorHAnsi" w:cstheme="minorHAnsi"/>
          <w:sz w:val="26"/>
          <w:szCs w:val="26"/>
        </w:rPr>
        <w:t>R</w:t>
      </w:r>
      <w:r w:rsidR="00A64F9C">
        <w:rPr>
          <w:rFonts w:asciiTheme="minorHAnsi" w:hAnsiTheme="minorHAnsi" w:cstheme="minorHAnsi"/>
          <w:sz w:val="26"/>
          <w:szCs w:val="26"/>
        </w:rPr>
        <w:t>.</w:t>
      </w:r>
      <w:r w:rsidRPr="00170A5F">
        <w:rPr>
          <w:rFonts w:asciiTheme="minorHAnsi" w:hAnsiTheme="minorHAnsi" w:cstheme="minorHAnsi"/>
          <w:sz w:val="26"/>
          <w:szCs w:val="26"/>
        </w:rPr>
        <w:t>).</w:t>
      </w:r>
    </w:p>
    <w:p w14:paraId="67F2A28C" w14:textId="77777777" w:rsidR="00170A5F" w:rsidRPr="00170A5F" w:rsidRDefault="00170A5F" w:rsidP="009E3AD8">
      <w:pPr>
        <w:spacing w:line="276" w:lineRule="auto"/>
        <w:ind w:firstLine="709"/>
        <w:jc w:val="both"/>
        <w:rPr>
          <w:rFonts w:asciiTheme="minorHAnsi" w:hAnsiTheme="minorHAnsi" w:cstheme="minorHAnsi"/>
          <w:sz w:val="26"/>
          <w:szCs w:val="26"/>
        </w:rPr>
      </w:pPr>
      <w:r w:rsidRPr="00170A5F">
        <w:rPr>
          <w:rFonts w:asciiTheme="minorHAnsi" w:hAnsiTheme="minorHAnsi" w:cstheme="minorHAnsi"/>
          <w:b/>
          <w:sz w:val="26"/>
          <w:szCs w:val="26"/>
        </w:rPr>
        <w:t>C.</w:t>
      </w:r>
      <w:r w:rsidRPr="00170A5F">
        <w:rPr>
          <w:rFonts w:asciiTheme="minorHAnsi" w:hAnsiTheme="minorHAnsi" w:cstheme="minorHAnsi"/>
          <w:sz w:val="26"/>
          <w:szCs w:val="26"/>
        </w:rPr>
        <w:t xml:space="preserve"> Referitor la </w:t>
      </w:r>
      <w:r w:rsidRPr="00170A5F">
        <w:rPr>
          <w:rFonts w:asciiTheme="minorHAnsi" w:hAnsiTheme="minorHAnsi" w:cstheme="minorHAnsi"/>
          <w:b/>
          <w:sz w:val="26"/>
          <w:szCs w:val="26"/>
        </w:rPr>
        <w:t>relaţia Consiliului Superior al Magistraturii cu Preşedintele României</w:t>
      </w:r>
      <w:r w:rsidRPr="00170A5F">
        <w:rPr>
          <w:rFonts w:asciiTheme="minorHAnsi" w:hAnsiTheme="minorHAnsi" w:cstheme="minorHAnsi"/>
          <w:sz w:val="26"/>
          <w:szCs w:val="26"/>
        </w:rPr>
        <w:t>, aceasta s-a circumscris prevederilor art. 134 din Constituţia României, republicată, ale Legii nr. 305/2022 privind Consiliul Superior al Magistraturii şi ale Legii nr. 303/2022 privind statutul judecătorilor şi procurorilor.</w:t>
      </w:r>
    </w:p>
    <w:p w14:paraId="5737D77B" w14:textId="787B804C" w:rsidR="004640CD" w:rsidRDefault="00170A5F" w:rsidP="002F6DF0">
      <w:pPr>
        <w:tabs>
          <w:tab w:val="left" w:pos="5475"/>
        </w:tabs>
        <w:spacing w:line="276" w:lineRule="auto"/>
        <w:ind w:firstLine="720"/>
        <w:jc w:val="both"/>
        <w:rPr>
          <w:rFonts w:asciiTheme="minorHAnsi" w:hAnsiTheme="minorHAnsi" w:cstheme="minorHAnsi"/>
          <w:sz w:val="26"/>
          <w:szCs w:val="26"/>
        </w:rPr>
      </w:pPr>
      <w:r w:rsidRPr="00170A5F">
        <w:rPr>
          <w:rFonts w:asciiTheme="minorHAnsi" w:hAnsiTheme="minorHAnsi" w:cstheme="minorHAnsi"/>
          <w:sz w:val="26"/>
          <w:szCs w:val="26"/>
        </w:rPr>
        <w:t>Astfel, au fost înaintate Președintelui României hotărârile Secțiilor Consiliului Superior al Magistraturii privind propunerile de numire şi eliberare în şi din funcțiile de execuție de judecător şi procuror.</w:t>
      </w:r>
    </w:p>
    <w:p w14:paraId="38EEAFC6" w14:textId="77777777" w:rsidR="004640CD" w:rsidRDefault="004640CD" w:rsidP="00EB47E6">
      <w:pPr>
        <w:tabs>
          <w:tab w:val="left" w:pos="5475"/>
        </w:tabs>
        <w:spacing w:line="276" w:lineRule="auto"/>
        <w:ind w:firstLine="720"/>
        <w:jc w:val="both"/>
        <w:rPr>
          <w:rFonts w:asciiTheme="minorHAnsi" w:hAnsiTheme="minorHAnsi" w:cstheme="minorHAnsi"/>
          <w:sz w:val="26"/>
          <w:szCs w:val="26"/>
        </w:rPr>
      </w:pPr>
    </w:p>
    <w:p w14:paraId="71976EB9" w14:textId="77777777" w:rsidR="00C4692F" w:rsidRPr="004A3440" w:rsidRDefault="00C4692F" w:rsidP="009E3AD8">
      <w:pPr>
        <w:tabs>
          <w:tab w:val="left" w:pos="5475"/>
        </w:tabs>
        <w:spacing w:line="276" w:lineRule="auto"/>
        <w:ind w:firstLine="720"/>
        <w:jc w:val="both"/>
        <w:rPr>
          <w:rFonts w:asciiTheme="minorHAnsi" w:hAnsiTheme="minorHAnsi" w:cstheme="minorHAnsi"/>
          <w:b/>
          <w:bCs/>
          <w:sz w:val="26"/>
          <w:szCs w:val="26"/>
        </w:rPr>
      </w:pPr>
      <w:bookmarkStart w:id="64" w:name="_Toc155267880"/>
      <w:r w:rsidRPr="004A3440">
        <w:rPr>
          <w:rFonts w:asciiTheme="minorHAnsi" w:hAnsiTheme="minorHAnsi" w:cstheme="minorHAnsi"/>
          <w:b/>
          <w:bCs/>
          <w:sz w:val="26"/>
          <w:szCs w:val="26"/>
        </w:rPr>
        <w:t>Relația cu celelalte profesii juridice</w:t>
      </w:r>
      <w:bookmarkEnd w:id="64"/>
    </w:p>
    <w:p w14:paraId="597F9B1A" w14:textId="77777777" w:rsidR="00C4692F" w:rsidRPr="00D8047C" w:rsidRDefault="00C4692F" w:rsidP="009E3AD8">
      <w:pPr>
        <w:spacing w:line="276" w:lineRule="auto"/>
        <w:ind w:firstLine="720"/>
        <w:jc w:val="both"/>
        <w:rPr>
          <w:rFonts w:asciiTheme="minorHAnsi" w:hAnsiTheme="minorHAnsi" w:cstheme="minorHAnsi"/>
          <w:sz w:val="26"/>
          <w:szCs w:val="26"/>
        </w:rPr>
      </w:pPr>
      <w:r w:rsidRPr="004A3440">
        <w:rPr>
          <w:rFonts w:asciiTheme="minorHAnsi" w:hAnsiTheme="minorHAnsi" w:cstheme="minorHAnsi"/>
          <w:sz w:val="26"/>
          <w:szCs w:val="26"/>
        </w:rPr>
        <w:t>În cursul anului 202</w:t>
      </w:r>
      <w:r>
        <w:rPr>
          <w:rFonts w:asciiTheme="minorHAnsi" w:hAnsiTheme="minorHAnsi" w:cstheme="minorHAnsi"/>
          <w:sz w:val="26"/>
          <w:szCs w:val="26"/>
        </w:rPr>
        <w:t>5</w:t>
      </w:r>
      <w:r w:rsidRPr="004A3440">
        <w:rPr>
          <w:rFonts w:asciiTheme="minorHAnsi" w:hAnsiTheme="minorHAnsi" w:cstheme="minorHAnsi"/>
          <w:sz w:val="26"/>
          <w:szCs w:val="26"/>
        </w:rPr>
        <w:t>, în ceea ce privește relația cu celelalte profesii juridice, activitatea Consiliului Superior al Magistraturii a implicat o relaționare mai susținută cu corpul profesional al grefierilor</w:t>
      </w:r>
      <w:r>
        <w:rPr>
          <w:rFonts w:asciiTheme="minorHAnsi" w:hAnsiTheme="minorHAnsi" w:cstheme="minorHAnsi"/>
          <w:sz w:val="26"/>
          <w:szCs w:val="26"/>
        </w:rPr>
        <w:t xml:space="preserve"> și al avocaților.</w:t>
      </w:r>
    </w:p>
    <w:p w14:paraId="0F6E23DE" w14:textId="77777777" w:rsidR="00C4692F" w:rsidRDefault="00C4692F" w:rsidP="009E3AD8">
      <w:pPr>
        <w:tabs>
          <w:tab w:val="left" w:pos="720"/>
        </w:tabs>
        <w:spacing w:line="276" w:lineRule="auto"/>
        <w:jc w:val="both"/>
        <w:rPr>
          <w:rFonts w:asciiTheme="minorHAnsi" w:hAnsiTheme="minorHAnsi" w:cstheme="minorHAnsi"/>
          <w:noProof/>
          <w:sz w:val="26"/>
          <w:szCs w:val="26"/>
        </w:rPr>
      </w:pPr>
      <w:r>
        <w:rPr>
          <w:rFonts w:asciiTheme="minorHAnsi" w:hAnsiTheme="minorHAnsi" w:cstheme="minorHAnsi"/>
          <w:noProof/>
          <w:sz w:val="26"/>
          <w:szCs w:val="26"/>
        </w:rPr>
        <w:tab/>
        <w:t>În luna martie 2025, Consiliu a fost reprezentat la conferinţa cu tema „Continuarea demersului legislativ pentru adoptatea unui nou statut al profesiei de grefier, în contextul modernizării sistemului judiciar şi impactului asupra justiţiei”, la care au participat reprezentanţi ai sistemului judiciar, ai societăţii civile şi ai puterii legislative.</w:t>
      </w:r>
    </w:p>
    <w:p w14:paraId="5877C9B3" w14:textId="07C8ADA5" w:rsidR="00C4692F" w:rsidRDefault="00C4692F" w:rsidP="006B572D">
      <w:pPr>
        <w:tabs>
          <w:tab w:val="left" w:pos="720"/>
        </w:tabs>
        <w:spacing w:line="276" w:lineRule="auto"/>
        <w:jc w:val="both"/>
        <w:rPr>
          <w:rFonts w:asciiTheme="minorHAnsi" w:hAnsiTheme="minorHAnsi" w:cstheme="minorHAnsi"/>
          <w:noProof/>
          <w:sz w:val="26"/>
          <w:szCs w:val="26"/>
        </w:rPr>
      </w:pPr>
      <w:r>
        <w:rPr>
          <w:rFonts w:asciiTheme="minorHAnsi" w:hAnsiTheme="minorHAnsi" w:cstheme="minorHAnsi"/>
          <w:noProof/>
          <w:sz w:val="26"/>
          <w:szCs w:val="26"/>
        </w:rPr>
        <w:tab/>
        <w:t>Tot în luna martie 2025, C</w:t>
      </w:r>
      <w:r w:rsidR="006B572D">
        <w:rPr>
          <w:rFonts w:asciiTheme="minorHAnsi" w:hAnsiTheme="minorHAnsi" w:cstheme="minorHAnsi"/>
          <w:noProof/>
          <w:sz w:val="26"/>
          <w:szCs w:val="26"/>
        </w:rPr>
        <w:t xml:space="preserve">.S.M. </w:t>
      </w:r>
      <w:r>
        <w:rPr>
          <w:rFonts w:asciiTheme="minorHAnsi" w:hAnsiTheme="minorHAnsi" w:cstheme="minorHAnsi"/>
          <w:noProof/>
          <w:sz w:val="26"/>
          <w:szCs w:val="26"/>
        </w:rPr>
        <w:t xml:space="preserve">a fost reprezentat în cadrul Conferinţei „Apărarea avocaturii la frontiera digitală” organizată de </w:t>
      </w:r>
      <w:r w:rsidR="006B572D" w:rsidRPr="00994C72">
        <w:rPr>
          <w:rFonts w:asciiTheme="minorHAnsi" w:hAnsiTheme="minorHAnsi" w:cstheme="minorHAnsi"/>
          <w:noProof/>
          <w:sz w:val="26"/>
          <w:szCs w:val="26"/>
        </w:rPr>
        <w:t>U</w:t>
      </w:r>
      <w:r w:rsidR="006B572D">
        <w:rPr>
          <w:rFonts w:asciiTheme="minorHAnsi" w:hAnsiTheme="minorHAnsi" w:cstheme="minorHAnsi"/>
          <w:noProof/>
          <w:sz w:val="26"/>
          <w:szCs w:val="26"/>
        </w:rPr>
        <w:t>.</w:t>
      </w:r>
      <w:r w:rsidR="006B572D" w:rsidRPr="00994C72">
        <w:rPr>
          <w:rFonts w:asciiTheme="minorHAnsi" w:hAnsiTheme="minorHAnsi" w:cstheme="minorHAnsi"/>
          <w:noProof/>
          <w:sz w:val="26"/>
          <w:szCs w:val="26"/>
        </w:rPr>
        <w:t>N</w:t>
      </w:r>
      <w:r w:rsidR="006B572D">
        <w:rPr>
          <w:rFonts w:asciiTheme="minorHAnsi" w:hAnsiTheme="minorHAnsi" w:cstheme="minorHAnsi"/>
          <w:noProof/>
          <w:sz w:val="26"/>
          <w:szCs w:val="26"/>
        </w:rPr>
        <w:t>.</w:t>
      </w:r>
      <w:r w:rsidR="006B572D" w:rsidRPr="00994C72">
        <w:rPr>
          <w:rFonts w:asciiTheme="minorHAnsi" w:hAnsiTheme="minorHAnsi" w:cstheme="minorHAnsi"/>
          <w:noProof/>
          <w:sz w:val="26"/>
          <w:szCs w:val="26"/>
        </w:rPr>
        <w:t>B</w:t>
      </w:r>
      <w:r w:rsidR="006B572D">
        <w:rPr>
          <w:rFonts w:asciiTheme="minorHAnsi" w:hAnsiTheme="minorHAnsi" w:cstheme="minorHAnsi"/>
          <w:noProof/>
          <w:sz w:val="26"/>
          <w:szCs w:val="26"/>
        </w:rPr>
        <w:t>.</w:t>
      </w:r>
      <w:r w:rsidR="006B572D" w:rsidRPr="00994C72">
        <w:rPr>
          <w:rFonts w:asciiTheme="minorHAnsi" w:hAnsiTheme="minorHAnsi" w:cstheme="minorHAnsi"/>
          <w:noProof/>
          <w:sz w:val="26"/>
          <w:szCs w:val="26"/>
        </w:rPr>
        <w:t>R</w:t>
      </w:r>
      <w:r w:rsidR="006B572D">
        <w:rPr>
          <w:rFonts w:asciiTheme="minorHAnsi" w:hAnsiTheme="minorHAnsi" w:cstheme="minorHAnsi"/>
          <w:noProof/>
          <w:sz w:val="26"/>
          <w:szCs w:val="26"/>
        </w:rPr>
        <w:t>.</w:t>
      </w:r>
      <w:r>
        <w:rPr>
          <w:rFonts w:asciiTheme="minorHAnsi" w:hAnsiTheme="minorHAnsi" w:cstheme="minorHAnsi"/>
          <w:noProof/>
          <w:sz w:val="26"/>
          <w:szCs w:val="26"/>
        </w:rPr>
        <w:t>.</w:t>
      </w:r>
      <w:r w:rsidR="006B572D">
        <w:rPr>
          <w:rFonts w:asciiTheme="minorHAnsi" w:hAnsiTheme="minorHAnsi" w:cstheme="minorHAnsi"/>
          <w:noProof/>
          <w:sz w:val="26"/>
          <w:szCs w:val="26"/>
        </w:rPr>
        <w:t xml:space="preserve"> </w:t>
      </w:r>
      <w:r w:rsidRPr="00994C72">
        <w:rPr>
          <w:rFonts w:asciiTheme="minorHAnsi" w:hAnsiTheme="minorHAnsi" w:cstheme="minorHAnsi"/>
          <w:noProof/>
          <w:sz w:val="26"/>
          <w:szCs w:val="26"/>
        </w:rPr>
        <w:t>Agenda evenimentului a inclus teme de discuţii în mai multe paneluri succesive, referitoare la mijloacele de combatere a avocaturii ilegale în mediul online şi apărarea profesiei de avocat împotriva practicilor avocaturii clandestine, proliferarea avocaturii ilegale – de la cazuri izolate la reţele organizate, obţinerea de către U</w:t>
      </w:r>
      <w:r w:rsidR="00123E94">
        <w:rPr>
          <w:rFonts w:asciiTheme="minorHAnsi" w:hAnsiTheme="minorHAnsi" w:cstheme="minorHAnsi"/>
          <w:noProof/>
          <w:sz w:val="26"/>
          <w:szCs w:val="26"/>
        </w:rPr>
        <w:t>.</w:t>
      </w:r>
      <w:r w:rsidRPr="00994C72">
        <w:rPr>
          <w:rFonts w:asciiTheme="minorHAnsi" w:hAnsiTheme="minorHAnsi" w:cstheme="minorHAnsi"/>
          <w:noProof/>
          <w:sz w:val="26"/>
          <w:szCs w:val="26"/>
        </w:rPr>
        <w:t>N</w:t>
      </w:r>
      <w:r w:rsidR="00123E94">
        <w:rPr>
          <w:rFonts w:asciiTheme="minorHAnsi" w:hAnsiTheme="minorHAnsi" w:cstheme="minorHAnsi"/>
          <w:noProof/>
          <w:sz w:val="26"/>
          <w:szCs w:val="26"/>
        </w:rPr>
        <w:t>.</w:t>
      </w:r>
      <w:r w:rsidRPr="00994C72">
        <w:rPr>
          <w:rFonts w:asciiTheme="minorHAnsi" w:hAnsiTheme="minorHAnsi" w:cstheme="minorHAnsi"/>
          <w:noProof/>
          <w:sz w:val="26"/>
          <w:szCs w:val="26"/>
        </w:rPr>
        <w:t>B</w:t>
      </w:r>
      <w:r w:rsidR="00123E94">
        <w:rPr>
          <w:rFonts w:asciiTheme="minorHAnsi" w:hAnsiTheme="minorHAnsi" w:cstheme="minorHAnsi"/>
          <w:noProof/>
          <w:sz w:val="26"/>
          <w:szCs w:val="26"/>
        </w:rPr>
        <w:t>.</w:t>
      </w:r>
      <w:r w:rsidRPr="00994C72">
        <w:rPr>
          <w:rFonts w:asciiTheme="minorHAnsi" w:hAnsiTheme="minorHAnsi" w:cstheme="minorHAnsi"/>
          <w:noProof/>
          <w:sz w:val="26"/>
          <w:szCs w:val="26"/>
        </w:rPr>
        <w:t>R</w:t>
      </w:r>
      <w:r w:rsidR="00123E94">
        <w:rPr>
          <w:rFonts w:asciiTheme="minorHAnsi" w:hAnsiTheme="minorHAnsi" w:cstheme="minorHAnsi"/>
          <w:noProof/>
          <w:sz w:val="26"/>
          <w:szCs w:val="26"/>
        </w:rPr>
        <w:t>.</w:t>
      </w:r>
      <w:r w:rsidRPr="00994C72">
        <w:rPr>
          <w:rFonts w:asciiTheme="minorHAnsi" w:hAnsiTheme="minorHAnsi" w:cstheme="minorHAnsi"/>
          <w:noProof/>
          <w:sz w:val="26"/>
          <w:szCs w:val="26"/>
        </w:rPr>
        <w:t xml:space="preserve"> a statutului de notificator de încredere şi clarificarea noţiunii de avocatură ilegală de către Uniune, instrumente de raportare a avocaturii ilegale, ameninţări recente şi tipuri de atacuri cibernetice, securizarea infrastructurii IT, precum şi vulnerabilităţi specifice profesiei de avocat.</w:t>
      </w:r>
      <w:r>
        <w:rPr>
          <w:rFonts w:asciiTheme="minorHAnsi" w:hAnsiTheme="minorHAnsi" w:cstheme="minorHAnsi"/>
          <w:noProof/>
          <w:sz w:val="26"/>
          <w:szCs w:val="26"/>
        </w:rPr>
        <w:t xml:space="preserve"> </w:t>
      </w:r>
    </w:p>
    <w:p w14:paraId="3B7FA191" w14:textId="6F69BAB1" w:rsidR="00C4692F" w:rsidRDefault="00C4692F" w:rsidP="006B572D">
      <w:pPr>
        <w:tabs>
          <w:tab w:val="left" w:pos="720"/>
        </w:tabs>
        <w:spacing w:line="276" w:lineRule="auto"/>
        <w:jc w:val="both"/>
        <w:rPr>
          <w:rFonts w:asciiTheme="minorHAnsi" w:hAnsiTheme="minorHAnsi" w:cstheme="minorHAnsi"/>
          <w:noProof/>
          <w:sz w:val="26"/>
          <w:szCs w:val="26"/>
        </w:rPr>
      </w:pPr>
      <w:r>
        <w:rPr>
          <w:rFonts w:asciiTheme="minorHAnsi" w:hAnsiTheme="minorHAnsi" w:cstheme="minorHAnsi"/>
          <w:noProof/>
          <w:sz w:val="26"/>
          <w:szCs w:val="26"/>
        </w:rPr>
        <w:tab/>
        <w:t xml:space="preserve">De asemenea, în cadrul Protocolului naţional privind Educaţia juridică în care Consiliul Superior al Magistraturii este parte, a fost organizat prin intermediul </w:t>
      </w:r>
      <w:r w:rsidR="006B572D">
        <w:rPr>
          <w:rFonts w:asciiTheme="minorHAnsi" w:hAnsiTheme="minorHAnsi" w:cstheme="minorHAnsi"/>
          <w:noProof/>
          <w:sz w:val="26"/>
          <w:szCs w:val="26"/>
        </w:rPr>
        <w:t>Consiliului</w:t>
      </w:r>
      <w:r>
        <w:rPr>
          <w:rFonts w:asciiTheme="minorHAnsi" w:hAnsiTheme="minorHAnsi" w:cstheme="minorHAnsi"/>
          <w:noProof/>
          <w:sz w:val="26"/>
          <w:szCs w:val="26"/>
        </w:rPr>
        <w:t xml:space="preserve"> un Atelier de Educaţie juridică găzduit de Institutul Naţional al Magistraturii la data de </w:t>
      </w:r>
      <w:r w:rsidR="00123E94">
        <w:rPr>
          <w:rFonts w:asciiTheme="minorHAnsi" w:hAnsiTheme="minorHAnsi" w:cstheme="minorHAnsi"/>
          <w:noProof/>
          <w:sz w:val="26"/>
          <w:szCs w:val="26"/>
        </w:rPr>
        <w:t>0</w:t>
      </w:r>
      <w:r>
        <w:rPr>
          <w:rFonts w:asciiTheme="minorHAnsi" w:hAnsiTheme="minorHAnsi" w:cstheme="minorHAnsi"/>
          <w:noProof/>
          <w:sz w:val="26"/>
          <w:szCs w:val="26"/>
        </w:rPr>
        <w:t>3 iunie 2025.</w:t>
      </w:r>
      <w:r w:rsidR="006B572D">
        <w:rPr>
          <w:rFonts w:asciiTheme="minorHAnsi" w:hAnsiTheme="minorHAnsi" w:cstheme="minorHAnsi"/>
          <w:noProof/>
          <w:sz w:val="26"/>
          <w:szCs w:val="26"/>
        </w:rPr>
        <w:t xml:space="preserve"> </w:t>
      </w:r>
      <w:r>
        <w:rPr>
          <w:rFonts w:asciiTheme="minorHAnsi" w:hAnsiTheme="minorHAnsi" w:cstheme="minorHAnsi"/>
          <w:noProof/>
          <w:sz w:val="26"/>
          <w:szCs w:val="26"/>
        </w:rPr>
        <w:t xml:space="preserve">Participarea a fost deschisă tuturor profesiilor juridice, fizic sau online, fiind adresată o invitaţie publică în acest sens de către Consiliu, iar din echipa de speakeri au făcut parte judecători, procurori, avocaţi şi consilieri juridici. </w:t>
      </w:r>
    </w:p>
    <w:p w14:paraId="2A660FA5" w14:textId="2A3129BC" w:rsidR="00C4692F" w:rsidRDefault="00C4692F" w:rsidP="009E3AD8">
      <w:pPr>
        <w:tabs>
          <w:tab w:val="left" w:pos="851"/>
        </w:tabs>
        <w:spacing w:line="276" w:lineRule="auto"/>
        <w:jc w:val="both"/>
        <w:rPr>
          <w:rFonts w:asciiTheme="minorHAnsi" w:hAnsiTheme="minorHAnsi" w:cstheme="minorHAnsi"/>
          <w:noProof/>
          <w:sz w:val="26"/>
          <w:szCs w:val="26"/>
        </w:rPr>
      </w:pPr>
      <w:r>
        <w:rPr>
          <w:rFonts w:asciiTheme="minorHAnsi" w:hAnsiTheme="minorHAnsi" w:cstheme="minorHAnsi"/>
          <w:noProof/>
          <w:sz w:val="26"/>
          <w:szCs w:val="26"/>
        </w:rPr>
        <w:tab/>
        <w:t xml:space="preserve">De asemenea, tot în cursul anului 2025, Consiliul a fost reprezentat în cadrul unui eveniment găzduit de Tribunalul Braşov care a prezentat rezultatele parţiale ale unui proiect derulat în premieră de către instanţele judecătoreşti, sub titulatura „Avocatul de serviciu”. În cadrul proiectului, avocaţi voluntari oferă în mod gratuit indicaţii justiţiabililor neasistaţi de </w:t>
      </w:r>
      <w:r>
        <w:rPr>
          <w:rFonts w:asciiTheme="minorHAnsi" w:hAnsiTheme="minorHAnsi" w:cstheme="minorHAnsi"/>
          <w:noProof/>
          <w:sz w:val="26"/>
          <w:szCs w:val="26"/>
        </w:rPr>
        <w:lastRenderedPageBreak/>
        <w:t>apărător, în cadrul incintei instanţei, prin colaborarea dintre Baroul Braşov</w:t>
      </w:r>
      <w:r w:rsidR="006B572D">
        <w:rPr>
          <w:rFonts w:asciiTheme="minorHAnsi" w:hAnsiTheme="minorHAnsi" w:cstheme="minorHAnsi"/>
          <w:noProof/>
          <w:sz w:val="26"/>
          <w:szCs w:val="26"/>
        </w:rPr>
        <w:t xml:space="preserve">, </w:t>
      </w:r>
      <w:r>
        <w:rPr>
          <w:rFonts w:asciiTheme="minorHAnsi" w:hAnsiTheme="minorHAnsi" w:cstheme="minorHAnsi"/>
          <w:noProof/>
          <w:sz w:val="26"/>
          <w:szCs w:val="26"/>
        </w:rPr>
        <w:t xml:space="preserve">Tribunalul Braşov, Tribunalul pentru Minori şi Familie Braşov şi Judecătoria Braşov. </w:t>
      </w:r>
    </w:p>
    <w:p w14:paraId="2872E9DC" w14:textId="77777777" w:rsidR="00C4692F" w:rsidRDefault="00C4692F" w:rsidP="009E3AD8">
      <w:pPr>
        <w:tabs>
          <w:tab w:val="left" w:pos="851"/>
        </w:tabs>
        <w:spacing w:line="276" w:lineRule="auto"/>
        <w:jc w:val="both"/>
        <w:rPr>
          <w:rFonts w:asciiTheme="minorHAnsi" w:hAnsiTheme="minorHAnsi" w:cstheme="minorHAnsi"/>
          <w:noProof/>
          <w:sz w:val="26"/>
          <w:szCs w:val="26"/>
        </w:rPr>
      </w:pPr>
      <w:r>
        <w:rPr>
          <w:rFonts w:asciiTheme="minorHAnsi" w:hAnsiTheme="minorHAnsi" w:cstheme="minorHAnsi"/>
          <w:noProof/>
          <w:sz w:val="26"/>
          <w:szCs w:val="26"/>
        </w:rPr>
        <w:tab/>
        <w:t>Evenimentul s-a bucurat de un real succes, fiind mediatizat şi în format televizat, şi reprezintă o sursă de inspiraţie şi pentru alte instanţe judecătoreşti din ţară pentru o colaborare cu corpul avocaţilor în aceleaşi coordonate, pentru a asigura cetăţenilor un acces sporit la justiţie prin utilizarea mai facilă a compartimentelor administrative ale instanţelor judecătoreşti.</w:t>
      </w:r>
    </w:p>
    <w:p w14:paraId="5B826A3F" w14:textId="23FB0A13" w:rsidR="00C4692F" w:rsidRPr="00422F28" w:rsidRDefault="00C4692F" w:rsidP="009E3AD8">
      <w:pPr>
        <w:tabs>
          <w:tab w:val="left" w:pos="851"/>
        </w:tabs>
        <w:spacing w:line="276" w:lineRule="auto"/>
        <w:jc w:val="both"/>
        <w:rPr>
          <w:rFonts w:asciiTheme="minorHAnsi" w:hAnsiTheme="minorHAnsi" w:cstheme="minorHAnsi"/>
          <w:noProof/>
          <w:sz w:val="26"/>
          <w:szCs w:val="26"/>
        </w:rPr>
      </w:pPr>
      <w:r>
        <w:rPr>
          <w:rFonts w:asciiTheme="minorHAnsi" w:hAnsiTheme="minorHAnsi" w:cstheme="minorHAnsi"/>
          <w:noProof/>
          <w:sz w:val="26"/>
          <w:szCs w:val="26"/>
        </w:rPr>
        <w:tab/>
        <w:t xml:space="preserve">În contextul unor propuneri de modificări legislative referitoare la profesia de avocat, Consiliul a emis public un comunicat de presă la data de 22 august 2025 de susţinere a corpului profesional al avocaţilor în calitate de parteneri esenţiali ai actului de justiţie, acesta fiind publicat pe site-ul CSM. </w:t>
      </w:r>
    </w:p>
    <w:p w14:paraId="3532DE1C" w14:textId="4CBD4401" w:rsidR="00C4692F" w:rsidRPr="00CE64C0" w:rsidRDefault="00C4692F" w:rsidP="009E3AD8">
      <w:pPr>
        <w:tabs>
          <w:tab w:val="left" w:pos="851"/>
        </w:tabs>
        <w:spacing w:line="276" w:lineRule="auto"/>
        <w:jc w:val="both"/>
        <w:rPr>
          <w:rFonts w:asciiTheme="minorHAnsi" w:hAnsiTheme="minorHAnsi" w:cstheme="minorHAnsi"/>
          <w:noProof/>
          <w:sz w:val="26"/>
          <w:szCs w:val="26"/>
        </w:rPr>
      </w:pPr>
      <w:r w:rsidRPr="00CE64C0">
        <w:rPr>
          <w:rFonts w:asciiTheme="minorHAnsi" w:hAnsiTheme="minorHAnsi" w:cstheme="minorHAnsi"/>
          <w:noProof/>
          <w:sz w:val="26"/>
          <w:szCs w:val="26"/>
        </w:rPr>
        <w:t xml:space="preserve">             La data de 14 octombrie 2025 a avut loc la sediul Consiliului o întâlnire de lucru între membrii aleşi, judecători, procurori şi reprezentanţi ai societăţii civile și delegația </w:t>
      </w:r>
      <w:r w:rsidR="006B572D" w:rsidRPr="00994C72">
        <w:rPr>
          <w:rFonts w:asciiTheme="minorHAnsi" w:hAnsiTheme="minorHAnsi" w:cstheme="minorHAnsi"/>
          <w:noProof/>
          <w:sz w:val="26"/>
          <w:szCs w:val="26"/>
        </w:rPr>
        <w:t>U</w:t>
      </w:r>
      <w:r w:rsidR="006B572D">
        <w:rPr>
          <w:rFonts w:asciiTheme="minorHAnsi" w:hAnsiTheme="minorHAnsi" w:cstheme="minorHAnsi"/>
          <w:noProof/>
          <w:sz w:val="26"/>
          <w:szCs w:val="26"/>
        </w:rPr>
        <w:t>.</w:t>
      </w:r>
      <w:r w:rsidR="006B572D" w:rsidRPr="00994C72">
        <w:rPr>
          <w:rFonts w:asciiTheme="minorHAnsi" w:hAnsiTheme="minorHAnsi" w:cstheme="minorHAnsi"/>
          <w:noProof/>
          <w:sz w:val="26"/>
          <w:szCs w:val="26"/>
        </w:rPr>
        <w:t>N</w:t>
      </w:r>
      <w:r w:rsidR="006B572D">
        <w:rPr>
          <w:rFonts w:asciiTheme="minorHAnsi" w:hAnsiTheme="minorHAnsi" w:cstheme="minorHAnsi"/>
          <w:noProof/>
          <w:sz w:val="26"/>
          <w:szCs w:val="26"/>
        </w:rPr>
        <w:t>.</w:t>
      </w:r>
      <w:r w:rsidR="006B572D" w:rsidRPr="00994C72">
        <w:rPr>
          <w:rFonts w:asciiTheme="minorHAnsi" w:hAnsiTheme="minorHAnsi" w:cstheme="minorHAnsi"/>
          <w:noProof/>
          <w:sz w:val="26"/>
          <w:szCs w:val="26"/>
        </w:rPr>
        <w:t>B</w:t>
      </w:r>
      <w:r w:rsidR="006B572D">
        <w:rPr>
          <w:rFonts w:asciiTheme="minorHAnsi" w:hAnsiTheme="minorHAnsi" w:cstheme="minorHAnsi"/>
          <w:noProof/>
          <w:sz w:val="26"/>
          <w:szCs w:val="26"/>
        </w:rPr>
        <w:t>.</w:t>
      </w:r>
      <w:r w:rsidR="006B572D" w:rsidRPr="00994C72">
        <w:rPr>
          <w:rFonts w:asciiTheme="minorHAnsi" w:hAnsiTheme="minorHAnsi" w:cstheme="minorHAnsi"/>
          <w:noProof/>
          <w:sz w:val="26"/>
          <w:szCs w:val="26"/>
        </w:rPr>
        <w:t>R</w:t>
      </w:r>
      <w:r w:rsidR="006B572D">
        <w:rPr>
          <w:rFonts w:asciiTheme="minorHAnsi" w:hAnsiTheme="minorHAnsi" w:cstheme="minorHAnsi"/>
          <w:noProof/>
          <w:sz w:val="26"/>
          <w:szCs w:val="26"/>
        </w:rPr>
        <w:t>.</w:t>
      </w:r>
      <w:r w:rsidRPr="00CE64C0">
        <w:rPr>
          <w:rFonts w:asciiTheme="minorHAnsi" w:hAnsiTheme="minorHAnsi" w:cstheme="minorHAnsi"/>
          <w:noProof/>
          <w:sz w:val="26"/>
          <w:szCs w:val="26"/>
        </w:rPr>
        <w:t xml:space="preserve">, reprezentată de domnul avocat Traian Briciu, președintele </w:t>
      </w:r>
      <w:r w:rsidR="006B572D" w:rsidRPr="00994C72">
        <w:rPr>
          <w:rFonts w:asciiTheme="minorHAnsi" w:hAnsiTheme="minorHAnsi" w:cstheme="minorHAnsi"/>
          <w:noProof/>
          <w:sz w:val="26"/>
          <w:szCs w:val="26"/>
        </w:rPr>
        <w:t>U</w:t>
      </w:r>
      <w:r w:rsidR="006B572D">
        <w:rPr>
          <w:rFonts w:asciiTheme="minorHAnsi" w:hAnsiTheme="minorHAnsi" w:cstheme="minorHAnsi"/>
          <w:noProof/>
          <w:sz w:val="26"/>
          <w:szCs w:val="26"/>
        </w:rPr>
        <w:t>.</w:t>
      </w:r>
      <w:r w:rsidR="006B572D" w:rsidRPr="00994C72">
        <w:rPr>
          <w:rFonts w:asciiTheme="minorHAnsi" w:hAnsiTheme="minorHAnsi" w:cstheme="minorHAnsi"/>
          <w:noProof/>
          <w:sz w:val="26"/>
          <w:szCs w:val="26"/>
        </w:rPr>
        <w:t>N</w:t>
      </w:r>
      <w:r w:rsidR="006B572D">
        <w:rPr>
          <w:rFonts w:asciiTheme="minorHAnsi" w:hAnsiTheme="minorHAnsi" w:cstheme="minorHAnsi"/>
          <w:noProof/>
          <w:sz w:val="26"/>
          <w:szCs w:val="26"/>
        </w:rPr>
        <w:t>.</w:t>
      </w:r>
      <w:r w:rsidR="006B572D" w:rsidRPr="00994C72">
        <w:rPr>
          <w:rFonts w:asciiTheme="minorHAnsi" w:hAnsiTheme="minorHAnsi" w:cstheme="minorHAnsi"/>
          <w:noProof/>
          <w:sz w:val="26"/>
          <w:szCs w:val="26"/>
        </w:rPr>
        <w:t>B</w:t>
      </w:r>
      <w:r w:rsidR="006B572D">
        <w:rPr>
          <w:rFonts w:asciiTheme="minorHAnsi" w:hAnsiTheme="minorHAnsi" w:cstheme="minorHAnsi"/>
          <w:noProof/>
          <w:sz w:val="26"/>
          <w:szCs w:val="26"/>
        </w:rPr>
        <w:t>.</w:t>
      </w:r>
      <w:r w:rsidR="006B572D" w:rsidRPr="00994C72">
        <w:rPr>
          <w:rFonts w:asciiTheme="minorHAnsi" w:hAnsiTheme="minorHAnsi" w:cstheme="minorHAnsi"/>
          <w:noProof/>
          <w:sz w:val="26"/>
          <w:szCs w:val="26"/>
        </w:rPr>
        <w:t>R</w:t>
      </w:r>
      <w:r w:rsidR="006B572D">
        <w:rPr>
          <w:rFonts w:asciiTheme="minorHAnsi" w:hAnsiTheme="minorHAnsi" w:cstheme="minorHAnsi"/>
          <w:noProof/>
          <w:sz w:val="26"/>
          <w:szCs w:val="26"/>
        </w:rPr>
        <w:t>.,</w:t>
      </w:r>
      <w:r w:rsidRPr="00CE64C0">
        <w:rPr>
          <w:rFonts w:asciiTheme="minorHAnsi" w:hAnsiTheme="minorHAnsi" w:cstheme="minorHAnsi"/>
          <w:noProof/>
          <w:sz w:val="26"/>
          <w:szCs w:val="26"/>
        </w:rPr>
        <w:t xml:space="preserve"> împreună cu vicepreședinți ai Uniunii, membri ai Comisiei Permanente şi decanul Baroului Bucureşti.</w:t>
      </w:r>
    </w:p>
    <w:p w14:paraId="7B7FAF3C" w14:textId="059F2398" w:rsidR="00C4692F" w:rsidRPr="00CE64C0" w:rsidRDefault="00C4692F" w:rsidP="009E3AD8">
      <w:pPr>
        <w:tabs>
          <w:tab w:val="left" w:pos="851"/>
        </w:tabs>
        <w:spacing w:line="276" w:lineRule="auto"/>
        <w:jc w:val="both"/>
        <w:rPr>
          <w:rFonts w:asciiTheme="minorHAnsi" w:hAnsiTheme="minorHAnsi" w:cstheme="minorHAnsi"/>
          <w:noProof/>
          <w:sz w:val="26"/>
          <w:szCs w:val="26"/>
        </w:rPr>
      </w:pPr>
      <w:r>
        <w:rPr>
          <w:rFonts w:asciiTheme="minorHAnsi" w:hAnsiTheme="minorHAnsi" w:cstheme="minorHAnsi"/>
          <w:noProof/>
          <w:sz w:val="26"/>
          <w:szCs w:val="26"/>
        </w:rPr>
        <w:tab/>
      </w:r>
      <w:r w:rsidRPr="00CE64C0">
        <w:rPr>
          <w:rFonts w:asciiTheme="minorHAnsi" w:hAnsiTheme="minorHAnsi" w:cstheme="minorHAnsi"/>
          <w:noProof/>
          <w:sz w:val="26"/>
          <w:szCs w:val="26"/>
        </w:rPr>
        <w:t>Cu caracter de principiu, în cadrul discuţiilor a fost subliniat de către reprezentanţii U</w:t>
      </w:r>
      <w:r w:rsidR="00025DD5">
        <w:rPr>
          <w:rFonts w:asciiTheme="minorHAnsi" w:hAnsiTheme="minorHAnsi" w:cstheme="minorHAnsi"/>
          <w:noProof/>
          <w:sz w:val="26"/>
          <w:szCs w:val="26"/>
        </w:rPr>
        <w:t>.</w:t>
      </w:r>
      <w:r w:rsidRPr="00CE64C0">
        <w:rPr>
          <w:rFonts w:asciiTheme="minorHAnsi" w:hAnsiTheme="minorHAnsi" w:cstheme="minorHAnsi"/>
          <w:noProof/>
          <w:sz w:val="26"/>
          <w:szCs w:val="26"/>
        </w:rPr>
        <w:t>N</w:t>
      </w:r>
      <w:r w:rsidR="00025DD5">
        <w:rPr>
          <w:rFonts w:asciiTheme="minorHAnsi" w:hAnsiTheme="minorHAnsi" w:cstheme="minorHAnsi"/>
          <w:noProof/>
          <w:sz w:val="26"/>
          <w:szCs w:val="26"/>
        </w:rPr>
        <w:t>.</w:t>
      </w:r>
      <w:r w:rsidRPr="00CE64C0">
        <w:rPr>
          <w:rFonts w:asciiTheme="minorHAnsi" w:hAnsiTheme="minorHAnsi" w:cstheme="minorHAnsi"/>
          <w:noProof/>
          <w:sz w:val="26"/>
          <w:szCs w:val="26"/>
        </w:rPr>
        <w:t>B</w:t>
      </w:r>
      <w:r w:rsidR="00025DD5">
        <w:rPr>
          <w:rFonts w:asciiTheme="minorHAnsi" w:hAnsiTheme="minorHAnsi" w:cstheme="minorHAnsi"/>
          <w:noProof/>
          <w:sz w:val="26"/>
          <w:szCs w:val="26"/>
        </w:rPr>
        <w:t>.</w:t>
      </w:r>
      <w:r w:rsidRPr="00CE64C0">
        <w:rPr>
          <w:rFonts w:asciiTheme="minorHAnsi" w:hAnsiTheme="minorHAnsi" w:cstheme="minorHAnsi"/>
          <w:noProof/>
          <w:sz w:val="26"/>
          <w:szCs w:val="26"/>
        </w:rPr>
        <w:t>R</w:t>
      </w:r>
      <w:r w:rsidR="00025DD5">
        <w:rPr>
          <w:rFonts w:asciiTheme="minorHAnsi" w:hAnsiTheme="minorHAnsi" w:cstheme="minorHAnsi"/>
          <w:noProof/>
          <w:sz w:val="26"/>
          <w:szCs w:val="26"/>
        </w:rPr>
        <w:t>.</w:t>
      </w:r>
      <w:r w:rsidRPr="00CE64C0">
        <w:rPr>
          <w:rFonts w:asciiTheme="minorHAnsi" w:hAnsiTheme="minorHAnsi" w:cstheme="minorHAnsi"/>
          <w:noProof/>
          <w:sz w:val="26"/>
          <w:szCs w:val="26"/>
        </w:rPr>
        <w:t>, în acord cu poziţia constantă a Consiliului Superior al Magistraturii, că independenţa justiţiei este esenţială într-o societate democratică întemeiată pe principiile statului de drept, nicio modificare esenţială a statutului magistratului, care să afecteze aceste garanţii de rang constituţional, neputând fi efectuată fără o consultare reală şi prealabilă a puterii judecătoreşti.</w:t>
      </w:r>
    </w:p>
    <w:p w14:paraId="6C637BFF" w14:textId="3F98CC24" w:rsidR="00772E24" w:rsidRDefault="00C4692F" w:rsidP="00772E24">
      <w:pPr>
        <w:tabs>
          <w:tab w:val="left" w:pos="851"/>
        </w:tabs>
        <w:spacing w:line="276" w:lineRule="auto"/>
        <w:jc w:val="both"/>
        <w:rPr>
          <w:rFonts w:asciiTheme="minorHAnsi" w:hAnsiTheme="minorHAnsi" w:cstheme="minorHAnsi"/>
          <w:noProof/>
          <w:sz w:val="26"/>
          <w:szCs w:val="26"/>
        </w:rPr>
      </w:pPr>
      <w:r>
        <w:rPr>
          <w:rFonts w:asciiTheme="minorHAnsi" w:hAnsiTheme="minorHAnsi" w:cstheme="minorHAnsi"/>
          <w:noProof/>
          <w:sz w:val="26"/>
          <w:szCs w:val="26"/>
        </w:rPr>
        <w:tab/>
      </w:r>
      <w:r w:rsidRPr="00CE64C0">
        <w:rPr>
          <w:rFonts w:asciiTheme="minorHAnsi" w:hAnsiTheme="minorHAnsi" w:cstheme="minorHAnsi"/>
          <w:noProof/>
          <w:sz w:val="26"/>
          <w:szCs w:val="26"/>
        </w:rPr>
        <w:t>La rândul său, Consiliul şi-a manifestat deschiderea spre dialog, astfel cum s-a subliniat în mod constant și în comunicările publice formulate în cursul anului, în vederea identificării celor mai eficiente soluţii în desfășurarea procedurilor judiciare, pentru a garanta accesul la justiţie în toate componentele sale, cu asigurarea tuturor condiţiilor pentru îndeplinirea unui act de justiţie de calitate de către magistraţi.</w:t>
      </w:r>
    </w:p>
    <w:p w14:paraId="72A795B5" w14:textId="77777777" w:rsidR="007A5210" w:rsidRPr="002F6DF0" w:rsidRDefault="007A5210" w:rsidP="007A5210">
      <w:pPr>
        <w:tabs>
          <w:tab w:val="left" w:pos="851"/>
        </w:tabs>
        <w:spacing w:line="276" w:lineRule="auto"/>
        <w:jc w:val="both"/>
        <w:rPr>
          <w:rFonts w:asciiTheme="minorHAnsi" w:hAnsiTheme="minorHAnsi" w:cstheme="minorHAnsi"/>
          <w:noProof/>
          <w:sz w:val="26"/>
          <w:szCs w:val="26"/>
        </w:rPr>
      </w:pPr>
      <w:r>
        <w:rPr>
          <w:rFonts w:asciiTheme="minorHAnsi" w:hAnsiTheme="minorHAnsi" w:cstheme="minorHAnsi"/>
          <w:noProof/>
          <w:sz w:val="26"/>
          <w:szCs w:val="26"/>
        </w:rPr>
        <w:tab/>
      </w:r>
      <w:r w:rsidRPr="002F6DF0">
        <w:rPr>
          <w:rFonts w:asciiTheme="minorHAnsi" w:hAnsiTheme="minorHAnsi" w:cstheme="minorHAnsi"/>
          <w:noProof/>
          <w:sz w:val="26"/>
          <w:szCs w:val="26"/>
        </w:rPr>
        <w:t>La data de 15 octombrie 2025, Uniunea Națională a Barourilor din România (UNBR) a inițiat, în parteneriat cu Comisia juridică a Senatului României, prima dezbatere parlamentară dedicată Pactului pentru Justiție – responsabilitate comună pentru o justiție funcțională.</w:t>
      </w:r>
    </w:p>
    <w:p w14:paraId="64032955" w14:textId="77777777" w:rsidR="007A5210" w:rsidRPr="002F6DF0" w:rsidRDefault="007A5210" w:rsidP="007A5210">
      <w:pPr>
        <w:tabs>
          <w:tab w:val="left" w:pos="851"/>
        </w:tabs>
        <w:spacing w:line="276" w:lineRule="auto"/>
        <w:jc w:val="both"/>
        <w:rPr>
          <w:rFonts w:asciiTheme="minorHAnsi" w:hAnsiTheme="minorHAnsi" w:cstheme="minorHAnsi"/>
          <w:noProof/>
          <w:sz w:val="26"/>
          <w:szCs w:val="26"/>
        </w:rPr>
      </w:pPr>
      <w:r w:rsidRPr="002F6DF0">
        <w:rPr>
          <w:rFonts w:asciiTheme="minorHAnsi" w:hAnsiTheme="minorHAnsi" w:cstheme="minorHAnsi"/>
          <w:noProof/>
          <w:sz w:val="26"/>
          <w:szCs w:val="26"/>
        </w:rPr>
        <w:tab/>
        <w:t xml:space="preserve">Evenimentul a reunit reprezentanți ai celor trei puteri în stat și ai principalelor profesii juridice, într-un dialog privind soluțiile strategice pentru problemele cronice din sistemul judiciar, iar Consiliul Superior al Magistraturii a fost reprezentant de membrii aleşi reprezentanţi ai societăţii civile. </w:t>
      </w:r>
    </w:p>
    <w:p w14:paraId="5C0CF2B5" w14:textId="68559857" w:rsidR="007A5210" w:rsidRPr="002F6DF0" w:rsidRDefault="007A5210" w:rsidP="007A5210">
      <w:pPr>
        <w:tabs>
          <w:tab w:val="left" w:pos="851"/>
        </w:tabs>
        <w:spacing w:line="276" w:lineRule="auto"/>
        <w:jc w:val="both"/>
        <w:rPr>
          <w:rFonts w:asciiTheme="minorHAnsi" w:hAnsiTheme="minorHAnsi" w:cstheme="minorHAnsi"/>
          <w:noProof/>
          <w:sz w:val="26"/>
          <w:szCs w:val="26"/>
        </w:rPr>
      </w:pPr>
      <w:r w:rsidRPr="002F6DF0">
        <w:rPr>
          <w:rFonts w:asciiTheme="minorHAnsi" w:hAnsiTheme="minorHAnsi" w:cstheme="minorHAnsi"/>
          <w:noProof/>
          <w:sz w:val="26"/>
          <w:szCs w:val="26"/>
        </w:rPr>
        <w:tab/>
        <w:t>Mesajul de deschidere al CSM a fost unul către dialog loial între puterile statului și profesiile juridice, cei doi membri aleşi reprezentanţi ai societăţii civile subliniind că Pactul pentru Justiție reprezintă o platformă potrivită pentru reafirmarea valorilor constituționale care stau la baza statului de drept și pentru consolidarea cooperării loiale între toate instituțiile implicate în actul de justiție.</w:t>
      </w:r>
    </w:p>
    <w:p w14:paraId="50A38A93" w14:textId="77777777" w:rsidR="007A5210" w:rsidRPr="002F6DF0" w:rsidRDefault="007A5210" w:rsidP="007A5210">
      <w:pPr>
        <w:tabs>
          <w:tab w:val="left" w:pos="851"/>
        </w:tabs>
        <w:spacing w:line="276" w:lineRule="auto"/>
        <w:jc w:val="both"/>
        <w:rPr>
          <w:rFonts w:asciiTheme="minorHAnsi" w:hAnsiTheme="minorHAnsi" w:cstheme="minorHAnsi"/>
          <w:noProof/>
          <w:sz w:val="26"/>
          <w:szCs w:val="26"/>
          <w:lang w:val="fr-FR"/>
        </w:rPr>
      </w:pPr>
      <w:r w:rsidRPr="002F6DF0">
        <w:rPr>
          <w:rFonts w:asciiTheme="minorHAnsi" w:hAnsiTheme="minorHAnsi" w:cstheme="minorHAnsi"/>
          <w:noProof/>
          <w:sz w:val="26"/>
          <w:szCs w:val="26"/>
        </w:rPr>
        <w:tab/>
      </w:r>
      <w:r w:rsidRPr="002F6DF0">
        <w:rPr>
          <w:rFonts w:asciiTheme="minorHAnsi" w:hAnsiTheme="minorHAnsi" w:cstheme="minorHAnsi"/>
          <w:noProof/>
          <w:sz w:val="26"/>
          <w:szCs w:val="26"/>
          <w:lang w:val="fr-FR"/>
        </w:rPr>
        <w:t xml:space="preserve">Discuțiile au vizat peste zece categorii de probleme structurale, între care: deficitul de resurse umane, subfinanțarea sistemului, accesul limitat al cetățenilor la justiție, infrastructura deficitară, supraîncărcarea instanțelor, durata excesivă a proceselor etc. </w:t>
      </w:r>
    </w:p>
    <w:p w14:paraId="54286362" w14:textId="260407A7" w:rsidR="007A5210" w:rsidRDefault="007A5210" w:rsidP="007A5210">
      <w:pPr>
        <w:tabs>
          <w:tab w:val="left" w:pos="851"/>
        </w:tabs>
        <w:spacing w:line="276" w:lineRule="auto"/>
        <w:jc w:val="both"/>
        <w:rPr>
          <w:rFonts w:asciiTheme="minorHAnsi" w:hAnsiTheme="minorHAnsi" w:cstheme="minorHAnsi"/>
          <w:noProof/>
          <w:sz w:val="26"/>
          <w:szCs w:val="26"/>
        </w:rPr>
      </w:pPr>
      <w:r w:rsidRPr="002F6DF0">
        <w:rPr>
          <w:rFonts w:asciiTheme="minorHAnsi" w:hAnsiTheme="minorHAnsi" w:cstheme="minorHAnsi"/>
          <w:noProof/>
          <w:sz w:val="26"/>
          <w:szCs w:val="26"/>
          <w:lang w:val="fr-FR"/>
        </w:rPr>
        <w:tab/>
        <w:t>Toţi participanții au subliniat necesitatea unui cadru stabil și predictibil pentru justiție, bazat pe consultarea reală a profesiilor juridice în procesul de elaborare a politicilor publice.</w:t>
      </w:r>
      <w:r w:rsidR="007D16FC">
        <w:rPr>
          <w:rFonts w:asciiTheme="minorHAnsi" w:hAnsiTheme="minorHAnsi" w:cstheme="minorHAnsi"/>
          <w:noProof/>
          <w:sz w:val="26"/>
          <w:szCs w:val="26"/>
        </w:rPr>
        <w:tab/>
      </w:r>
    </w:p>
    <w:p w14:paraId="5BE497BE" w14:textId="77777777" w:rsidR="00295D06" w:rsidRDefault="00295D06" w:rsidP="007A5210">
      <w:pPr>
        <w:tabs>
          <w:tab w:val="left" w:pos="851"/>
        </w:tabs>
        <w:spacing w:line="276" w:lineRule="auto"/>
        <w:jc w:val="both"/>
        <w:rPr>
          <w:rFonts w:asciiTheme="minorHAnsi" w:hAnsiTheme="minorHAnsi" w:cstheme="minorHAnsi"/>
          <w:noProof/>
          <w:sz w:val="26"/>
          <w:szCs w:val="26"/>
        </w:rPr>
      </w:pPr>
    </w:p>
    <w:p w14:paraId="55575528" w14:textId="77777777" w:rsidR="002F6DF0" w:rsidRDefault="002F6DF0" w:rsidP="007A5210">
      <w:pPr>
        <w:tabs>
          <w:tab w:val="left" w:pos="851"/>
        </w:tabs>
        <w:spacing w:line="276" w:lineRule="auto"/>
        <w:jc w:val="both"/>
        <w:rPr>
          <w:rFonts w:asciiTheme="minorHAnsi" w:hAnsiTheme="minorHAnsi" w:cstheme="minorHAnsi"/>
          <w:b/>
          <w:bCs/>
          <w:sz w:val="26"/>
          <w:szCs w:val="26"/>
        </w:rPr>
      </w:pPr>
    </w:p>
    <w:p w14:paraId="3A9CEEDE" w14:textId="287C4896" w:rsidR="00613FCF" w:rsidRPr="000F0D8B" w:rsidRDefault="00613FCF" w:rsidP="009E3AD8">
      <w:pPr>
        <w:spacing w:line="276" w:lineRule="auto"/>
        <w:ind w:firstLine="708"/>
        <w:jc w:val="both"/>
        <w:rPr>
          <w:rFonts w:asciiTheme="minorHAnsi" w:hAnsiTheme="minorHAnsi" w:cstheme="minorHAnsi"/>
          <w:b/>
          <w:bCs/>
          <w:sz w:val="26"/>
          <w:szCs w:val="26"/>
        </w:rPr>
      </w:pPr>
      <w:r w:rsidRPr="000F0D8B">
        <w:rPr>
          <w:rFonts w:asciiTheme="minorHAnsi" w:hAnsiTheme="minorHAnsi" w:cstheme="minorHAnsi"/>
          <w:b/>
          <w:bCs/>
          <w:sz w:val="26"/>
          <w:szCs w:val="26"/>
        </w:rPr>
        <w:lastRenderedPageBreak/>
        <w:t>Educație juridică</w:t>
      </w:r>
    </w:p>
    <w:p w14:paraId="31849430" w14:textId="610988EE" w:rsidR="00613FCF" w:rsidRPr="000F0D8B" w:rsidRDefault="00613FCF" w:rsidP="009E3AD8">
      <w:pPr>
        <w:spacing w:line="276" w:lineRule="auto"/>
        <w:ind w:firstLine="720"/>
        <w:jc w:val="both"/>
        <w:rPr>
          <w:rFonts w:asciiTheme="minorHAnsi" w:hAnsiTheme="minorHAnsi" w:cstheme="minorHAnsi"/>
          <w:sz w:val="26"/>
          <w:szCs w:val="26"/>
        </w:rPr>
      </w:pPr>
      <w:r w:rsidRPr="000F0D8B">
        <w:rPr>
          <w:rFonts w:asciiTheme="minorHAnsi" w:hAnsiTheme="minorHAnsi" w:cstheme="minorHAnsi"/>
          <w:sz w:val="26"/>
          <w:szCs w:val="26"/>
        </w:rPr>
        <w:t>În cursul anului 2025 au fost realizate și tipărite următoarele broșuri: „Raport de activitate 2023”, „Raport de activitate 2024”, „Dreptul în viața de zi cu zi – Grafică și eseuri pe teme juridice ale elevilor și studenților”</w:t>
      </w:r>
      <w:r w:rsidR="00771820" w:rsidRPr="000F0D8B">
        <w:rPr>
          <w:rFonts w:asciiTheme="minorHAnsi" w:hAnsiTheme="minorHAnsi" w:cstheme="minorHAnsi"/>
          <w:sz w:val="26"/>
          <w:szCs w:val="26"/>
        </w:rPr>
        <w:t xml:space="preserve"> și</w:t>
      </w:r>
      <w:r w:rsidRPr="000F0D8B">
        <w:rPr>
          <w:rFonts w:asciiTheme="minorHAnsi" w:hAnsiTheme="minorHAnsi" w:cstheme="minorHAnsi"/>
          <w:sz w:val="26"/>
          <w:szCs w:val="26"/>
        </w:rPr>
        <w:t xml:space="preserve"> „Educație juridică în școli”, acestea fiind publicate și pe site-ul Consiliului Superior al Magistraturii. Totodată, Secția pentru judecători din cadrul Consiliului Superior al Magistraturii a aprobat noi cereri de aderare a judecătorilor la Protocolul privind educația juridică.</w:t>
      </w:r>
    </w:p>
    <w:p w14:paraId="4635D199" w14:textId="1CECC360" w:rsidR="00613FCF" w:rsidRPr="000F0D8B" w:rsidRDefault="00613FCF" w:rsidP="009E3AD8">
      <w:pPr>
        <w:spacing w:line="276" w:lineRule="auto"/>
        <w:ind w:firstLine="720"/>
        <w:jc w:val="both"/>
        <w:rPr>
          <w:rFonts w:asciiTheme="minorHAnsi" w:hAnsiTheme="minorHAnsi" w:cstheme="minorHAnsi"/>
          <w:sz w:val="26"/>
          <w:szCs w:val="26"/>
        </w:rPr>
      </w:pPr>
      <w:r w:rsidRPr="000F0D8B">
        <w:rPr>
          <w:rFonts w:asciiTheme="minorHAnsi" w:hAnsiTheme="minorHAnsi" w:cstheme="minorHAnsi"/>
          <w:sz w:val="26"/>
          <w:szCs w:val="26"/>
        </w:rPr>
        <w:t>În data de 03</w:t>
      </w:r>
      <w:r w:rsidR="00A30C70" w:rsidRPr="000F0D8B">
        <w:rPr>
          <w:rFonts w:asciiTheme="minorHAnsi" w:hAnsiTheme="minorHAnsi" w:cstheme="minorHAnsi"/>
          <w:sz w:val="26"/>
          <w:szCs w:val="26"/>
        </w:rPr>
        <w:t xml:space="preserve"> iunie </w:t>
      </w:r>
      <w:r w:rsidRPr="000F0D8B">
        <w:rPr>
          <w:rFonts w:asciiTheme="minorHAnsi" w:hAnsiTheme="minorHAnsi" w:cstheme="minorHAnsi"/>
          <w:sz w:val="26"/>
          <w:szCs w:val="26"/>
        </w:rPr>
        <w:t xml:space="preserve">2025 a avut loc în aula Institutului Național al Magistraturii </w:t>
      </w:r>
      <w:proofErr w:type="spellStart"/>
      <w:r w:rsidRPr="00A35EF2">
        <w:rPr>
          <w:rFonts w:asciiTheme="minorHAnsi" w:hAnsiTheme="minorHAnsi" w:cstheme="minorHAnsi"/>
          <w:sz w:val="26"/>
          <w:szCs w:val="26"/>
          <w:lang w:val="fr-FR"/>
        </w:rPr>
        <w:t>A</w:t>
      </w:r>
      <w:r w:rsidR="006B572D">
        <w:rPr>
          <w:rFonts w:asciiTheme="minorHAnsi" w:hAnsiTheme="minorHAnsi" w:cstheme="minorHAnsi"/>
          <w:sz w:val="26"/>
          <w:szCs w:val="26"/>
          <w:lang w:val="fr-FR"/>
        </w:rPr>
        <w:t>telierul</w:t>
      </w:r>
      <w:proofErr w:type="spellEnd"/>
      <w:r w:rsidR="006B572D">
        <w:rPr>
          <w:rFonts w:asciiTheme="minorHAnsi" w:hAnsiTheme="minorHAnsi" w:cstheme="minorHAnsi"/>
          <w:sz w:val="26"/>
          <w:szCs w:val="26"/>
          <w:lang w:val="fr-FR"/>
        </w:rPr>
        <w:t xml:space="preserve"> de </w:t>
      </w:r>
      <w:proofErr w:type="spellStart"/>
      <w:r w:rsidR="006B572D">
        <w:rPr>
          <w:rFonts w:asciiTheme="minorHAnsi" w:hAnsiTheme="minorHAnsi" w:cstheme="minorHAnsi"/>
          <w:sz w:val="26"/>
          <w:szCs w:val="26"/>
          <w:lang w:val="fr-FR"/>
        </w:rPr>
        <w:t>Educaţie</w:t>
      </w:r>
      <w:proofErr w:type="spellEnd"/>
      <w:r w:rsidR="006B572D">
        <w:rPr>
          <w:rFonts w:asciiTheme="minorHAnsi" w:hAnsiTheme="minorHAnsi" w:cstheme="minorHAnsi"/>
          <w:sz w:val="26"/>
          <w:szCs w:val="26"/>
          <w:lang w:val="fr-FR"/>
        </w:rPr>
        <w:t xml:space="preserve"> </w:t>
      </w:r>
      <w:proofErr w:type="spellStart"/>
      <w:r w:rsidR="006B572D">
        <w:rPr>
          <w:rFonts w:asciiTheme="minorHAnsi" w:hAnsiTheme="minorHAnsi" w:cstheme="minorHAnsi"/>
          <w:sz w:val="26"/>
          <w:szCs w:val="26"/>
          <w:lang w:val="fr-FR"/>
        </w:rPr>
        <w:t>juridică</w:t>
      </w:r>
      <w:proofErr w:type="spellEnd"/>
      <w:r w:rsidR="006B572D">
        <w:rPr>
          <w:rFonts w:asciiTheme="minorHAnsi" w:hAnsiTheme="minorHAnsi" w:cstheme="minorHAnsi"/>
          <w:sz w:val="26"/>
          <w:szCs w:val="26"/>
          <w:lang w:val="fr-FR"/>
        </w:rPr>
        <w:t xml:space="preserve"> </w:t>
      </w:r>
      <w:r w:rsidRPr="00A35EF2">
        <w:rPr>
          <w:rFonts w:asciiTheme="minorHAnsi" w:hAnsiTheme="minorHAnsi" w:cstheme="minorHAnsi"/>
          <w:sz w:val="26"/>
          <w:szCs w:val="26"/>
          <w:lang w:val="fr-FR"/>
        </w:rPr>
        <w:t xml:space="preserve">la care au </w:t>
      </w:r>
      <w:proofErr w:type="spellStart"/>
      <w:r w:rsidRPr="00A35EF2">
        <w:rPr>
          <w:rFonts w:asciiTheme="minorHAnsi" w:hAnsiTheme="minorHAnsi" w:cstheme="minorHAnsi"/>
          <w:sz w:val="26"/>
          <w:szCs w:val="26"/>
          <w:lang w:val="fr-FR"/>
        </w:rPr>
        <w:t>participat</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voluntari</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din</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cadrul</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Protocolului</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precum</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și</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alte</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persoane</w:t>
      </w:r>
      <w:proofErr w:type="spellEnd"/>
      <w:r w:rsidRPr="00A35EF2">
        <w:rPr>
          <w:rFonts w:asciiTheme="minorHAnsi" w:hAnsiTheme="minorHAnsi" w:cstheme="minorHAnsi"/>
          <w:sz w:val="26"/>
          <w:szCs w:val="26"/>
          <w:lang w:val="fr-FR"/>
        </w:rPr>
        <w:t xml:space="preserve"> de </w:t>
      </w:r>
      <w:proofErr w:type="spellStart"/>
      <w:r w:rsidRPr="00A35EF2">
        <w:rPr>
          <w:rFonts w:asciiTheme="minorHAnsi" w:hAnsiTheme="minorHAnsi" w:cstheme="minorHAnsi"/>
          <w:sz w:val="26"/>
          <w:szCs w:val="26"/>
          <w:lang w:val="fr-FR"/>
        </w:rPr>
        <w:t>specialitate</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juridică</w:t>
      </w:r>
      <w:proofErr w:type="spellEnd"/>
      <w:r w:rsidRPr="00A35EF2">
        <w:rPr>
          <w:rFonts w:asciiTheme="minorHAnsi" w:hAnsiTheme="minorHAnsi" w:cstheme="minorHAnsi"/>
          <w:sz w:val="26"/>
          <w:szCs w:val="26"/>
          <w:lang w:val="fr-FR"/>
        </w:rPr>
        <w:t xml:space="preserve">. </w:t>
      </w:r>
      <w:r w:rsidRPr="000F0D8B">
        <w:rPr>
          <w:rFonts w:asciiTheme="minorHAnsi" w:hAnsiTheme="minorHAnsi" w:cstheme="minorHAnsi"/>
          <w:sz w:val="26"/>
          <w:szCs w:val="26"/>
        </w:rPr>
        <w:t>Cu aceeași ocazie a avut loc și reuniunea de lucru a Comitetului de monitorizare</w:t>
      </w:r>
      <w:r w:rsidR="006B572D">
        <w:rPr>
          <w:rFonts w:asciiTheme="minorHAnsi" w:hAnsiTheme="minorHAnsi" w:cstheme="minorHAnsi"/>
          <w:sz w:val="26"/>
          <w:szCs w:val="26"/>
        </w:rPr>
        <w:t>,</w:t>
      </w:r>
      <w:r w:rsidRPr="000F0D8B">
        <w:rPr>
          <w:rFonts w:asciiTheme="minorHAnsi" w:hAnsiTheme="minorHAnsi" w:cstheme="minorHAnsi"/>
          <w:sz w:val="26"/>
          <w:szCs w:val="26"/>
        </w:rPr>
        <w:t xml:space="preserve"> când s-au discutat liniile directoare privind activitățile ulterioare.</w:t>
      </w:r>
    </w:p>
    <w:p w14:paraId="19B6C475" w14:textId="743636CA" w:rsidR="00613FCF" w:rsidRDefault="00613FCF" w:rsidP="009E3AD8">
      <w:pPr>
        <w:spacing w:line="276" w:lineRule="auto"/>
        <w:ind w:firstLine="720"/>
        <w:jc w:val="both"/>
        <w:rPr>
          <w:rFonts w:asciiTheme="minorHAnsi" w:hAnsiTheme="minorHAnsi" w:cstheme="minorHAnsi"/>
          <w:sz w:val="26"/>
          <w:szCs w:val="26"/>
          <w:lang w:val="fr-FR"/>
        </w:rPr>
      </w:pPr>
      <w:r w:rsidRPr="000F0D8B">
        <w:rPr>
          <w:rFonts w:asciiTheme="minorHAnsi" w:hAnsiTheme="minorHAnsi" w:cstheme="minorHAnsi"/>
          <w:sz w:val="26"/>
          <w:szCs w:val="26"/>
        </w:rPr>
        <w:t xml:space="preserve">În data de </w:t>
      </w:r>
      <w:r w:rsidRPr="00A35EF2">
        <w:rPr>
          <w:rFonts w:asciiTheme="minorHAnsi" w:hAnsiTheme="minorHAnsi" w:cstheme="minorHAnsi"/>
          <w:sz w:val="26"/>
          <w:szCs w:val="26"/>
          <w:lang w:val="fr-FR"/>
        </w:rPr>
        <w:t>de 18</w:t>
      </w:r>
      <w:r w:rsidR="00AE2FAC" w:rsidRPr="00A35EF2">
        <w:rPr>
          <w:rFonts w:asciiTheme="minorHAnsi" w:hAnsiTheme="minorHAnsi" w:cstheme="minorHAnsi"/>
          <w:sz w:val="26"/>
          <w:szCs w:val="26"/>
          <w:lang w:val="fr-FR"/>
        </w:rPr>
        <w:t xml:space="preserve"> </w:t>
      </w:r>
      <w:proofErr w:type="spellStart"/>
      <w:r w:rsidR="00AE2FAC" w:rsidRPr="00A35EF2">
        <w:rPr>
          <w:rFonts w:asciiTheme="minorHAnsi" w:hAnsiTheme="minorHAnsi" w:cstheme="minorHAnsi"/>
          <w:sz w:val="26"/>
          <w:szCs w:val="26"/>
          <w:lang w:val="fr-FR"/>
        </w:rPr>
        <w:t>septembrie</w:t>
      </w:r>
      <w:proofErr w:type="spellEnd"/>
      <w:r w:rsidR="00AE2FAC" w:rsidRPr="00A35EF2">
        <w:rPr>
          <w:rFonts w:asciiTheme="minorHAnsi" w:hAnsiTheme="minorHAnsi" w:cstheme="minorHAnsi"/>
          <w:sz w:val="26"/>
          <w:szCs w:val="26"/>
          <w:lang w:val="fr-FR"/>
        </w:rPr>
        <w:t xml:space="preserve"> </w:t>
      </w:r>
      <w:r w:rsidRPr="00A35EF2">
        <w:rPr>
          <w:rFonts w:asciiTheme="minorHAnsi" w:hAnsiTheme="minorHAnsi" w:cstheme="minorHAnsi"/>
          <w:sz w:val="26"/>
          <w:szCs w:val="26"/>
          <w:lang w:val="fr-FR"/>
        </w:rPr>
        <w:t xml:space="preserve">2025 a </w:t>
      </w:r>
      <w:proofErr w:type="spellStart"/>
      <w:r w:rsidRPr="00A35EF2">
        <w:rPr>
          <w:rFonts w:asciiTheme="minorHAnsi" w:hAnsiTheme="minorHAnsi" w:cstheme="minorHAnsi"/>
          <w:sz w:val="26"/>
          <w:szCs w:val="26"/>
          <w:lang w:val="fr-FR"/>
        </w:rPr>
        <w:t>avut</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loc</w:t>
      </w:r>
      <w:proofErr w:type="spellEnd"/>
      <w:r w:rsidRPr="00A35EF2">
        <w:rPr>
          <w:rFonts w:asciiTheme="minorHAnsi" w:hAnsiTheme="minorHAnsi" w:cstheme="minorHAnsi"/>
          <w:sz w:val="26"/>
          <w:szCs w:val="26"/>
          <w:lang w:val="fr-FR"/>
        </w:rPr>
        <w:t xml:space="preserve"> la </w:t>
      </w:r>
      <w:proofErr w:type="spellStart"/>
      <w:r w:rsidRPr="00A35EF2">
        <w:rPr>
          <w:rFonts w:asciiTheme="minorHAnsi" w:hAnsiTheme="minorHAnsi" w:cstheme="minorHAnsi"/>
          <w:sz w:val="26"/>
          <w:szCs w:val="26"/>
          <w:lang w:val="fr-FR"/>
        </w:rPr>
        <w:t>sediul</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Consiliului</w:t>
      </w:r>
      <w:proofErr w:type="spellEnd"/>
      <w:r w:rsidRPr="00A35EF2">
        <w:rPr>
          <w:rFonts w:asciiTheme="minorHAnsi" w:hAnsiTheme="minorHAnsi" w:cstheme="minorHAnsi"/>
          <w:sz w:val="26"/>
          <w:szCs w:val="26"/>
          <w:lang w:val="fr-FR"/>
        </w:rPr>
        <w:t xml:space="preserve"> Superior al </w:t>
      </w:r>
      <w:proofErr w:type="spellStart"/>
      <w:r w:rsidRPr="00A35EF2">
        <w:rPr>
          <w:rFonts w:asciiTheme="minorHAnsi" w:hAnsiTheme="minorHAnsi" w:cstheme="minorHAnsi"/>
          <w:sz w:val="26"/>
          <w:szCs w:val="26"/>
          <w:lang w:val="fr-FR"/>
        </w:rPr>
        <w:t>Magistraturii</w:t>
      </w:r>
      <w:proofErr w:type="spellEnd"/>
      <w:r w:rsidRPr="00A35EF2">
        <w:rPr>
          <w:rFonts w:asciiTheme="minorHAnsi" w:hAnsiTheme="minorHAnsi" w:cstheme="minorHAnsi"/>
          <w:sz w:val="26"/>
          <w:szCs w:val="26"/>
          <w:lang w:val="fr-FR"/>
        </w:rPr>
        <w:t xml:space="preserve"> o </w:t>
      </w:r>
      <w:proofErr w:type="spellStart"/>
      <w:r w:rsidRPr="00A35EF2">
        <w:rPr>
          <w:rFonts w:asciiTheme="minorHAnsi" w:hAnsiTheme="minorHAnsi" w:cstheme="minorHAnsi"/>
          <w:sz w:val="26"/>
          <w:szCs w:val="26"/>
          <w:lang w:val="fr-FR"/>
        </w:rPr>
        <w:t>nouă</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întrunire</w:t>
      </w:r>
      <w:proofErr w:type="spellEnd"/>
      <w:r w:rsidR="005B1AB2" w:rsidRPr="00A35EF2">
        <w:rPr>
          <w:rFonts w:asciiTheme="minorHAnsi" w:hAnsiTheme="minorHAnsi" w:cstheme="minorHAnsi"/>
          <w:sz w:val="26"/>
          <w:szCs w:val="26"/>
          <w:lang w:val="fr-FR"/>
        </w:rPr>
        <w:t xml:space="preserve"> </w:t>
      </w:r>
      <w:r w:rsidRPr="00A35EF2">
        <w:rPr>
          <w:rFonts w:asciiTheme="minorHAnsi" w:hAnsiTheme="minorHAnsi" w:cstheme="minorHAnsi"/>
          <w:sz w:val="26"/>
          <w:szCs w:val="26"/>
          <w:lang w:val="fr-FR"/>
        </w:rPr>
        <w:t xml:space="preserve">a </w:t>
      </w:r>
      <w:proofErr w:type="spellStart"/>
      <w:r w:rsidRPr="00A35EF2">
        <w:rPr>
          <w:rFonts w:asciiTheme="minorHAnsi" w:hAnsiTheme="minorHAnsi" w:cstheme="minorHAnsi"/>
          <w:sz w:val="26"/>
          <w:szCs w:val="26"/>
          <w:lang w:val="fr-FR"/>
        </w:rPr>
        <w:t>Comitetului</w:t>
      </w:r>
      <w:proofErr w:type="spellEnd"/>
      <w:r w:rsidRPr="00A35EF2">
        <w:rPr>
          <w:rFonts w:asciiTheme="minorHAnsi" w:hAnsiTheme="minorHAnsi" w:cstheme="minorHAnsi"/>
          <w:sz w:val="26"/>
          <w:szCs w:val="26"/>
          <w:lang w:val="fr-FR"/>
        </w:rPr>
        <w:t xml:space="preserve"> de </w:t>
      </w:r>
      <w:proofErr w:type="spellStart"/>
      <w:r w:rsidRPr="00A35EF2">
        <w:rPr>
          <w:rFonts w:asciiTheme="minorHAnsi" w:hAnsiTheme="minorHAnsi" w:cstheme="minorHAnsi"/>
          <w:sz w:val="26"/>
          <w:szCs w:val="26"/>
          <w:lang w:val="fr-FR"/>
        </w:rPr>
        <w:t>monitorizare</w:t>
      </w:r>
      <w:proofErr w:type="spellEnd"/>
      <w:r w:rsidRPr="00A35EF2">
        <w:rPr>
          <w:rFonts w:asciiTheme="minorHAnsi" w:hAnsiTheme="minorHAnsi" w:cstheme="minorHAnsi"/>
          <w:sz w:val="26"/>
          <w:szCs w:val="26"/>
          <w:lang w:val="fr-FR"/>
        </w:rPr>
        <w:t xml:space="preserve"> a </w:t>
      </w:r>
      <w:proofErr w:type="spellStart"/>
      <w:r w:rsidRPr="00A35EF2">
        <w:rPr>
          <w:rFonts w:asciiTheme="minorHAnsi" w:hAnsiTheme="minorHAnsi" w:cstheme="minorHAnsi"/>
          <w:sz w:val="26"/>
          <w:szCs w:val="26"/>
          <w:lang w:val="fr-FR"/>
        </w:rPr>
        <w:t>Protocolului</w:t>
      </w:r>
      <w:proofErr w:type="spellEnd"/>
      <w:r w:rsidRPr="00A35EF2">
        <w:rPr>
          <w:rFonts w:asciiTheme="minorHAnsi" w:hAnsiTheme="minorHAnsi" w:cstheme="minorHAnsi"/>
          <w:sz w:val="26"/>
          <w:szCs w:val="26"/>
          <w:lang w:val="fr-FR"/>
        </w:rPr>
        <w:t xml:space="preserve"> de </w:t>
      </w:r>
      <w:proofErr w:type="spellStart"/>
      <w:r w:rsidRPr="00A35EF2">
        <w:rPr>
          <w:rFonts w:asciiTheme="minorHAnsi" w:hAnsiTheme="minorHAnsi" w:cstheme="minorHAnsi"/>
          <w:sz w:val="26"/>
          <w:szCs w:val="26"/>
          <w:lang w:val="fr-FR"/>
        </w:rPr>
        <w:t>colaborare</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privind</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educația</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juridică</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în</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cadrul</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căreia</w:t>
      </w:r>
      <w:proofErr w:type="spellEnd"/>
      <w:r w:rsidRPr="00A35EF2">
        <w:rPr>
          <w:rFonts w:asciiTheme="minorHAnsi" w:hAnsiTheme="minorHAnsi" w:cstheme="minorHAnsi"/>
          <w:sz w:val="26"/>
          <w:szCs w:val="26"/>
          <w:lang w:val="fr-FR"/>
        </w:rPr>
        <w:t xml:space="preserve"> au </w:t>
      </w:r>
      <w:proofErr w:type="spellStart"/>
      <w:r w:rsidRPr="00A35EF2">
        <w:rPr>
          <w:rFonts w:asciiTheme="minorHAnsi" w:hAnsiTheme="minorHAnsi" w:cstheme="minorHAnsi"/>
          <w:sz w:val="26"/>
          <w:szCs w:val="26"/>
          <w:lang w:val="fr-FR"/>
        </w:rPr>
        <w:t>fost</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aprobate</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noi</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cereri</w:t>
      </w:r>
      <w:proofErr w:type="spellEnd"/>
      <w:r w:rsidRPr="00A35EF2">
        <w:rPr>
          <w:rFonts w:asciiTheme="minorHAnsi" w:hAnsiTheme="minorHAnsi" w:cstheme="minorHAnsi"/>
          <w:sz w:val="26"/>
          <w:szCs w:val="26"/>
          <w:lang w:val="fr-FR"/>
        </w:rPr>
        <w:t xml:space="preserve"> de </w:t>
      </w:r>
      <w:proofErr w:type="spellStart"/>
      <w:r w:rsidRPr="00A35EF2">
        <w:rPr>
          <w:rFonts w:asciiTheme="minorHAnsi" w:hAnsiTheme="minorHAnsi" w:cstheme="minorHAnsi"/>
          <w:sz w:val="26"/>
          <w:szCs w:val="26"/>
          <w:lang w:val="fr-FR"/>
        </w:rPr>
        <w:t>aderare</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și</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noi</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materiale</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suport</w:t>
      </w:r>
      <w:proofErr w:type="spellEnd"/>
      <w:r w:rsidRPr="00A35EF2">
        <w:rPr>
          <w:rFonts w:asciiTheme="minorHAnsi" w:hAnsiTheme="minorHAnsi" w:cstheme="minorHAnsi"/>
          <w:sz w:val="26"/>
          <w:szCs w:val="26"/>
          <w:lang w:val="fr-FR"/>
        </w:rPr>
        <w:t xml:space="preserve"> ce pot fi </w:t>
      </w:r>
      <w:proofErr w:type="spellStart"/>
      <w:r w:rsidRPr="00A35EF2">
        <w:rPr>
          <w:rFonts w:asciiTheme="minorHAnsi" w:hAnsiTheme="minorHAnsi" w:cstheme="minorHAnsi"/>
          <w:sz w:val="26"/>
          <w:szCs w:val="26"/>
          <w:lang w:val="fr-FR"/>
        </w:rPr>
        <w:t>avute</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în</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vedere</w:t>
      </w:r>
      <w:proofErr w:type="spellEnd"/>
      <w:r w:rsidRPr="00A35EF2">
        <w:rPr>
          <w:rFonts w:asciiTheme="minorHAnsi" w:hAnsiTheme="minorHAnsi" w:cstheme="minorHAnsi"/>
          <w:sz w:val="26"/>
          <w:szCs w:val="26"/>
          <w:lang w:val="fr-FR"/>
        </w:rPr>
        <w:t xml:space="preserve"> la </w:t>
      </w:r>
      <w:proofErr w:type="spellStart"/>
      <w:r w:rsidRPr="00A35EF2">
        <w:rPr>
          <w:rFonts w:asciiTheme="minorHAnsi" w:hAnsiTheme="minorHAnsi" w:cstheme="minorHAnsi"/>
          <w:sz w:val="26"/>
          <w:szCs w:val="26"/>
          <w:lang w:val="fr-FR"/>
        </w:rPr>
        <w:t>desfășurarea</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activităților</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specifice</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Protocolului</w:t>
      </w:r>
      <w:proofErr w:type="spellEnd"/>
      <w:r w:rsidRPr="00A35EF2">
        <w:rPr>
          <w:rFonts w:asciiTheme="minorHAnsi" w:hAnsiTheme="minorHAnsi" w:cstheme="minorHAnsi"/>
          <w:sz w:val="26"/>
          <w:szCs w:val="26"/>
          <w:lang w:val="fr-FR"/>
        </w:rPr>
        <w:t xml:space="preserve">. De </w:t>
      </w:r>
      <w:proofErr w:type="spellStart"/>
      <w:r w:rsidRPr="00A35EF2">
        <w:rPr>
          <w:rFonts w:asciiTheme="minorHAnsi" w:hAnsiTheme="minorHAnsi" w:cstheme="minorHAnsi"/>
          <w:sz w:val="26"/>
          <w:szCs w:val="26"/>
          <w:lang w:val="fr-FR"/>
        </w:rPr>
        <w:t>asemenea</w:t>
      </w:r>
      <w:proofErr w:type="spellEnd"/>
      <w:r w:rsidRPr="00A35EF2">
        <w:rPr>
          <w:rFonts w:asciiTheme="minorHAnsi" w:hAnsiTheme="minorHAnsi" w:cstheme="minorHAnsi"/>
          <w:sz w:val="26"/>
          <w:szCs w:val="26"/>
          <w:lang w:val="fr-FR"/>
        </w:rPr>
        <w:t>,</w:t>
      </w:r>
      <w:r w:rsidR="006B572D">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față</w:t>
      </w:r>
      <w:proofErr w:type="spellEnd"/>
      <w:r w:rsidRPr="00A35EF2">
        <w:rPr>
          <w:rFonts w:asciiTheme="minorHAnsi" w:hAnsiTheme="minorHAnsi" w:cstheme="minorHAnsi"/>
          <w:sz w:val="26"/>
          <w:szCs w:val="26"/>
          <w:lang w:val="fr-FR"/>
        </w:rPr>
        <w:t xml:space="preserve"> de </w:t>
      </w:r>
      <w:proofErr w:type="spellStart"/>
      <w:r w:rsidR="006B572D">
        <w:rPr>
          <w:rFonts w:asciiTheme="minorHAnsi" w:hAnsiTheme="minorHAnsi" w:cstheme="minorHAnsi"/>
          <w:sz w:val="26"/>
          <w:szCs w:val="26"/>
          <w:lang w:val="fr-FR"/>
        </w:rPr>
        <w:t>evaluarea</w:t>
      </w:r>
      <w:proofErr w:type="spellEnd"/>
      <w:r w:rsidR="006B572D">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pozitiv</w:t>
      </w:r>
      <w:r w:rsidR="006B572D">
        <w:rPr>
          <w:rFonts w:asciiTheme="minorHAnsi" w:hAnsiTheme="minorHAnsi" w:cstheme="minorHAnsi"/>
          <w:sz w:val="26"/>
          <w:szCs w:val="26"/>
          <w:lang w:val="fr-FR"/>
        </w:rPr>
        <w:t>ă</w:t>
      </w:r>
      <w:proofErr w:type="spellEnd"/>
      <w:r w:rsidRPr="00A35EF2">
        <w:rPr>
          <w:rFonts w:asciiTheme="minorHAnsi" w:hAnsiTheme="minorHAnsi" w:cstheme="minorHAnsi"/>
          <w:sz w:val="26"/>
          <w:szCs w:val="26"/>
          <w:lang w:val="fr-FR"/>
        </w:rPr>
        <w:t xml:space="preserve"> a </w:t>
      </w:r>
      <w:proofErr w:type="spellStart"/>
      <w:r w:rsidRPr="00A35EF2">
        <w:rPr>
          <w:rFonts w:asciiTheme="minorHAnsi" w:hAnsiTheme="minorHAnsi" w:cstheme="minorHAnsi"/>
          <w:sz w:val="26"/>
          <w:szCs w:val="26"/>
          <w:lang w:val="fr-FR"/>
        </w:rPr>
        <w:t>activităților</w:t>
      </w:r>
      <w:proofErr w:type="spellEnd"/>
      <w:r w:rsidRPr="00A35EF2">
        <w:rPr>
          <w:rFonts w:asciiTheme="minorHAnsi" w:hAnsiTheme="minorHAnsi" w:cstheme="minorHAnsi"/>
          <w:sz w:val="26"/>
          <w:szCs w:val="26"/>
          <w:lang w:val="fr-FR"/>
        </w:rPr>
        <w:t xml:space="preserve"> de </w:t>
      </w:r>
      <w:proofErr w:type="spellStart"/>
      <w:r w:rsidRPr="00A35EF2">
        <w:rPr>
          <w:rFonts w:asciiTheme="minorHAnsi" w:hAnsiTheme="minorHAnsi" w:cstheme="minorHAnsi"/>
          <w:sz w:val="26"/>
          <w:szCs w:val="26"/>
          <w:lang w:val="fr-FR"/>
        </w:rPr>
        <w:t>educație</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juridcă</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în</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rândul</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elevilor</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și</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studenților</w:t>
      </w:r>
      <w:proofErr w:type="spellEnd"/>
      <w:r w:rsidRPr="00A35EF2">
        <w:rPr>
          <w:rFonts w:asciiTheme="minorHAnsi" w:hAnsiTheme="minorHAnsi" w:cstheme="minorHAnsi"/>
          <w:sz w:val="26"/>
          <w:szCs w:val="26"/>
          <w:lang w:val="fr-FR"/>
        </w:rPr>
        <w:t xml:space="preserve">, </w:t>
      </w:r>
      <w:r w:rsidR="006B572D">
        <w:rPr>
          <w:rFonts w:asciiTheme="minorHAnsi" w:hAnsiTheme="minorHAnsi" w:cstheme="minorHAnsi"/>
          <w:sz w:val="26"/>
          <w:szCs w:val="26"/>
          <w:lang w:val="fr-FR"/>
        </w:rPr>
        <w:t>s-</w:t>
      </w:r>
      <w:r w:rsidRPr="00A35EF2">
        <w:rPr>
          <w:rFonts w:asciiTheme="minorHAnsi" w:hAnsiTheme="minorHAnsi" w:cstheme="minorHAnsi"/>
          <w:sz w:val="26"/>
          <w:szCs w:val="26"/>
          <w:lang w:val="fr-FR"/>
        </w:rPr>
        <w:t xml:space="preserve">a </w:t>
      </w:r>
      <w:proofErr w:type="spellStart"/>
      <w:r w:rsidRPr="00A35EF2">
        <w:rPr>
          <w:rFonts w:asciiTheme="minorHAnsi" w:hAnsiTheme="minorHAnsi" w:cstheme="minorHAnsi"/>
          <w:sz w:val="26"/>
          <w:szCs w:val="26"/>
          <w:lang w:val="fr-FR"/>
        </w:rPr>
        <w:t>apreciat</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că</w:t>
      </w:r>
      <w:proofErr w:type="spellEnd"/>
      <w:r w:rsidRPr="00A35EF2">
        <w:rPr>
          <w:rFonts w:asciiTheme="minorHAnsi" w:hAnsiTheme="minorHAnsi" w:cstheme="minorHAnsi"/>
          <w:sz w:val="26"/>
          <w:szCs w:val="26"/>
          <w:lang w:val="fr-FR"/>
        </w:rPr>
        <w:t xml:space="preserve"> este </w:t>
      </w:r>
      <w:proofErr w:type="spellStart"/>
      <w:r w:rsidRPr="00A35EF2">
        <w:rPr>
          <w:rFonts w:asciiTheme="minorHAnsi" w:hAnsiTheme="minorHAnsi" w:cstheme="minorHAnsi"/>
          <w:sz w:val="26"/>
          <w:szCs w:val="26"/>
          <w:lang w:val="fr-FR"/>
        </w:rPr>
        <w:t>oportună</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inițierea</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demersurilor</w:t>
      </w:r>
      <w:proofErr w:type="spellEnd"/>
      <w:r w:rsidRPr="00A35EF2">
        <w:rPr>
          <w:rFonts w:asciiTheme="minorHAnsi" w:hAnsiTheme="minorHAnsi" w:cstheme="minorHAnsi"/>
          <w:sz w:val="26"/>
          <w:szCs w:val="26"/>
          <w:lang w:val="fr-FR"/>
        </w:rPr>
        <w:t xml:space="preserve"> de </w:t>
      </w:r>
      <w:proofErr w:type="spellStart"/>
      <w:r w:rsidRPr="00A35EF2">
        <w:rPr>
          <w:rFonts w:asciiTheme="minorHAnsi" w:hAnsiTheme="minorHAnsi" w:cstheme="minorHAnsi"/>
          <w:sz w:val="26"/>
          <w:szCs w:val="26"/>
          <w:lang w:val="fr-FR"/>
        </w:rPr>
        <w:t>prelungire</w:t>
      </w:r>
      <w:proofErr w:type="spellEnd"/>
      <w:r w:rsidRPr="00A35EF2">
        <w:rPr>
          <w:rFonts w:asciiTheme="minorHAnsi" w:hAnsiTheme="minorHAnsi" w:cstheme="minorHAnsi"/>
          <w:sz w:val="26"/>
          <w:szCs w:val="26"/>
          <w:lang w:val="fr-FR"/>
        </w:rPr>
        <w:t xml:space="preserve"> a </w:t>
      </w:r>
      <w:proofErr w:type="spellStart"/>
      <w:r w:rsidRPr="00A35EF2">
        <w:rPr>
          <w:rFonts w:asciiTheme="minorHAnsi" w:hAnsiTheme="minorHAnsi" w:cstheme="minorHAnsi"/>
          <w:sz w:val="26"/>
          <w:szCs w:val="26"/>
          <w:lang w:val="fr-FR"/>
        </w:rPr>
        <w:t>Protocolului</w:t>
      </w:r>
      <w:proofErr w:type="spellEnd"/>
      <w:r w:rsidRPr="00A35EF2">
        <w:rPr>
          <w:rFonts w:asciiTheme="minorHAnsi" w:hAnsiTheme="minorHAnsi" w:cstheme="minorHAnsi"/>
          <w:sz w:val="26"/>
          <w:szCs w:val="26"/>
          <w:lang w:val="fr-FR"/>
        </w:rPr>
        <w:t xml:space="preserve"> de </w:t>
      </w:r>
      <w:proofErr w:type="spellStart"/>
      <w:r w:rsidRPr="00A35EF2">
        <w:rPr>
          <w:rFonts w:asciiTheme="minorHAnsi" w:hAnsiTheme="minorHAnsi" w:cstheme="minorHAnsi"/>
          <w:sz w:val="26"/>
          <w:szCs w:val="26"/>
          <w:lang w:val="fr-FR"/>
        </w:rPr>
        <w:t>colaborare</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privind</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educația</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juridică</w:t>
      </w:r>
      <w:proofErr w:type="spellEnd"/>
      <w:r w:rsidR="006B572D">
        <w:rPr>
          <w:rFonts w:asciiTheme="minorHAnsi" w:hAnsiTheme="minorHAnsi" w:cstheme="minorHAnsi"/>
          <w:sz w:val="26"/>
          <w:szCs w:val="26"/>
          <w:lang w:val="fr-FR"/>
        </w:rPr>
        <w:t>,</w:t>
      </w:r>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având</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în</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vedere</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că</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valabilitatea</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acestuia</w:t>
      </w:r>
      <w:proofErr w:type="spellEnd"/>
      <w:r w:rsidRPr="00A35EF2">
        <w:rPr>
          <w:rFonts w:asciiTheme="minorHAnsi" w:hAnsiTheme="minorHAnsi" w:cstheme="minorHAnsi"/>
          <w:sz w:val="26"/>
          <w:szCs w:val="26"/>
          <w:lang w:val="fr-FR"/>
        </w:rPr>
        <w:t xml:space="preserve"> este </w:t>
      </w:r>
      <w:proofErr w:type="spellStart"/>
      <w:r w:rsidRPr="00A35EF2">
        <w:rPr>
          <w:rFonts w:asciiTheme="minorHAnsi" w:hAnsiTheme="minorHAnsi" w:cstheme="minorHAnsi"/>
          <w:sz w:val="26"/>
          <w:szCs w:val="26"/>
          <w:lang w:val="fr-FR"/>
        </w:rPr>
        <w:t>până</w:t>
      </w:r>
      <w:proofErr w:type="spellEnd"/>
      <w:r w:rsidRPr="00A35EF2">
        <w:rPr>
          <w:rFonts w:asciiTheme="minorHAnsi" w:hAnsiTheme="minorHAnsi" w:cstheme="minorHAnsi"/>
          <w:sz w:val="26"/>
          <w:szCs w:val="26"/>
          <w:lang w:val="fr-FR"/>
        </w:rPr>
        <w:t xml:space="preserve"> la </w:t>
      </w:r>
      <w:proofErr w:type="spellStart"/>
      <w:r w:rsidRPr="00A35EF2">
        <w:rPr>
          <w:rFonts w:asciiTheme="minorHAnsi" w:hAnsiTheme="minorHAnsi" w:cstheme="minorHAnsi"/>
          <w:sz w:val="26"/>
          <w:szCs w:val="26"/>
          <w:lang w:val="fr-FR"/>
        </w:rPr>
        <w:t>sfârșitul</w:t>
      </w:r>
      <w:proofErr w:type="spellEnd"/>
      <w:r w:rsidRPr="00A35EF2">
        <w:rPr>
          <w:rFonts w:asciiTheme="minorHAnsi" w:hAnsiTheme="minorHAnsi" w:cstheme="minorHAnsi"/>
          <w:sz w:val="26"/>
          <w:szCs w:val="26"/>
          <w:lang w:val="fr-FR"/>
        </w:rPr>
        <w:t xml:space="preserve"> </w:t>
      </w:r>
      <w:proofErr w:type="spellStart"/>
      <w:r w:rsidRPr="00A35EF2">
        <w:rPr>
          <w:rFonts w:asciiTheme="minorHAnsi" w:hAnsiTheme="minorHAnsi" w:cstheme="minorHAnsi"/>
          <w:sz w:val="26"/>
          <w:szCs w:val="26"/>
          <w:lang w:val="fr-FR"/>
        </w:rPr>
        <w:t>anului</w:t>
      </w:r>
      <w:proofErr w:type="spellEnd"/>
      <w:r w:rsidRPr="00A35EF2">
        <w:rPr>
          <w:rFonts w:asciiTheme="minorHAnsi" w:hAnsiTheme="minorHAnsi" w:cstheme="minorHAnsi"/>
          <w:sz w:val="26"/>
          <w:szCs w:val="26"/>
          <w:lang w:val="fr-FR"/>
        </w:rPr>
        <w:t xml:space="preserve"> 2025.</w:t>
      </w:r>
    </w:p>
    <w:p w14:paraId="476BDE6A" w14:textId="3778BF90" w:rsidR="00977B35" w:rsidRPr="00295D06" w:rsidRDefault="00977B35" w:rsidP="00977B35">
      <w:pPr>
        <w:spacing w:line="276" w:lineRule="auto"/>
        <w:ind w:firstLine="720"/>
        <w:jc w:val="both"/>
        <w:rPr>
          <w:rFonts w:ascii="Calibri" w:hAnsi="Calibri" w:cs="Calibri"/>
          <w:sz w:val="26"/>
          <w:szCs w:val="26"/>
        </w:rPr>
      </w:pPr>
      <w:r w:rsidRPr="00295D06">
        <w:rPr>
          <w:rFonts w:asciiTheme="minorHAnsi" w:hAnsiTheme="minorHAnsi" w:cstheme="minorHAnsi"/>
          <w:sz w:val="26"/>
          <w:szCs w:val="26"/>
        </w:rPr>
        <w:t xml:space="preserve">La data de 17 noiembrie 2025 </w:t>
      </w:r>
      <w:r w:rsidRPr="00295D06">
        <w:rPr>
          <w:rFonts w:ascii="Calibri" w:hAnsi="Calibri" w:cs="Calibri"/>
          <w:sz w:val="26"/>
          <w:szCs w:val="26"/>
        </w:rPr>
        <w:t>la sediul Curții de Apel București au avut loc activități specifice dedicate Zilei Educației Juridice în România, ocazie cu care au fost invitați la eveniment mai mulți specialiști ai instituțiilor partenere din cadrul protocolului, precum și din cadrul altor instituții publice.</w:t>
      </w:r>
    </w:p>
    <w:p w14:paraId="10406858" w14:textId="6AA80970" w:rsidR="00977B35" w:rsidRDefault="00977B35" w:rsidP="00977B35">
      <w:pPr>
        <w:spacing w:line="276" w:lineRule="auto"/>
        <w:ind w:firstLine="720"/>
        <w:jc w:val="both"/>
        <w:rPr>
          <w:rFonts w:ascii="Calibri" w:hAnsi="Calibri" w:cs="Calibri"/>
          <w:sz w:val="26"/>
          <w:szCs w:val="26"/>
          <w:lang w:val="pt-PT"/>
        </w:rPr>
      </w:pPr>
      <w:r w:rsidRPr="00295D06">
        <w:rPr>
          <w:rFonts w:ascii="Calibri" w:hAnsi="Calibri" w:cs="Calibri"/>
          <w:sz w:val="26"/>
          <w:szCs w:val="26"/>
          <w:lang w:val="pt-PT"/>
        </w:rPr>
        <w:t xml:space="preserve">La sfâșitul anului 2025, în cadrul Protocolului s-a desfășurat un </w:t>
      </w:r>
      <w:r w:rsidR="00CC6AC9" w:rsidRPr="00295D06">
        <w:rPr>
          <w:rFonts w:ascii="Calibri" w:hAnsi="Calibri" w:cs="Calibri"/>
          <w:sz w:val="26"/>
          <w:szCs w:val="26"/>
          <w:lang w:val="pt-PT"/>
        </w:rPr>
        <w:t>c</w:t>
      </w:r>
      <w:r w:rsidRPr="00295D06">
        <w:rPr>
          <w:rFonts w:ascii="Calibri" w:hAnsi="Calibri" w:cs="Calibri"/>
          <w:sz w:val="26"/>
          <w:szCs w:val="26"/>
          <w:lang w:val="pt-PT"/>
        </w:rPr>
        <w:t>oncurs de eseuri cu tema „Ce ți-aș spune despre droguri dacă ai fi fratele meu/sora mea”, concurs dedicat studenților din cadrul facultăților din România.</w:t>
      </w:r>
    </w:p>
    <w:p w14:paraId="30A56531" w14:textId="77777777" w:rsidR="00295D06" w:rsidRPr="00295D06" w:rsidRDefault="00295D06" w:rsidP="00977B35">
      <w:pPr>
        <w:spacing w:line="276" w:lineRule="auto"/>
        <w:ind w:firstLine="720"/>
        <w:jc w:val="both"/>
        <w:rPr>
          <w:rFonts w:ascii="Calibri" w:hAnsi="Calibri" w:cs="Calibri"/>
          <w:sz w:val="26"/>
          <w:szCs w:val="26"/>
        </w:rPr>
      </w:pPr>
    </w:p>
    <w:p w14:paraId="48C6C736" w14:textId="77777777" w:rsidR="00BB658B" w:rsidRPr="00BB658B" w:rsidRDefault="00BB658B" w:rsidP="009E3AD8">
      <w:pPr>
        <w:tabs>
          <w:tab w:val="left" w:pos="5475"/>
        </w:tabs>
        <w:spacing w:line="276" w:lineRule="auto"/>
        <w:ind w:firstLine="720"/>
        <w:jc w:val="both"/>
        <w:rPr>
          <w:rFonts w:asciiTheme="minorHAnsi" w:hAnsiTheme="minorHAnsi" w:cstheme="minorHAnsi"/>
          <w:b/>
          <w:bCs/>
          <w:sz w:val="26"/>
          <w:szCs w:val="26"/>
        </w:rPr>
      </w:pPr>
      <w:bookmarkStart w:id="65" w:name="_Toc155267882"/>
      <w:r w:rsidRPr="00BB658B">
        <w:rPr>
          <w:rFonts w:asciiTheme="minorHAnsi" w:hAnsiTheme="minorHAnsi" w:cstheme="minorHAnsi"/>
          <w:b/>
          <w:bCs/>
          <w:sz w:val="26"/>
          <w:szCs w:val="26"/>
        </w:rPr>
        <w:t>Activitatea membrilor aleși, reprezentanți ai societății civile</w:t>
      </w:r>
      <w:bookmarkEnd w:id="65"/>
    </w:p>
    <w:p w14:paraId="0CD550D7" w14:textId="77777777" w:rsidR="00BB658B" w:rsidRPr="00BB658B" w:rsidRDefault="00BB658B" w:rsidP="009E3AD8">
      <w:pPr>
        <w:spacing w:line="276" w:lineRule="auto"/>
        <w:jc w:val="both"/>
        <w:rPr>
          <w:rFonts w:asciiTheme="minorHAnsi" w:hAnsiTheme="minorHAnsi" w:cstheme="minorHAnsi"/>
          <w:sz w:val="26"/>
          <w:szCs w:val="26"/>
        </w:rPr>
      </w:pPr>
      <w:r w:rsidRPr="00BB658B">
        <w:rPr>
          <w:rFonts w:asciiTheme="minorHAnsi" w:hAnsiTheme="minorHAnsi" w:cstheme="minorHAnsi"/>
          <w:sz w:val="26"/>
          <w:szCs w:val="26"/>
        </w:rPr>
        <w:tab/>
        <w:t xml:space="preserve">Membrii aleși ai Consiliului Superior al Magistraturii, reprezentanți ai societății civile, potrivit art. 56 alin. 8 lit. b din Legea nr. 305/2022 privind Consiliul Superior al Magistraturii, au ca îndatorire specifică consultarea organizațiilor civile cu privire la propunerile și sugestiile acestora privind demersurile necesare la nivelul Consiliului pentru îmbunătățirea activității instituțiilor judiciare ca serviciu public aflat în slujba societății, întocmind în acest sens un raport trimestrial de analiză și sinteză a propunerilor, pe care îl transmit plenului sau secțiilor, după caz, pentru analiză și decizie. </w:t>
      </w:r>
    </w:p>
    <w:p w14:paraId="6E8B02FF" w14:textId="77777777" w:rsidR="00BB658B" w:rsidRPr="00BB658B" w:rsidRDefault="00BB658B" w:rsidP="009E3AD8">
      <w:pPr>
        <w:spacing w:line="276" w:lineRule="auto"/>
        <w:jc w:val="both"/>
        <w:rPr>
          <w:rFonts w:asciiTheme="minorHAnsi" w:hAnsiTheme="minorHAnsi" w:cstheme="minorHAnsi"/>
          <w:sz w:val="26"/>
          <w:szCs w:val="26"/>
        </w:rPr>
      </w:pPr>
      <w:r w:rsidRPr="00BB658B">
        <w:rPr>
          <w:rFonts w:asciiTheme="minorHAnsi" w:hAnsiTheme="minorHAnsi" w:cstheme="minorHAnsi"/>
          <w:sz w:val="26"/>
          <w:szCs w:val="26"/>
        </w:rPr>
        <w:tab/>
        <w:t xml:space="preserve">Aceste atribuții ale membrilor aleși, reprezentanți ai societății civile, au menirea de a realiza o legătură reală cu societatea civilă, dar și de a asigura transparentizarea publică către societate a tuturor activităților și acțiunilor Consiliului Superior al Magistraturii având drept obiectiv eficientizarea și îmbunătățirea activității sistemului judiciar, în ansamblu. </w:t>
      </w:r>
    </w:p>
    <w:p w14:paraId="65FEE7FF" w14:textId="77777777" w:rsidR="00BB658B" w:rsidRPr="00BB658B" w:rsidRDefault="00BB658B" w:rsidP="009E3AD8">
      <w:pPr>
        <w:spacing w:line="276" w:lineRule="auto"/>
        <w:jc w:val="both"/>
        <w:rPr>
          <w:rFonts w:asciiTheme="minorHAnsi" w:hAnsiTheme="minorHAnsi" w:cstheme="minorHAnsi"/>
          <w:sz w:val="26"/>
          <w:szCs w:val="26"/>
        </w:rPr>
      </w:pPr>
      <w:r w:rsidRPr="00BB658B">
        <w:rPr>
          <w:rFonts w:asciiTheme="minorHAnsi" w:hAnsiTheme="minorHAnsi" w:cstheme="minorHAnsi"/>
          <w:sz w:val="26"/>
          <w:szCs w:val="26"/>
        </w:rPr>
        <w:tab/>
        <w:t>Întocmirea și prezentarea rapoartelor prevăzute prin actul normativ enunțat prezintă importanță din perspectiva reflectării transparenței publice în procesul decizional și reprezintă o intermediere funcțională între corpul magistraților și societate, contribuind prin aceasta la consolidarea încrederii societății în justiție, dar și la realizarea unui control civic, public și transparent al justiției în societatea contemporană.</w:t>
      </w:r>
    </w:p>
    <w:p w14:paraId="7F17091C" w14:textId="50FC9249" w:rsidR="00BB658B" w:rsidRPr="00BB658B" w:rsidRDefault="00BB658B" w:rsidP="009E3AD8">
      <w:pPr>
        <w:spacing w:line="276" w:lineRule="auto"/>
        <w:jc w:val="both"/>
        <w:rPr>
          <w:rFonts w:asciiTheme="minorHAnsi" w:hAnsiTheme="minorHAnsi" w:cstheme="minorHAnsi"/>
          <w:sz w:val="26"/>
          <w:szCs w:val="26"/>
        </w:rPr>
      </w:pPr>
      <w:r w:rsidRPr="00BB658B">
        <w:rPr>
          <w:rFonts w:asciiTheme="minorHAnsi" w:hAnsiTheme="minorHAnsi" w:cstheme="minorHAnsi"/>
          <w:sz w:val="26"/>
          <w:szCs w:val="26"/>
        </w:rPr>
        <w:lastRenderedPageBreak/>
        <w:tab/>
        <w:t>În temeiul acestor prerogative, și în anul 2025, membrii aleși, reprezentanți ai societății civile, și-au îndeplinit prerogativele conferite de lege, fiind întocmite rapoarte trimestriale referitoare la consultarea organizațiilor societăților civile cu privire la propunerile și sugestiile acestora privind demersurile necesare la nivelul Consiliului pentru îmbunătățirea activității instituțiilor judiciare ca serviciu public aflat în slujba societății.</w:t>
      </w:r>
    </w:p>
    <w:p w14:paraId="31C57175" w14:textId="0484ED8A" w:rsidR="00BB658B" w:rsidRPr="00BB658B" w:rsidRDefault="00BB658B" w:rsidP="009E3AD8">
      <w:pPr>
        <w:spacing w:line="276" w:lineRule="auto"/>
        <w:jc w:val="both"/>
        <w:rPr>
          <w:rFonts w:asciiTheme="minorHAnsi" w:hAnsiTheme="minorHAnsi" w:cstheme="minorHAnsi"/>
          <w:sz w:val="26"/>
          <w:szCs w:val="26"/>
        </w:rPr>
      </w:pPr>
      <w:r w:rsidRPr="00BB658B">
        <w:rPr>
          <w:rFonts w:asciiTheme="minorHAnsi" w:hAnsiTheme="minorHAnsi" w:cstheme="minorHAnsi"/>
          <w:sz w:val="26"/>
          <w:szCs w:val="26"/>
        </w:rPr>
        <w:tab/>
        <w:t>Rapoarte trimestriale au analizat activitatea efectivă a membrilor aleși, reprezentanți ai societății civile, cu referire la întâlnirile de lucru derulate și agenda acestora, numărul de petiții primite din partea cetățenilor și obiectul acestora, proiectele de hotărâri puse în dezbatere publică, precum și mesajele publice transmise cu ocazia diferitelor evenimente de interes, apreciindu-se că în perioadele de referință vizate de rapoarte la nivelul Consiliului s-a realizat o informare publică constantă și transparentă cu privire la lucrările desfășurate la nivelul instituției.</w:t>
      </w:r>
    </w:p>
    <w:p w14:paraId="7E9E59C3" w14:textId="7A9973A3" w:rsidR="00BB658B" w:rsidRPr="00BB658B" w:rsidRDefault="00BB658B" w:rsidP="009E3AD8">
      <w:pPr>
        <w:spacing w:line="276" w:lineRule="auto"/>
        <w:jc w:val="both"/>
        <w:rPr>
          <w:rFonts w:cstheme="minorHAnsi"/>
          <w:sz w:val="26"/>
          <w:szCs w:val="26"/>
        </w:rPr>
      </w:pPr>
      <w:r w:rsidRPr="00BB658B">
        <w:rPr>
          <w:rFonts w:asciiTheme="minorHAnsi" w:hAnsiTheme="minorHAnsi" w:cstheme="minorHAnsi"/>
          <w:sz w:val="26"/>
          <w:szCs w:val="26"/>
        </w:rPr>
        <w:tab/>
        <w:t>În baza competențelor conferite de legea privind Consiliul Superior al Magistraturii, reprezentanții societății civile au participat în cursul anului 2025 la mai multe ședințe de prezentare a rapoartelor de activitate la nivelul instanțelor de judecată și a unităților de parchet din țară precum și la alte întâlniri de lucru.</w:t>
      </w:r>
    </w:p>
    <w:p w14:paraId="1BE679E4" w14:textId="5EAA859A" w:rsidR="00BB658B" w:rsidRPr="00BB658B" w:rsidRDefault="00BB658B" w:rsidP="009E3AD8">
      <w:pPr>
        <w:spacing w:line="276" w:lineRule="auto"/>
        <w:jc w:val="both"/>
        <w:rPr>
          <w:rFonts w:asciiTheme="minorHAnsi" w:hAnsiTheme="minorHAnsi" w:cstheme="minorHAnsi"/>
          <w:sz w:val="26"/>
          <w:szCs w:val="26"/>
        </w:rPr>
      </w:pPr>
      <w:r w:rsidRPr="00BB658B">
        <w:rPr>
          <w:rFonts w:asciiTheme="minorHAnsi" w:hAnsiTheme="minorHAnsi" w:cstheme="minorHAnsi"/>
          <w:sz w:val="26"/>
          <w:szCs w:val="26"/>
        </w:rPr>
        <w:tab/>
        <w:t>De asemenea, sunt de notat întâlnirile fecvente pe care membrii aleși ai Consiliului Superior al Magistraturii din partea societății civile le-au avut în cursul anului 2025 cu reprezentanții celorlalte profesii juridice</w:t>
      </w:r>
      <w:r w:rsidR="00B97C6A">
        <w:rPr>
          <w:rFonts w:asciiTheme="minorHAnsi" w:hAnsiTheme="minorHAnsi" w:cstheme="minorHAnsi"/>
          <w:sz w:val="26"/>
          <w:szCs w:val="26"/>
        </w:rPr>
        <w:t>,</w:t>
      </w:r>
      <w:r w:rsidRPr="00BB658B">
        <w:rPr>
          <w:rFonts w:asciiTheme="minorHAnsi" w:hAnsiTheme="minorHAnsi" w:cstheme="minorHAnsi"/>
          <w:sz w:val="26"/>
          <w:szCs w:val="26"/>
        </w:rPr>
        <w:t xml:space="preserve"> a</w:t>
      </w:r>
      <w:r w:rsidR="00B97C6A">
        <w:rPr>
          <w:rFonts w:asciiTheme="minorHAnsi" w:hAnsiTheme="minorHAnsi" w:cstheme="minorHAnsi"/>
          <w:sz w:val="26"/>
          <w:szCs w:val="26"/>
        </w:rPr>
        <w:t>i</w:t>
      </w:r>
      <w:r w:rsidRPr="00BB658B">
        <w:rPr>
          <w:rFonts w:asciiTheme="minorHAnsi" w:hAnsiTheme="minorHAnsi" w:cstheme="minorHAnsi"/>
          <w:sz w:val="26"/>
          <w:szCs w:val="26"/>
        </w:rPr>
        <w:t xml:space="preserve"> puterilor legislativă și executivă, precum și cu diferite instituții ale statului care contribuie la înfăptuirea actului de justiție, potrivit principiului separației și echilibrului puterilor în cadrul democrației constituționale, pentru îmbunătățirea percepției publice cu privire la actvitatea Consiliului și a întregului sistem judiciar, precum și pentru obținerea sprijinului necesar pentru îmbunătățirea condițiilor de activitate. </w:t>
      </w:r>
    </w:p>
    <w:p w14:paraId="73DED09B" w14:textId="29F17339" w:rsidR="00BB658B" w:rsidRPr="00BB658B" w:rsidRDefault="00BB658B" w:rsidP="009E3AD8">
      <w:pPr>
        <w:spacing w:line="276" w:lineRule="auto"/>
        <w:jc w:val="both"/>
        <w:rPr>
          <w:rFonts w:asciiTheme="minorHAnsi" w:hAnsiTheme="minorHAnsi" w:cstheme="minorHAnsi"/>
          <w:sz w:val="26"/>
          <w:szCs w:val="26"/>
        </w:rPr>
      </w:pPr>
      <w:r w:rsidRPr="00BB658B">
        <w:rPr>
          <w:rFonts w:asciiTheme="minorHAnsi" w:hAnsiTheme="minorHAnsi" w:cstheme="minorHAnsi"/>
          <w:sz w:val="26"/>
          <w:szCs w:val="26"/>
        </w:rPr>
        <w:tab/>
        <w:t>Întâlnirile sunt evidențiate distinct în Raportul privind monitorizarea respectării obligaţiilor Consiliului Superior al Magistraturii, de transparenţă, de asigurare a accesului publicului la informaţii şi soluţionare a petiţiilor în raport cu societatea civilă, intocmit anual și în agenda membrilor aleși ai Consiliului Superior al Magistraturii, reprezentanți ai societății civile, publicată pe site-ul C</w:t>
      </w:r>
      <w:r w:rsidR="00B97C6A">
        <w:rPr>
          <w:rFonts w:asciiTheme="minorHAnsi" w:hAnsiTheme="minorHAnsi" w:cstheme="minorHAnsi"/>
          <w:sz w:val="26"/>
          <w:szCs w:val="26"/>
        </w:rPr>
        <w:t>.</w:t>
      </w:r>
      <w:r w:rsidRPr="00BB658B">
        <w:rPr>
          <w:rFonts w:asciiTheme="minorHAnsi" w:hAnsiTheme="minorHAnsi" w:cstheme="minorHAnsi"/>
          <w:sz w:val="26"/>
          <w:szCs w:val="26"/>
        </w:rPr>
        <w:t>S</w:t>
      </w:r>
      <w:r w:rsidR="00B97C6A">
        <w:rPr>
          <w:rFonts w:asciiTheme="minorHAnsi" w:hAnsiTheme="minorHAnsi" w:cstheme="minorHAnsi"/>
          <w:sz w:val="26"/>
          <w:szCs w:val="26"/>
        </w:rPr>
        <w:t>.</w:t>
      </w:r>
      <w:r w:rsidRPr="00BB658B">
        <w:rPr>
          <w:rFonts w:asciiTheme="minorHAnsi" w:hAnsiTheme="minorHAnsi" w:cstheme="minorHAnsi"/>
          <w:sz w:val="26"/>
          <w:szCs w:val="26"/>
        </w:rPr>
        <w:t>M</w:t>
      </w:r>
      <w:r w:rsidR="00B97C6A">
        <w:rPr>
          <w:rFonts w:asciiTheme="minorHAnsi" w:hAnsiTheme="minorHAnsi" w:cstheme="minorHAnsi"/>
          <w:sz w:val="26"/>
          <w:szCs w:val="26"/>
        </w:rPr>
        <w:t>.</w:t>
      </w:r>
      <w:r w:rsidRPr="00BB658B">
        <w:rPr>
          <w:rFonts w:asciiTheme="minorHAnsi" w:hAnsiTheme="minorHAnsi" w:cstheme="minorHAnsi"/>
          <w:sz w:val="26"/>
          <w:szCs w:val="26"/>
        </w:rPr>
        <w:t xml:space="preserve"> în secțiunea dedicată.</w:t>
      </w:r>
    </w:p>
    <w:p w14:paraId="45F5ADAA" w14:textId="77777777" w:rsidR="00BB658B" w:rsidRPr="00BB658B" w:rsidRDefault="00BB658B" w:rsidP="009E3AD8">
      <w:pPr>
        <w:spacing w:line="276" w:lineRule="auto"/>
        <w:jc w:val="both"/>
        <w:rPr>
          <w:rFonts w:asciiTheme="minorHAnsi" w:hAnsiTheme="minorHAnsi" w:cstheme="minorHAnsi"/>
          <w:sz w:val="26"/>
          <w:szCs w:val="26"/>
        </w:rPr>
      </w:pPr>
      <w:r w:rsidRPr="00BB658B">
        <w:rPr>
          <w:rFonts w:asciiTheme="minorHAnsi" w:hAnsiTheme="minorHAnsi" w:cstheme="minorHAnsi"/>
          <w:sz w:val="26"/>
          <w:szCs w:val="26"/>
        </w:rPr>
        <w:tab/>
        <w:t>Astfel, se poate concluziona că membrii aleși ai Consiliului Superior al Magistraturii, reprezentanți ai societății civile, au contribuit, prin prisma rolului deținut, la promovarea valorilor democrației, încurajarea implicării sociale a cetățenilor în procesele de dezvoltare, libertatea de exprimare a acestora, societatea civilă fiind un instrument indispensabil pentru realizarea unui stat de drept.</w:t>
      </w:r>
    </w:p>
    <w:p w14:paraId="6F38F697" w14:textId="77777777" w:rsidR="00EB47E6" w:rsidRDefault="00EB47E6" w:rsidP="00A41D24">
      <w:pPr>
        <w:spacing w:line="276" w:lineRule="auto"/>
        <w:jc w:val="both"/>
        <w:rPr>
          <w:rFonts w:asciiTheme="minorHAnsi" w:hAnsiTheme="minorHAnsi" w:cstheme="minorHAnsi"/>
          <w:sz w:val="26"/>
          <w:szCs w:val="26"/>
        </w:rPr>
      </w:pPr>
    </w:p>
    <w:p w14:paraId="21E834ED" w14:textId="77777777" w:rsidR="0065137A" w:rsidRDefault="0065137A">
      <w:pPr>
        <w:spacing w:after="160" w:line="259" w:lineRule="auto"/>
        <w:rPr>
          <w:rFonts w:asciiTheme="minorHAnsi" w:eastAsiaTheme="majorEastAsia" w:hAnsiTheme="minorHAnsi" w:cstheme="minorHAnsi"/>
          <w:b/>
          <w:sz w:val="26"/>
          <w:szCs w:val="26"/>
        </w:rPr>
      </w:pPr>
      <w:r>
        <w:rPr>
          <w:rFonts w:cstheme="minorHAnsi"/>
          <w:sz w:val="26"/>
          <w:szCs w:val="26"/>
        </w:rPr>
        <w:br w:type="page"/>
      </w:r>
    </w:p>
    <w:p w14:paraId="6D64C35C" w14:textId="740C9620" w:rsidR="002E1B4C" w:rsidRPr="000F0D8B" w:rsidRDefault="006C1588" w:rsidP="009E3AD8">
      <w:pPr>
        <w:pStyle w:val="Heading1"/>
        <w:keepNext w:val="0"/>
        <w:keepLines w:val="0"/>
        <w:suppressLineNumbers/>
        <w:suppressAutoHyphens/>
        <w:ind w:firstLine="0"/>
        <w:rPr>
          <w:rFonts w:cstheme="minorHAnsi"/>
          <w:color w:val="auto"/>
          <w:sz w:val="26"/>
          <w:szCs w:val="26"/>
        </w:rPr>
      </w:pPr>
      <w:bookmarkStart w:id="66" w:name="_Toc219287951"/>
      <w:r w:rsidRPr="000F0D8B">
        <w:rPr>
          <w:rFonts w:cstheme="minorHAnsi"/>
          <w:color w:val="auto"/>
          <w:sz w:val="26"/>
          <w:szCs w:val="26"/>
        </w:rPr>
        <w:lastRenderedPageBreak/>
        <w:t>CAPITOLUL II</w:t>
      </w:r>
      <w:bookmarkEnd w:id="66"/>
    </w:p>
    <w:p w14:paraId="274FC3EC" w14:textId="2B4767C5" w:rsidR="006C1588" w:rsidRPr="000F0D8B" w:rsidRDefault="006C1588" w:rsidP="009E3AD8">
      <w:pPr>
        <w:pStyle w:val="Heading1"/>
        <w:keepNext w:val="0"/>
        <w:keepLines w:val="0"/>
        <w:suppressLineNumbers/>
        <w:suppressAutoHyphens/>
        <w:ind w:firstLine="0"/>
        <w:rPr>
          <w:rFonts w:cstheme="minorHAnsi"/>
          <w:color w:val="auto"/>
          <w:sz w:val="26"/>
          <w:szCs w:val="26"/>
        </w:rPr>
      </w:pPr>
      <w:bookmarkStart w:id="67" w:name="_Toc219287952"/>
      <w:r w:rsidRPr="000F0D8B">
        <w:rPr>
          <w:rFonts w:cstheme="minorHAnsi"/>
          <w:color w:val="auto"/>
          <w:sz w:val="26"/>
          <w:szCs w:val="26"/>
        </w:rPr>
        <w:t>Activităţi derulate în legătură cu atribuţiile administrativ</w:t>
      </w:r>
      <w:bookmarkEnd w:id="60"/>
      <w:bookmarkEnd w:id="61"/>
      <w:r w:rsidRPr="000F0D8B">
        <w:rPr>
          <w:rFonts w:cstheme="minorHAnsi"/>
          <w:color w:val="auto"/>
          <w:sz w:val="26"/>
          <w:szCs w:val="26"/>
        </w:rPr>
        <w:t>e ale Consiliului Superior al Magistraturii</w:t>
      </w:r>
      <w:bookmarkStart w:id="68" w:name="_Toc375653691"/>
      <w:bookmarkStart w:id="69" w:name="_Toc430867113"/>
      <w:bookmarkEnd w:id="67"/>
    </w:p>
    <w:p w14:paraId="749384F8" w14:textId="77777777" w:rsidR="00CB3F9B" w:rsidRPr="000F0D8B" w:rsidRDefault="00CB3F9B" w:rsidP="00E62136">
      <w:pPr>
        <w:pStyle w:val="Heading2"/>
        <w:keepLines w:val="0"/>
        <w:spacing w:before="0" w:after="0"/>
        <w:rPr>
          <w:rFonts w:cstheme="minorHAnsi"/>
          <w:color w:val="auto"/>
          <w:lang w:val="ro-RO"/>
        </w:rPr>
      </w:pPr>
      <w:bookmarkStart w:id="70" w:name="_Toc219287953"/>
      <w:bookmarkStart w:id="71" w:name="_Toc375653692"/>
      <w:bookmarkStart w:id="72" w:name="_Toc430867114"/>
      <w:bookmarkEnd w:id="68"/>
      <w:bookmarkEnd w:id="69"/>
      <w:r w:rsidRPr="000F0D8B">
        <w:rPr>
          <w:rFonts w:cstheme="minorHAnsi"/>
          <w:color w:val="auto"/>
          <w:lang w:val="ro-RO"/>
        </w:rPr>
        <w:t>II.1. Gestionarea carierei profesionale a judecătorilor și procurorilor</w:t>
      </w:r>
      <w:bookmarkEnd w:id="70"/>
      <w:r w:rsidRPr="000F0D8B">
        <w:rPr>
          <w:rFonts w:cstheme="minorHAnsi"/>
          <w:color w:val="auto"/>
          <w:lang w:val="ro-RO"/>
        </w:rPr>
        <w:t xml:space="preserve"> </w:t>
      </w:r>
    </w:p>
    <w:p w14:paraId="5742F358" w14:textId="5BAD6AFE" w:rsidR="00904931" w:rsidRPr="00AB7FF2" w:rsidRDefault="00904931" w:rsidP="00E62136">
      <w:pPr>
        <w:keepNext/>
        <w:keepLines/>
        <w:spacing w:line="276" w:lineRule="auto"/>
        <w:ind w:right="45" w:firstLine="709"/>
        <w:jc w:val="both"/>
        <w:rPr>
          <w:rFonts w:asciiTheme="minorHAnsi" w:hAnsiTheme="minorHAnsi" w:cstheme="minorHAnsi"/>
          <w:sz w:val="26"/>
          <w:szCs w:val="26"/>
        </w:rPr>
      </w:pPr>
      <w:r w:rsidRPr="00AB7FF2">
        <w:rPr>
          <w:rFonts w:asciiTheme="minorHAnsi" w:hAnsiTheme="minorHAnsi" w:cstheme="minorHAnsi"/>
          <w:sz w:val="26"/>
          <w:szCs w:val="26"/>
        </w:rPr>
        <w:t xml:space="preserve">Asigurarea necesarului de resurse umane pentru buna desfăşurare a activităţii la nivelul instanţelor şi parchetelor a reprezentat, şi la nivelul anului 2025, </w:t>
      </w:r>
      <w:r w:rsidR="00822516">
        <w:rPr>
          <w:rFonts w:asciiTheme="minorHAnsi" w:hAnsiTheme="minorHAnsi" w:cstheme="minorHAnsi"/>
          <w:sz w:val="26"/>
          <w:szCs w:val="26"/>
        </w:rPr>
        <w:t xml:space="preserve">un </w:t>
      </w:r>
      <w:r w:rsidRPr="00AB7FF2">
        <w:rPr>
          <w:rFonts w:asciiTheme="minorHAnsi" w:hAnsiTheme="minorHAnsi" w:cstheme="minorHAnsi"/>
          <w:sz w:val="26"/>
          <w:szCs w:val="26"/>
        </w:rPr>
        <w:t xml:space="preserve">obiectiv </w:t>
      </w:r>
      <w:r w:rsidR="00822516">
        <w:rPr>
          <w:rFonts w:asciiTheme="minorHAnsi" w:hAnsiTheme="minorHAnsi" w:cstheme="minorHAnsi"/>
          <w:sz w:val="26"/>
          <w:szCs w:val="26"/>
        </w:rPr>
        <w:t xml:space="preserve">esenţial pentru </w:t>
      </w:r>
      <w:r w:rsidRPr="00AB7FF2">
        <w:rPr>
          <w:rFonts w:asciiTheme="minorHAnsi" w:hAnsiTheme="minorHAnsi" w:cstheme="minorHAnsi"/>
          <w:sz w:val="26"/>
          <w:szCs w:val="26"/>
        </w:rPr>
        <w:t>Consiliul</w:t>
      </w:r>
      <w:r w:rsidR="00822516">
        <w:rPr>
          <w:rFonts w:asciiTheme="minorHAnsi" w:hAnsiTheme="minorHAnsi" w:cstheme="minorHAnsi"/>
          <w:sz w:val="26"/>
          <w:szCs w:val="26"/>
        </w:rPr>
        <w:t xml:space="preserve"> </w:t>
      </w:r>
      <w:r w:rsidRPr="00AB7FF2">
        <w:rPr>
          <w:rFonts w:asciiTheme="minorHAnsi" w:hAnsiTheme="minorHAnsi" w:cstheme="minorHAnsi"/>
          <w:sz w:val="26"/>
          <w:szCs w:val="26"/>
        </w:rPr>
        <w:t xml:space="preserve">Superior al Magistraturii. În acest context, ocuparea posturilor vacante de judecător şi procuror s-a realizat prin toate modalităţile prevăzute de lege, astfel cum rezultă din datele ce vor fi prezentate mai jos.  </w:t>
      </w:r>
    </w:p>
    <w:p w14:paraId="3E7E5D65" w14:textId="77777777" w:rsidR="00904931" w:rsidRPr="00AB7FF2" w:rsidRDefault="00904931" w:rsidP="00281400">
      <w:pPr>
        <w:numPr>
          <w:ilvl w:val="0"/>
          <w:numId w:val="18"/>
        </w:numPr>
        <w:spacing w:line="276" w:lineRule="auto"/>
        <w:ind w:right="48"/>
        <w:contextualSpacing/>
        <w:jc w:val="both"/>
        <w:rPr>
          <w:rFonts w:asciiTheme="minorHAnsi" w:hAnsiTheme="minorHAnsi" w:cstheme="minorHAnsi"/>
          <w:b/>
          <w:color w:val="000000" w:themeColor="text1"/>
          <w:sz w:val="26"/>
          <w:szCs w:val="26"/>
        </w:rPr>
      </w:pPr>
      <w:r w:rsidRPr="00AB7FF2">
        <w:rPr>
          <w:rFonts w:asciiTheme="minorHAnsi" w:hAnsiTheme="minorHAnsi" w:cstheme="minorHAnsi"/>
          <w:b/>
          <w:color w:val="000000" w:themeColor="text1"/>
          <w:sz w:val="26"/>
          <w:szCs w:val="26"/>
        </w:rPr>
        <w:t>Evoluţia gradului de ocupare a posturilor de judecător şi procuror</w:t>
      </w:r>
    </w:p>
    <w:p w14:paraId="10D1D126" w14:textId="77777777" w:rsidR="00904931" w:rsidRPr="00AB7FF2" w:rsidRDefault="00904931" w:rsidP="009E3AD8">
      <w:pPr>
        <w:spacing w:line="276" w:lineRule="auto"/>
        <w:ind w:right="48" w:firstLine="709"/>
        <w:jc w:val="both"/>
        <w:rPr>
          <w:rFonts w:asciiTheme="minorHAnsi" w:hAnsiTheme="minorHAnsi" w:cstheme="minorHAnsi"/>
          <w:b/>
          <w:color w:val="000000" w:themeColor="text1"/>
          <w:sz w:val="26"/>
          <w:szCs w:val="26"/>
        </w:rPr>
      </w:pPr>
      <w:r w:rsidRPr="00AB7FF2">
        <w:rPr>
          <w:rFonts w:asciiTheme="minorHAnsi" w:hAnsiTheme="minorHAnsi" w:cstheme="minorHAnsi"/>
          <w:b/>
          <w:color w:val="000000" w:themeColor="text1"/>
          <w:sz w:val="26"/>
          <w:szCs w:val="26"/>
        </w:rPr>
        <w:t>Situaţia posturilor de judecător la începutul anului 2025</w:t>
      </w:r>
    </w:p>
    <w:p w14:paraId="5C515008" w14:textId="706EB04C" w:rsidR="00904931" w:rsidRPr="00AB7FF2" w:rsidRDefault="00904931" w:rsidP="009E3AD8">
      <w:pPr>
        <w:spacing w:line="276" w:lineRule="auto"/>
        <w:ind w:right="48" w:firstLine="709"/>
        <w:jc w:val="both"/>
        <w:rPr>
          <w:rFonts w:asciiTheme="minorHAnsi" w:hAnsiTheme="minorHAnsi" w:cstheme="minorHAnsi"/>
          <w:color w:val="000000" w:themeColor="text1"/>
          <w:sz w:val="26"/>
          <w:szCs w:val="26"/>
        </w:rPr>
      </w:pPr>
      <w:r w:rsidRPr="00AB7FF2">
        <w:rPr>
          <w:rFonts w:asciiTheme="minorHAnsi" w:hAnsiTheme="minorHAnsi" w:cstheme="minorHAnsi"/>
          <w:color w:val="000000" w:themeColor="text1"/>
          <w:sz w:val="26"/>
          <w:szCs w:val="26"/>
        </w:rPr>
        <w:t xml:space="preserve">La data de 01 ianuarie 2025, din totalul de 5071 de posturi de judecător, erau ocupate 4251 </w:t>
      </w:r>
      <w:r w:rsidR="004C4EB2">
        <w:rPr>
          <w:rFonts w:asciiTheme="minorHAnsi" w:hAnsiTheme="minorHAnsi" w:cstheme="minorHAnsi"/>
          <w:color w:val="000000" w:themeColor="text1"/>
          <w:sz w:val="26"/>
          <w:szCs w:val="26"/>
        </w:rPr>
        <w:t xml:space="preserve">de </w:t>
      </w:r>
      <w:r w:rsidRPr="00AB7FF2">
        <w:rPr>
          <w:rFonts w:asciiTheme="minorHAnsi" w:hAnsiTheme="minorHAnsi" w:cstheme="minorHAnsi"/>
          <w:color w:val="000000" w:themeColor="text1"/>
          <w:sz w:val="26"/>
          <w:szCs w:val="26"/>
        </w:rPr>
        <w:t xml:space="preserve">posturi şi vacante 820 de posturi, înregistrându-se un grad de ocupare de 83%. Cauza principală a gradului mare de posturi vacante a reprezentat-o insecuritatea legislativă în domeniul atât al pensiei de serviciu, cât şi al salarizării judecătorilor şi procurorilor. </w:t>
      </w:r>
    </w:p>
    <w:p w14:paraId="367829B5" w14:textId="77777777" w:rsidR="00904931" w:rsidRPr="00AB7FF2" w:rsidRDefault="00904931" w:rsidP="009E3AD8">
      <w:pPr>
        <w:spacing w:line="276" w:lineRule="auto"/>
        <w:ind w:right="45" w:firstLine="708"/>
        <w:jc w:val="both"/>
        <w:rPr>
          <w:rFonts w:asciiTheme="minorHAnsi" w:hAnsiTheme="minorHAnsi" w:cstheme="minorHAnsi"/>
          <w:color w:val="000000" w:themeColor="text1"/>
          <w:sz w:val="26"/>
          <w:szCs w:val="26"/>
        </w:rPr>
      </w:pPr>
      <w:r w:rsidRPr="00AB7FF2">
        <w:rPr>
          <w:rFonts w:asciiTheme="minorHAnsi" w:hAnsiTheme="minorHAnsi" w:cstheme="minorHAnsi"/>
          <w:color w:val="000000" w:themeColor="text1"/>
          <w:sz w:val="26"/>
          <w:szCs w:val="26"/>
        </w:rPr>
        <w:t xml:space="preserve">Din totalul judecătorilor în funcție, cu luarea în calcul inclusiv a acelor judecători care ocupau pe perioadă nedeterminată posturi temporar vacante în condițiile art. 147 din Legea nr. 304/2022 privind organizarea judiciară, cu modificările și completările ulterioare, la începutul anului 2025, 3221 erau femei și 1236 erau bărbați. Diferenţele aparente între situaţia posturilor ocupate şi numărul efectiv al judecătorilor în funcţie rezultă din ocuparea posturilor în condiţiile art. 147 anterior menţionat. </w:t>
      </w:r>
    </w:p>
    <w:p w14:paraId="3AE4E6B0" w14:textId="77777777" w:rsidR="00904931" w:rsidRPr="00363F1E" w:rsidRDefault="00904931" w:rsidP="009E3AD8">
      <w:pPr>
        <w:spacing w:line="276" w:lineRule="auto"/>
        <w:ind w:right="45" w:firstLine="708"/>
        <w:jc w:val="both"/>
        <w:rPr>
          <w:rFonts w:asciiTheme="minorHAnsi" w:hAnsiTheme="minorHAnsi" w:cstheme="minorHAnsi"/>
          <w:color w:val="000000" w:themeColor="text1"/>
          <w:sz w:val="26"/>
          <w:szCs w:val="26"/>
        </w:rPr>
      </w:pPr>
      <w:r w:rsidRPr="00363F1E">
        <w:rPr>
          <w:rFonts w:asciiTheme="minorHAnsi" w:hAnsiTheme="minorHAnsi" w:cstheme="minorHAnsi"/>
          <w:color w:val="000000" w:themeColor="text1"/>
          <w:sz w:val="26"/>
          <w:szCs w:val="26"/>
        </w:rPr>
        <w:t>Astfel,  situaţia posturilor la nivelul instanţelor judecătoreşti se prezenta astfel:</w:t>
      </w:r>
    </w:p>
    <w:tbl>
      <w:tblPr>
        <w:tblpPr w:leftFromText="180" w:rightFromText="180" w:vertAnchor="text" w:tblpXSpec="center" w:tblpY="1"/>
        <w:tblOverlap w:val="never"/>
        <w:tblW w:w="9465" w:type="dxa"/>
        <w:tblCellMar>
          <w:left w:w="10" w:type="dxa"/>
          <w:right w:w="10" w:type="dxa"/>
        </w:tblCellMar>
        <w:tblLook w:val="04A0" w:firstRow="1" w:lastRow="0" w:firstColumn="1" w:lastColumn="0" w:noHBand="0" w:noVBand="1"/>
      </w:tblPr>
      <w:tblGrid>
        <w:gridCol w:w="2334"/>
        <w:gridCol w:w="1063"/>
        <w:gridCol w:w="1120"/>
        <w:gridCol w:w="1392"/>
        <w:gridCol w:w="1032"/>
        <w:gridCol w:w="1120"/>
        <w:gridCol w:w="1395"/>
        <w:gridCol w:w="9"/>
      </w:tblGrid>
      <w:tr w:rsidR="00904931" w:rsidRPr="00363F1E" w14:paraId="759AEC83" w14:textId="77777777" w:rsidTr="00BE6FF5">
        <w:trPr>
          <w:cantSplit/>
          <w:trHeight w:val="1"/>
        </w:trPr>
        <w:tc>
          <w:tcPr>
            <w:tcW w:w="2334"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A72B0EC" w14:textId="77777777" w:rsidR="00904931" w:rsidRPr="00363F1E" w:rsidRDefault="00904931" w:rsidP="00474D4A">
            <w:pPr>
              <w:keepNext/>
              <w:keepLines/>
              <w:spacing w:line="276" w:lineRule="auto"/>
              <w:jc w:val="center"/>
              <w:rPr>
                <w:rFonts w:asciiTheme="minorHAnsi" w:hAnsiTheme="minorHAnsi" w:cstheme="minorHAnsi"/>
                <w:color w:val="000000" w:themeColor="text1"/>
                <w:sz w:val="26"/>
                <w:szCs w:val="26"/>
              </w:rPr>
            </w:pPr>
            <w:r w:rsidRPr="00363F1E">
              <w:rPr>
                <w:rFonts w:asciiTheme="minorHAnsi" w:hAnsiTheme="minorHAnsi" w:cstheme="minorHAnsi"/>
                <w:b/>
                <w:color w:val="000000" w:themeColor="text1"/>
                <w:sz w:val="26"/>
                <w:szCs w:val="26"/>
              </w:rPr>
              <w:t>Categoria</w:t>
            </w:r>
          </w:p>
        </w:tc>
        <w:tc>
          <w:tcPr>
            <w:tcW w:w="3575"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CFA3669" w14:textId="77777777" w:rsidR="00904931" w:rsidRPr="00363F1E" w:rsidRDefault="00904931" w:rsidP="00474D4A">
            <w:pPr>
              <w:keepNext/>
              <w:keepLines/>
              <w:spacing w:line="276" w:lineRule="auto"/>
              <w:jc w:val="center"/>
              <w:rPr>
                <w:rFonts w:asciiTheme="minorHAnsi" w:hAnsiTheme="minorHAnsi" w:cstheme="minorHAnsi"/>
                <w:color w:val="000000" w:themeColor="text1"/>
                <w:sz w:val="26"/>
                <w:szCs w:val="26"/>
              </w:rPr>
            </w:pPr>
            <w:r w:rsidRPr="00363F1E">
              <w:rPr>
                <w:rFonts w:asciiTheme="minorHAnsi" w:hAnsiTheme="minorHAnsi" w:cstheme="minorHAnsi"/>
                <w:b/>
                <w:color w:val="000000" w:themeColor="text1"/>
                <w:sz w:val="26"/>
                <w:szCs w:val="26"/>
              </w:rPr>
              <w:t>Posturi de judecător prevăzute în schemă – 01.01.2025</w:t>
            </w:r>
          </w:p>
        </w:tc>
        <w:tc>
          <w:tcPr>
            <w:tcW w:w="3556"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6062A8B" w14:textId="77777777" w:rsidR="00904931" w:rsidRPr="00363F1E" w:rsidRDefault="00904931" w:rsidP="00474D4A">
            <w:pPr>
              <w:keepNext/>
              <w:keepLines/>
              <w:spacing w:line="276" w:lineRule="auto"/>
              <w:jc w:val="center"/>
              <w:rPr>
                <w:rFonts w:asciiTheme="minorHAnsi" w:hAnsiTheme="minorHAnsi" w:cstheme="minorHAnsi"/>
                <w:color w:val="000000" w:themeColor="text1"/>
                <w:sz w:val="26"/>
                <w:szCs w:val="26"/>
              </w:rPr>
            </w:pPr>
            <w:r w:rsidRPr="00363F1E">
              <w:rPr>
                <w:rFonts w:asciiTheme="minorHAnsi" w:hAnsiTheme="minorHAnsi" w:cstheme="minorHAnsi"/>
                <w:b/>
                <w:color w:val="000000" w:themeColor="text1"/>
                <w:sz w:val="26"/>
                <w:szCs w:val="26"/>
              </w:rPr>
              <w:t>Posturi de judecător vacante – 01.01.2025</w:t>
            </w:r>
          </w:p>
        </w:tc>
      </w:tr>
      <w:tr w:rsidR="00904931" w:rsidRPr="00363F1E" w14:paraId="37BD7320" w14:textId="77777777" w:rsidTr="00BE6FF5">
        <w:trPr>
          <w:gridAfter w:val="1"/>
          <w:wAfter w:w="9" w:type="dxa"/>
          <w:cantSplit/>
          <w:trHeight w:val="1"/>
        </w:trPr>
        <w:tc>
          <w:tcPr>
            <w:tcW w:w="2334" w:type="dxa"/>
            <w:vMerge/>
            <w:tcBorders>
              <w:top w:val="single" w:sz="4" w:space="0" w:color="000000"/>
              <w:left w:val="single" w:sz="4" w:space="0" w:color="000000"/>
              <w:bottom w:val="single" w:sz="4" w:space="0" w:color="000000"/>
              <w:right w:val="single" w:sz="4" w:space="0" w:color="000000"/>
            </w:tcBorders>
            <w:vAlign w:val="center"/>
            <w:hideMark/>
          </w:tcPr>
          <w:p w14:paraId="53704B82" w14:textId="77777777" w:rsidR="00904931" w:rsidRPr="00363F1E" w:rsidRDefault="00904931" w:rsidP="009E3AD8">
            <w:pPr>
              <w:spacing w:line="276" w:lineRule="auto"/>
              <w:rPr>
                <w:rFonts w:asciiTheme="minorHAnsi" w:hAnsiTheme="minorHAnsi" w:cstheme="minorHAnsi"/>
                <w:color w:val="000000" w:themeColor="text1"/>
                <w:sz w:val="26"/>
                <w:szCs w:val="26"/>
              </w:rPr>
            </w:pPr>
          </w:p>
        </w:tc>
        <w:tc>
          <w:tcPr>
            <w:tcW w:w="10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60DA60D" w14:textId="77777777" w:rsidR="00904931" w:rsidRPr="00363F1E" w:rsidRDefault="00904931" w:rsidP="009E3AD8">
            <w:pPr>
              <w:keepNext/>
              <w:keepLines/>
              <w:spacing w:line="276" w:lineRule="auto"/>
              <w:jc w:val="both"/>
              <w:rPr>
                <w:rFonts w:asciiTheme="minorHAnsi" w:hAnsiTheme="minorHAnsi" w:cstheme="minorHAnsi"/>
                <w:color w:val="000000" w:themeColor="text1"/>
                <w:sz w:val="26"/>
                <w:szCs w:val="26"/>
              </w:rPr>
            </w:pPr>
            <w:r w:rsidRPr="00363F1E">
              <w:rPr>
                <w:rFonts w:asciiTheme="minorHAnsi" w:hAnsiTheme="minorHAnsi" w:cstheme="minorHAnsi"/>
                <w:b/>
                <w:color w:val="000000" w:themeColor="text1"/>
                <w:sz w:val="26"/>
                <w:szCs w:val="26"/>
              </w:rPr>
              <w:t>Total</w:t>
            </w:r>
          </w:p>
        </w:tc>
        <w:tc>
          <w:tcPr>
            <w:tcW w:w="112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4A802D0" w14:textId="77777777" w:rsidR="00904931" w:rsidRPr="00363F1E" w:rsidRDefault="00904931" w:rsidP="009E3AD8">
            <w:pPr>
              <w:keepNext/>
              <w:keepLines/>
              <w:spacing w:line="276" w:lineRule="auto"/>
              <w:jc w:val="both"/>
              <w:rPr>
                <w:rFonts w:asciiTheme="minorHAnsi" w:hAnsiTheme="minorHAnsi" w:cstheme="minorHAnsi"/>
                <w:color w:val="000000" w:themeColor="text1"/>
                <w:sz w:val="26"/>
                <w:szCs w:val="26"/>
              </w:rPr>
            </w:pPr>
            <w:r w:rsidRPr="00363F1E">
              <w:rPr>
                <w:rFonts w:asciiTheme="minorHAnsi" w:hAnsiTheme="minorHAnsi" w:cstheme="minorHAnsi"/>
                <w:color w:val="000000" w:themeColor="text1"/>
                <w:sz w:val="26"/>
                <w:szCs w:val="26"/>
              </w:rPr>
              <w:t>Execuție</w:t>
            </w:r>
          </w:p>
        </w:tc>
        <w:tc>
          <w:tcPr>
            <w:tcW w:w="139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C80A0FB" w14:textId="77777777" w:rsidR="00904931" w:rsidRPr="00363F1E" w:rsidRDefault="00904931" w:rsidP="009E3AD8">
            <w:pPr>
              <w:keepNext/>
              <w:keepLines/>
              <w:spacing w:line="276" w:lineRule="auto"/>
              <w:jc w:val="both"/>
              <w:rPr>
                <w:rFonts w:asciiTheme="minorHAnsi" w:hAnsiTheme="minorHAnsi" w:cstheme="minorHAnsi"/>
                <w:color w:val="000000" w:themeColor="text1"/>
                <w:sz w:val="26"/>
                <w:szCs w:val="26"/>
              </w:rPr>
            </w:pPr>
            <w:r w:rsidRPr="00363F1E">
              <w:rPr>
                <w:rFonts w:asciiTheme="minorHAnsi" w:hAnsiTheme="minorHAnsi" w:cstheme="minorHAnsi"/>
                <w:color w:val="000000" w:themeColor="text1"/>
                <w:sz w:val="26"/>
                <w:szCs w:val="26"/>
              </w:rPr>
              <w:t>Conducere</w:t>
            </w:r>
          </w:p>
        </w:tc>
        <w:tc>
          <w:tcPr>
            <w:tcW w:w="103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DAC9898" w14:textId="77777777" w:rsidR="00904931" w:rsidRPr="00363F1E" w:rsidRDefault="00904931" w:rsidP="009E3AD8">
            <w:pPr>
              <w:keepNext/>
              <w:keepLines/>
              <w:spacing w:line="276" w:lineRule="auto"/>
              <w:jc w:val="both"/>
              <w:rPr>
                <w:rFonts w:asciiTheme="minorHAnsi" w:hAnsiTheme="minorHAnsi" w:cstheme="minorHAnsi"/>
                <w:color w:val="000000" w:themeColor="text1"/>
                <w:sz w:val="26"/>
                <w:szCs w:val="26"/>
              </w:rPr>
            </w:pPr>
            <w:r w:rsidRPr="00363F1E">
              <w:rPr>
                <w:rFonts w:asciiTheme="minorHAnsi" w:hAnsiTheme="minorHAnsi" w:cstheme="minorHAnsi"/>
                <w:b/>
                <w:color w:val="000000" w:themeColor="text1"/>
                <w:sz w:val="26"/>
                <w:szCs w:val="26"/>
              </w:rPr>
              <w:t>Total</w:t>
            </w:r>
          </w:p>
        </w:tc>
        <w:tc>
          <w:tcPr>
            <w:tcW w:w="112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166F022" w14:textId="77777777" w:rsidR="00904931" w:rsidRPr="00363F1E" w:rsidRDefault="00904931" w:rsidP="009E3AD8">
            <w:pPr>
              <w:keepNext/>
              <w:keepLines/>
              <w:spacing w:line="276" w:lineRule="auto"/>
              <w:jc w:val="both"/>
              <w:rPr>
                <w:rFonts w:asciiTheme="minorHAnsi" w:hAnsiTheme="minorHAnsi" w:cstheme="minorHAnsi"/>
                <w:color w:val="000000" w:themeColor="text1"/>
                <w:sz w:val="26"/>
                <w:szCs w:val="26"/>
              </w:rPr>
            </w:pPr>
            <w:r w:rsidRPr="00363F1E">
              <w:rPr>
                <w:rFonts w:asciiTheme="minorHAnsi" w:hAnsiTheme="minorHAnsi" w:cstheme="minorHAnsi"/>
                <w:color w:val="000000" w:themeColor="text1"/>
                <w:sz w:val="26"/>
                <w:szCs w:val="26"/>
              </w:rPr>
              <w:t>Execuție</w:t>
            </w:r>
          </w:p>
        </w:tc>
        <w:tc>
          <w:tcPr>
            <w:tcW w:w="139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5173E4B" w14:textId="77777777" w:rsidR="00904931" w:rsidRPr="00363F1E" w:rsidRDefault="00904931" w:rsidP="009E3AD8">
            <w:pPr>
              <w:keepNext/>
              <w:keepLines/>
              <w:spacing w:line="276" w:lineRule="auto"/>
              <w:jc w:val="both"/>
              <w:rPr>
                <w:rFonts w:asciiTheme="minorHAnsi" w:hAnsiTheme="minorHAnsi" w:cstheme="minorHAnsi"/>
                <w:color w:val="000000" w:themeColor="text1"/>
                <w:sz w:val="26"/>
                <w:szCs w:val="26"/>
              </w:rPr>
            </w:pPr>
            <w:r w:rsidRPr="00363F1E">
              <w:rPr>
                <w:rFonts w:asciiTheme="minorHAnsi" w:hAnsiTheme="minorHAnsi" w:cstheme="minorHAnsi"/>
                <w:color w:val="000000" w:themeColor="text1"/>
                <w:sz w:val="26"/>
                <w:szCs w:val="26"/>
              </w:rPr>
              <w:t>Conducere</w:t>
            </w:r>
          </w:p>
        </w:tc>
      </w:tr>
      <w:tr w:rsidR="00904931" w:rsidRPr="00363F1E" w14:paraId="434B8AC0" w14:textId="77777777" w:rsidTr="00BE6FF5">
        <w:trPr>
          <w:gridAfter w:val="1"/>
          <w:wAfter w:w="9" w:type="dxa"/>
          <w:cantSplit/>
          <w:trHeight w:val="1"/>
        </w:trPr>
        <w:tc>
          <w:tcPr>
            <w:tcW w:w="23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79F66F15" w14:textId="77777777" w:rsidR="00904931" w:rsidRPr="00363F1E" w:rsidRDefault="00904931" w:rsidP="009E3AD8">
            <w:pPr>
              <w:keepNext/>
              <w:keepLines/>
              <w:spacing w:line="276" w:lineRule="auto"/>
              <w:jc w:val="both"/>
              <w:rPr>
                <w:rFonts w:asciiTheme="minorHAnsi" w:hAnsiTheme="minorHAnsi" w:cstheme="minorHAnsi"/>
                <w:color w:val="000000" w:themeColor="text1"/>
                <w:sz w:val="26"/>
                <w:szCs w:val="26"/>
              </w:rPr>
            </w:pPr>
            <w:r w:rsidRPr="00363F1E">
              <w:rPr>
                <w:rFonts w:asciiTheme="minorHAnsi" w:hAnsiTheme="minorHAnsi" w:cstheme="minorHAnsi"/>
                <w:color w:val="000000" w:themeColor="text1"/>
                <w:sz w:val="26"/>
                <w:szCs w:val="26"/>
              </w:rPr>
              <w:t>Înalta Curte de Casație și Justiție</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7E107E5F" w14:textId="77777777" w:rsidR="00904931" w:rsidRPr="00363F1E" w:rsidRDefault="00904931" w:rsidP="009E3AD8">
            <w:pPr>
              <w:keepNext/>
              <w:keepLines/>
              <w:spacing w:line="276" w:lineRule="auto"/>
              <w:jc w:val="both"/>
              <w:rPr>
                <w:rFonts w:asciiTheme="minorHAnsi" w:hAnsiTheme="minorHAnsi" w:cstheme="minorHAnsi"/>
                <w:color w:val="000000" w:themeColor="text1"/>
                <w:sz w:val="26"/>
                <w:szCs w:val="26"/>
              </w:rPr>
            </w:pPr>
            <w:r w:rsidRPr="00363F1E">
              <w:rPr>
                <w:rFonts w:asciiTheme="minorHAnsi" w:hAnsiTheme="minorHAnsi" w:cstheme="minorHAnsi"/>
                <w:color w:val="000000" w:themeColor="text1"/>
                <w:sz w:val="26"/>
                <w:szCs w:val="26"/>
              </w:rPr>
              <w:t>122</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59CD0B8E" w14:textId="77777777" w:rsidR="00904931" w:rsidRPr="00363F1E" w:rsidRDefault="00904931" w:rsidP="009E3AD8">
            <w:pPr>
              <w:keepNext/>
              <w:keepLines/>
              <w:spacing w:line="276" w:lineRule="auto"/>
              <w:jc w:val="both"/>
              <w:rPr>
                <w:rFonts w:asciiTheme="minorHAnsi" w:hAnsiTheme="minorHAnsi" w:cstheme="minorHAnsi"/>
                <w:color w:val="000000" w:themeColor="text1"/>
                <w:sz w:val="26"/>
                <w:szCs w:val="26"/>
              </w:rPr>
            </w:pPr>
            <w:r w:rsidRPr="00363F1E">
              <w:rPr>
                <w:rFonts w:asciiTheme="minorHAnsi" w:hAnsiTheme="minorHAnsi" w:cstheme="minorHAnsi"/>
                <w:color w:val="000000" w:themeColor="text1"/>
                <w:sz w:val="26"/>
                <w:szCs w:val="26"/>
              </w:rPr>
              <w:t>115</w:t>
            </w:r>
          </w:p>
        </w:tc>
        <w:tc>
          <w:tcPr>
            <w:tcW w:w="13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2A4128F8" w14:textId="77777777" w:rsidR="00904931" w:rsidRPr="00363F1E" w:rsidRDefault="00904931" w:rsidP="009E3AD8">
            <w:pPr>
              <w:keepNext/>
              <w:keepLines/>
              <w:spacing w:line="276" w:lineRule="auto"/>
              <w:jc w:val="both"/>
              <w:rPr>
                <w:rFonts w:asciiTheme="minorHAnsi" w:hAnsiTheme="minorHAnsi" w:cstheme="minorHAnsi"/>
                <w:color w:val="000000" w:themeColor="text1"/>
                <w:sz w:val="26"/>
                <w:szCs w:val="26"/>
              </w:rPr>
            </w:pPr>
            <w:r w:rsidRPr="00363F1E">
              <w:rPr>
                <w:rFonts w:asciiTheme="minorHAnsi" w:hAnsiTheme="minorHAnsi" w:cstheme="minorHAnsi"/>
                <w:color w:val="000000" w:themeColor="text1"/>
                <w:sz w:val="26"/>
                <w:szCs w:val="26"/>
              </w:rPr>
              <w:t>7</w:t>
            </w:r>
          </w:p>
        </w:tc>
        <w:tc>
          <w:tcPr>
            <w:tcW w:w="10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20CD7887" w14:textId="77777777" w:rsidR="00904931" w:rsidRPr="00363F1E" w:rsidRDefault="00904931" w:rsidP="009E3AD8">
            <w:pPr>
              <w:keepNext/>
              <w:keepLines/>
              <w:spacing w:line="276" w:lineRule="auto"/>
              <w:jc w:val="both"/>
              <w:rPr>
                <w:rFonts w:asciiTheme="minorHAnsi" w:hAnsiTheme="minorHAnsi" w:cstheme="minorHAnsi"/>
                <w:color w:val="000000" w:themeColor="text1"/>
                <w:sz w:val="26"/>
                <w:szCs w:val="26"/>
              </w:rPr>
            </w:pPr>
            <w:r w:rsidRPr="00363F1E">
              <w:rPr>
                <w:rFonts w:asciiTheme="minorHAnsi" w:hAnsiTheme="minorHAnsi" w:cstheme="minorHAnsi"/>
                <w:color w:val="000000" w:themeColor="text1"/>
                <w:sz w:val="26"/>
                <w:szCs w:val="26"/>
              </w:rPr>
              <w:t>21</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595A2FF" w14:textId="77777777" w:rsidR="00904931" w:rsidRPr="00363F1E" w:rsidRDefault="00904931" w:rsidP="009E3AD8">
            <w:pPr>
              <w:keepNext/>
              <w:keepLines/>
              <w:spacing w:line="276" w:lineRule="auto"/>
              <w:jc w:val="both"/>
              <w:rPr>
                <w:rFonts w:asciiTheme="minorHAnsi" w:hAnsiTheme="minorHAnsi" w:cstheme="minorHAnsi"/>
                <w:color w:val="000000" w:themeColor="text1"/>
                <w:sz w:val="26"/>
                <w:szCs w:val="26"/>
              </w:rPr>
            </w:pPr>
            <w:r w:rsidRPr="00363F1E">
              <w:rPr>
                <w:rFonts w:asciiTheme="minorHAnsi" w:hAnsiTheme="minorHAnsi" w:cstheme="minorHAnsi"/>
                <w:color w:val="000000" w:themeColor="text1"/>
                <w:sz w:val="26"/>
                <w:szCs w:val="26"/>
              </w:rPr>
              <w:t>21</w:t>
            </w:r>
          </w:p>
        </w:tc>
        <w:tc>
          <w:tcPr>
            <w:tcW w:w="1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589ABCD8" w14:textId="77777777" w:rsidR="00904931" w:rsidRPr="00363F1E" w:rsidRDefault="00904931" w:rsidP="009E3AD8">
            <w:pPr>
              <w:keepNext/>
              <w:keepLines/>
              <w:spacing w:line="276" w:lineRule="auto"/>
              <w:jc w:val="both"/>
              <w:rPr>
                <w:rFonts w:asciiTheme="minorHAnsi" w:hAnsiTheme="minorHAnsi" w:cstheme="minorHAnsi"/>
                <w:color w:val="000000" w:themeColor="text1"/>
                <w:sz w:val="26"/>
                <w:szCs w:val="26"/>
              </w:rPr>
            </w:pPr>
            <w:r w:rsidRPr="00363F1E">
              <w:rPr>
                <w:rFonts w:asciiTheme="minorHAnsi" w:hAnsiTheme="minorHAnsi" w:cstheme="minorHAnsi"/>
                <w:color w:val="000000" w:themeColor="text1"/>
                <w:sz w:val="26"/>
                <w:szCs w:val="26"/>
              </w:rPr>
              <w:t>0</w:t>
            </w:r>
          </w:p>
        </w:tc>
      </w:tr>
      <w:tr w:rsidR="00904931" w:rsidRPr="00363F1E" w14:paraId="764E90E5" w14:textId="77777777" w:rsidTr="00BE6FF5">
        <w:trPr>
          <w:gridAfter w:val="1"/>
          <w:wAfter w:w="9" w:type="dxa"/>
          <w:cantSplit/>
          <w:trHeight w:val="1"/>
        </w:trPr>
        <w:tc>
          <w:tcPr>
            <w:tcW w:w="23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416D140" w14:textId="77777777" w:rsidR="00904931" w:rsidRPr="00363F1E" w:rsidRDefault="00904931" w:rsidP="009E3AD8">
            <w:pPr>
              <w:keepNext/>
              <w:keepLines/>
              <w:spacing w:line="276" w:lineRule="auto"/>
              <w:jc w:val="both"/>
              <w:rPr>
                <w:rFonts w:asciiTheme="minorHAnsi" w:hAnsiTheme="minorHAnsi" w:cstheme="minorHAnsi"/>
                <w:color w:val="000000" w:themeColor="text1"/>
                <w:sz w:val="26"/>
                <w:szCs w:val="26"/>
              </w:rPr>
            </w:pPr>
            <w:r w:rsidRPr="00363F1E">
              <w:rPr>
                <w:rFonts w:asciiTheme="minorHAnsi" w:hAnsiTheme="minorHAnsi" w:cstheme="minorHAnsi"/>
                <w:color w:val="000000" w:themeColor="text1"/>
                <w:sz w:val="26"/>
                <w:szCs w:val="26"/>
              </w:rPr>
              <w:t>Curți de apel (inclusiv Curtea Militară de Apel)</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A665480" w14:textId="77777777" w:rsidR="00904931" w:rsidRPr="00363F1E" w:rsidRDefault="00904931" w:rsidP="009E3AD8">
            <w:pPr>
              <w:spacing w:line="276" w:lineRule="auto"/>
              <w:jc w:val="both"/>
              <w:rPr>
                <w:rFonts w:asciiTheme="minorHAnsi" w:hAnsiTheme="minorHAnsi" w:cstheme="minorHAnsi"/>
                <w:color w:val="000000" w:themeColor="text1"/>
                <w:sz w:val="26"/>
                <w:szCs w:val="26"/>
              </w:rPr>
            </w:pPr>
            <w:r w:rsidRPr="00363F1E">
              <w:rPr>
                <w:rFonts w:asciiTheme="minorHAnsi" w:hAnsiTheme="minorHAnsi" w:cstheme="minorHAnsi"/>
                <w:color w:val="000000" w:themeColor="text1"/>
                <w:sz w:val="26"/>
                <w:szCs w:val="26"/>
              </w:rPr>
              <w:t>930</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2C47A96" w14:textId="77777777" w:rsidR="00904931" w:rsidRPr="00363F1E" w:rsidRDefault="00904931" w:rsidP="009E3AD8">
            <w:pPr>
              <w:keepNext/>
              <w:keepLines/>
              <w:spacing w:line="276" w:lineRule="auto"/>
              <w:jc w:val="both"/>
              <w:rPr>
                <w:rFonts w:asciiTheme="minorHAnsi" w:hAnsiTheme="minorHAnsi" w:cstheme="minorHAnsi"/>
                <w:color w:val="000000" w:themeColor="text1"/>
                <w:sz w:val="26"/>
                <w:szCs w:val="26"/>
              </w:rPr>
            </w:pPr>
            <w:r w:rsidRPr="00363F1E">
              <w:rPr>
                <w:rFonts w:asciiTheme="minorHAnsi" w:hAnsiTheme="minorHAnsi" w:cstheme="minorHAnsi"/>
                <w:color w:val="000000" w:themeColor="text1"/>
                <w:sz w:val="26"/>
                <w:szCs w:val="26"/>
              </w:rPr>
              <w:t>821</w:t>
            </w:r>
          </w:p>
        </w:tc>
        <w:tc>
          <w:tcPr>
            <w:tcW w:w="13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69F75ED" w14:textId="77777777" w:rsidR="00904931" w:rsidRPr="00363F1E" w:rsidRDefault="00904931" w:rsidP="009E3AD8">
            <w:pPr>
              <w:keepNext/>
              <w:keepLines/>
              <w:spacing w:line="276" w:lineRule="auto"/>
              <w:jc w:val="both"/>
              <w:rPr>
                <w:rFonts w:asciiTheme="minorHAnsi" w:hAnsiTheme="minorHAnsi" w:cstheme="minorHAnsi"/>
                <w:color w:val="000000" w:themeColor="text1"/>
                <w:sz w:val="26"/>
                <w:szCs w:val="26"/>
              </w:rPr>
            </w:pPr>
            <w:r w:rsidRPr="00363F1E">
              <w:rPr>
                <w:rFonts w:asciiTheme="minorHAnsi" w:hAnsiTheme="minorHAnsi" w:cstheme="minorHAnsi"/>
                <w:color w:val="000000" w:themeColor="text1"/>
                <w:sz w:val="26"/>
                <w:szCs w:val="26"/>
              </w:rPr>
              <w:t>109</w:t>
            </w:r>
          </w:p>
        </w:tc>
        <w:tc>
          <w:tcPr>
            <w:tcW w:w="1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7BF018" w14:textId="77777777" w:rsidR="00904931" w:rsidRPr="00363F1E" w:rsidRDefault="00904931" w:rsidP="009E3AD8">
            <w:pPr>
              <w:spacing w:line="276" w:lineRule="auto"/>
              <w:jc w:val="both"/>
              <w:rPr>
                <w:rFonts w:asciiTheme="minorHAnsi" w:hAnsiTheme="minorHAnsi" w:cstheme="minorHAnsi"/>
                <w:color w:val="000000" w:themeColor="text1"/>
                <w:sz w:val="26"/>
                <w:szCs w:val="26"/>
              </w:rPr>
            </w:pPr>
            <w:r w:rsidRPr="00363F1E">
              <w:rPr>
                <w:rFonts w:asciiTheme="minorHAnsi" w:hAnsiTheme="minorHAnsi" w:cstheme="minorHAnsi"/>
                <w:color w:val="000000" w:themeColor="text1"/>
                <w:sz w:val="26"/>
                <w:szCs w:val="26"/>
              </w:rPr>
              <w:t>55</w:t>
            </w:r>
          </w:p>
        </w:tc>
        <w:tc>
          <w:tcPr>
            <w:tcW w:w="1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B6C840" w14:textId="77777777" w:rsidR="00904931" w:rsidRPr="00363F1E" w:rsidRDefault="00904931" w:rsidP="009E3AD8">
            <w:pPr>
              <w:keepNext/>
              <w:keepLines/>
              <w:spacing w:line="276" w:lineRule="auto"/>
              <w:jc w:val="both"/>
              <w:rPr>
                <w:rFonts w:asciiTheme="minorHAnsi" w:hAnsiTheme="minorHAnsi" w:cstheme="minorHAnsi"/>
                <w:color w:val="000000" w:themeColor="text1"/>
                <w:sz w:val="26"/>
                <w:szCs w:val="26"/>
              </w:rPr>
            </w:pPr>
            <w:r w:rsidRPr="00363F1E">
              <w:rPr>
                <w:rFonts w:asciiTheme="minorHAnsi" w:hAnsiTheme="minorHAnsi" w:cstheme="minorHAnsi"/>
                <w:color w:val="000000" w:themeColor="text1"/>
                <w:sz w:val="26"/>
                <w:szCs w:val="26"/>
              </w:rPr>
              <w:t>10</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2CF8B9" w14:textId="77777777" w:rsidR="00904931" w:rsidRPr="00363F1E" w:rsidRDefault="00904931" w:rsidP="009E3AD8">
            <w:pPr>
              <w:keepNext/>
              <w:keepLines/>
              <w:spacing w:line="276" w:lineRule="auto"/>
              <w:jc w:val="both"/>
              <w:rPr>
                <w:rFonts w:asciiTheme="minorHAnsi" w:hAnsiTheme="minorHAnsi" w:cstheme="minorHAnsi"/>
                <w:color w:val="000000" w:themeColor="text1"/>
                <w:sz w:val="26"/>
                <w:szCs w:val="26"/>
              </w:rPr>
            </w:pPr>
            <w:r w:rsidRPr="00363F1E">
              <w:rPr>
                <w:rFonts w:asciiTheme="minorHAnsi" w:hAnsiTheme="minorHAnsi" w:cstheme="minorHAnsi"/>
                <w:color w:val="000000" w:themeColor="text1"/>
                <w:sz w:val="26"/>
                <w:szCs w:val="26"/>
              </w:rPr>
              <w:t>45</w:t>
            </w:r>
          </w:p>
        </w:tc>
      </w:tr>
      <w:tr w:rsidR="00904931" w:rsidRPr="00363F1E" w14:paraId="6571EFAE" w14:textId="77777777" w:rsidTr="00BE6FF5">
        <w:trPr>
          <w:gridAfter w:val="1"/>
          <w:wAfter w:w="9" w:type="dxa"/>
          <w:cantSplit/>
          <w:trHeight w:val="1"/>
        </w:trPr>
        <w:tc>
          <w:tcPr>
            <w:tcW w:w="23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F198A2B" w14:textId="6221C49B" w:rsidR="00904931" w:rsidRPr="00363F1E" w:rsidRDefault="00904931" w:rsidP="009E3AD8">
            <w:pPr>
              <w:keepNext/>
              <w:keepLines/>
              <w:spacing w:line="276" w:lineRule="auto"/>
              <w:jc w:val="both"/>
              <w:rPr>
                <w:rFonts w:asciiTheme="minorHAnsi" w:hAnsiTheme="minorHAnsi" w:cstheme="minorHAnsi"/>
                <w:color w:val="000000" w:themeColor="text1"/>
                <w:sz w:val="26"/>
                <w:szCs w:val="26"/>
              </w:rPr>
            </w:pPr>
            <w:r w:rsidRPr="00363F1E">
              <w:rPr>
                <w:rFonts w:asciiTheme="minorHAnsi" w:hAnsiTheme="minorHAnsi" w:cstheme="minorHAnsi"/>
                <w:color w:val="000000" w:themeColor="text1"/>
                <w:sz w:val="26"/>
                <w:szCs w:val="26"/>
              </w:rPr>
              <w:t>Tribunale (inclusiv instanțele militare și</w:t>
            </w:r>
            <w:r w:rsidR="00822516">
              <w:rPr>
                <w:rFonts w:asciiTheme="minorHAnsi" w:hAnsiTheme="minorHAnsi" w:cstheme="minorHAnsi"/>
                <w:color w:val="000000" w:themeColor="text1"/>
                <w:sz w:val="26"/>
                <w:szCs w:val="26"/>
              </w:rPr>
              <w:t xml:space="preserve"> </w:t>
            </w:r>
            <w:r w:rsidRPr="00363F1E">
              <w:rPr>
                <w:rFonts w:asciiTheme="minorHAnsi" w:hAnsiTheme="minorHAnsi" w:cstheme="minorHAnsi"/>
                <w:color w:val="000000" w:themeColor="text1"/>
                <w:sz w:val="26"/>
                <w:szCs w:val="26"/>
              </w:rPr>
              <w:t>tribunalele specializate)</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51D65987" w14:textId="77777777" w:rsidR="00904931" w:rsidRPr="00363F1E" w:rsidRDefault="00904931" w:rsidP="009E3AD8">
            <w:pPr>
              <w:spacing w:line="276" w:lineRule="auto"/>
              <w:jc w:val="both"/>
              <w:rPr>
                <w:rFonts w:asciiTheme="minorHAnsi" w:hAnsiTheme="minorHAnsi" w:cstheme="minorHAnsi"/>
                <w:color w:val="000000" w:themeColor="text1"/>
                <w:sz w:val="26"/>
                <w:szCs w:val="26"/>
              </w:rPr>
            </w:pPr>
            <w:r w:rsidRPr="00363F1E">
              <w:rPr>
                <w:rFonts w:asciiTheme="minorHAnsi" w:hAnsiTheme="minorHAnsi" w:cstheme="minorHAnsi"/>
                <w:color w:val="000000" w:themeColor="text1"/>
                <w:sz w:val="26"/>
                <w:szCs w:val="26"/>
              </w:rPr>
              <w:t>1701</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27357BF1" w14:textId="77777777" w:rsidR="00904931" w:rsidRPr="00363F1E" w:rsidRDefault="00904931" w:rsidP="009E3AD8">
            <w:pPr>
              <w:keepNext/>
              <w:keepLines/>
              <w:spacing w:line="276" w:lineRule="auto"/>
              <w:jc w:val="both"/>
              <w:rPr>
                <w:rFonts w:asciiTheme="minorHAnsi" w:hAnsiTheme="minorHAnsi" w:cstheme="minorHAnsi"/>
                <w:color w:val="000000" w:themeColor="text1"/>
                <w:sz w:val="26"/>
                <w:szCs w:val="26"/>
              </w:rPr>
            </w:pPr>
            <w:r w:rsidRPr="00363F1E">
              <w:rPr>
                <w:rFonts w:asciiTheme="minorHAnsi" w:hAnsiTheme="minorHAnsi" w:cstheme="minorHAnsi"/>
                <w:color w:val="000000" w:themeColor="text1"/>
                <w:sz w:val="26"/>
                <w:szCs w:val="26"/>
              </w:rPr>
              <w:t>1463</w:t>
            </w:r>
          </w:p>
        </w:tc>
        <w:tc>
          <w:tcPr>
            <w:tcW w:w="13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9E0959B" w14:textId="77777777" w:rsidR="00904931" w:rsidRPr="00363F1E" w:rsidRDefault="00904931" w:rsidP="009E3AD8">
            <w:pPr>
              <w:keepNext/>
              <w:keepLines/>
              <w:spacing w:line="276" w:lineRule="auto"/>
              <w:jc w:val="both"/>
              <w:rPr>
                <w:rFonts w:asciiTheme="minorHAnsi" w:hAnsiTheme="minorHAnsi" w:cstheme="minorHAnsi"/>
                <w:color w:val="000000" w:themeColor="text1"/>
                <w:sz w:val="26"/>
                <w:szCs w:val="26"/>
              </w:rPr>
            </w:pPr>
            <w:r w:rsidRPr="00363F1E">
              <w:rPr>
                <w:rFonts w:asciiTheme="minorHAnsi" w:hAnsiTheme="minorHAnsi" w:cstheme="minorHAnsi"/>
                <w:color w:val="000000" w:themeColor="text1"/>
                <w:sz w:val="26"/>
                <w:szCs w:val="26"/>
              </w:rPr>
              <w:t>238</w:t>
            </w:r>
          </w:p>
        </w:tc>
        <w:tc>
          <w:tcPr>
            <w:tcW w:w="10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7D838F8" w14:textId="77777777" w:rsidR="00904931" w:rsidRPr="00363F1E" w:rsidRDefault="00904931" w:rsidP="009E3AD8">
            <w:pPr>
              <w:spacing w:line="276" w:lineRule="auto"/>
              <w:jc w:val="both"/>
              <w:rPr>
                <w:rFonts w:asciiTheme="minorHAnsi" w:hAnsiTheme="minorHAnsi" w:cstheme="minorHAnsi"/>
                <w:color w:val="000000" w:themeColor="text1"/>
                <w:sz w:val="26"/>
                <w:szCs w:val="26"/>
              </w:rPr>
            </w:pPr>
            <w:r w:rsidRPr="00363F1E">
              <w:rPr>
                <w:rFonts w:asciiTheme="minorHAnsi" w:hAnsiTheme="minorHAnsi" w:cstheme="minorHAnsi"/>
                <w:color w:val="000000" w:themeColor="text1"/>
                <w:sz w:val="26"/>
                <w:szCs w:val="26"/>
              </w:rPr>
              <w:t>444</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D0E5DE1" w14:textId="77777777" w:rsidR="00904931" w:rsidRPr="00363F1E" w:rsidRDefault="00904931" w:rsidP="009E3AD8">
            <w:pPr>
              <w:keepNext/>
              <w:keepLines/>
              <w:spacing w:line="276" w:lineRule="auto"/>
              <w:jc w:val="both"/>
              <w:rPr>
                <w:rFonts w:asciiTheme="minorHAnsi" w:hAnsiTheme="minorHAnsi" w:cstheme="minorHAnsi"/>
                <w:color w:val="000000" w:themeColor="text1"/>
                <w:sz w:val="26"/>
                <w:szCs w:val="26"/>
              </w:rPr>
            </w:pPr>
            <w:r w:rsidRPr="00363F1E">
              <w:rPr>
                <w:rFonts w:asciiTheme="minorHAnsi" w:hAnsiTheme="minorHAnsi" w:cstheme="minorHAnsi"/>
                <w:color w:val="000000" w:themeColor="text1"/>
                <w:sz w:val="26"/>
                <w:szCs w:val="26"/>
              </w:rPr>
              <w:t>324</w:t>
            </w:r>
          </w:p>
        </w:tc>
        <w:tc>
          <w:tcPr>
            <w:tcW w:w="1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B346E22" w14:textId="77777777" w:rsidR="00904931" w:rsidRPr="00363F1E" w:rsidRDefault="00904931" w:rsidP="009E3AD8">
            <w:pPr>
              <w:keepNext/>
              <w:keepLines/>
              <w:spacing w:line="276" w:lineRule="auto"/>
              <w:jc w:val="both"/>
              <w:rPr>
                <w:rFonts w:asciiTheme="minorHAnsi" w:hAnsiTheme="minorHAnsi" w:cstheme="minorHAnsi"/>
                <w:color w:val="000000" w:themeColor="text1"/>
                <w:sz w:val="26"/>
                <w:szCs w:val="26"/>
              </w:rPr>
            </w:pPr>
            <w:r w:rsidRPr="00363F1E">
              <w:rPr>
                <w:rFonts w:asciiTheme="minorHAnsi" w:hAnsiTheme="minorHAnsi" w:cstheme="minorHAnsi"/>
                <w:color w:val="000000" w:themeColor="text1"/>
                <w:sz w:val="26"/>
                <w:szCs w:val="26"/>
              </w:rPr>
              <w:t>120</w:t>
            </w:r>
          </w:p>
        </w:tc>
      </w:tr>
      <w:tr w:rsidR="00904931" w:rsidRPr="00363F1E" w14:paraId="02ECC6E6" w14:textId="77777777" w:rsidTr="00BE6FF5">
        <w:trPr>
          <w:gridAfter w:val="1"/>
          <w:wAfter w:w="9" w:type="dxa"/>
          <w:cantSplit/>
          <w:trHeight w:val="1"/>
        </w:trPr>
        <w:tc>
          <w:tcPr>
            <w:tcW w:w="23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5F04E48A" w14:textId="77777777" w:rsidR="00904931" w:rsidRPr="00363F1E" w:rsidRDefault="00904931" w:rsidP="009E3AD8">
            <w:pPr>
              <w:keepNext/>
              <w:keepLines/>
              <w:spacing w:line="276" w:lineRule="auto"/>
              <w:jc w:val="both"/>
              <w:rPr>
                <w:rFonts w:asciiTheme="minorHAnsi" w:hAnsiTheme="minorHAnsi" w:cstheme="minorHAnsi"/>
                <w:color w:val="000000" w:themeColor="text1"/>
                <w:sz w:val="26"/>
                <w:szCs w:val="26"/>
              </w:rPr>
            </w:pPr>
            <w:r w:rsidRPr="00363F1E">
              <w:rPr>
                <w:rFonts w:asciiTheme="minorHAnsi" w:hAnsiTheme="minorHAnsi" w:cstheme="minorHAnsi"/>
                <w:color w:val="000000" w:themeColor="text1"/>
                <w:sz w:val="26"/>
                <w:szCs w:val="26"/>
              </w:rPr>
              <w:t>Judecătorii</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59C06569" w14:textId="77777777" w:rsidR="00904931" w:rsidRPr="00363F1E" w:rsidRDefault="00904931" w:rsidP="009E3AD8">
            <w:pPr>
              <w:spacing w:line="276" w:lineRule="auto"/>
              <w:jc w:val="both"/>
              <w:rPr>
                <w:rFonts w:asciiTheme="minorHAnsi" w:hAnsiTheme="minorHAnsi" w:cstheme="minorHAnsi"/>
                <w:color w:val="000000" w:themeColor="text1"/>
                <w:sz w:val="26"/>
                <w:szCs w:val="26"/>
              </w:rPr>
            </w:pPr>
            <w:r w:rsidRPr="00363F1E">
              <w:rPr>
                <w:rFonts w:asciiTheme="minorHAnsi" w:hAnsiTheme="minorHAnsi" w:cstheme="minorHAnsi"/>
                <w:color w:val="000000" w:themeColor="text1"/>
                <w:sz w:val="26"/>
                <w:szCs w:val="26"/>
              </w:rPr>
              <w:t>2318</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4FF60D5" w14:textId="77777777" w:rsidR="00904931" w:rsidRPr="00363F1E" w:rsidRDefault="00904931" w:rsidP="009E3AD8">
            <w:pPr>
              <w:keepNext/>
              <w:keepLines/>
              <w:spacing w:line="276" w:lineRule="auto"/>
              <w:jc w:val="both"/>
              <w:rPr>
                <w:rFonts w:asciiTheme="minorHAnsi" w:hAnsiTheme="minorHAnsi" w:cstheme="minorHAnsi"/>
                <w:color w:val="000000" w:themeColor="text1"/>
                <w:sz w:val="26"/>
                <w:szCs w:val="26"/>
              </w:rPr>
            </w:pPr>
            <w:r w:rsidRPr="00363F1E">
              <w:rPr>
                <w:rFonts w:asciiTheme="minorHAnsi" w:hAnsiTheme="minorHAnsi" w:cstheme="minorHAnsi"/>
                <w:color w:val="000000" w:themeColor="text1"/>
                <w:sz w:val="26"/>
                <w:szCs w:val="26"/>
              </w:rPr>
              <w:t>2009</w:t>
            </w:r>
          </w:p>
        </w:tc>
        <w:tc>
          <w:tcPr>
            <w:tcW w:w="13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1432B69B" w14:textId="77777777" w:rsidR="00904931" w:rsidRPr="00363F1E" w:rsidRDefault="00904931" w:rsidP="009E3AD8">
            <w:pPr>
              <w:keepNext/>
              <w:keepLines/>
              <w:spacing w:line="276" w:lineRule="auto"/>
              <w:jc w:val="both"/>
              <w:rPr>
                <w:rFonts w:asciiTheme="minorHAnsi" w:hAnsiTheme="minorHAnsi" w:cstheme="minorHAnsi"/>
                <w:color w:val="000000" w:themeColor="text1"/>
                <w:sz w:val="26"/>
                <w:szCs w:val="26"/>
              </w:rPr>
            </w:pPr>
            <w:r w:rsidRPr="00363F1E">
              <w:rPr>
                <w:rFonts w:asciiTheme="minorHAnsi" w:hAnsiTheme="minorHAnsi" w:cstheme="minorHAnsi"/>
                <w:color w:val="000000" w:themeColor="text1"/>
                <w:sz w:val="26"/>
                <w:szCs w:val="26"/>
              </w:rPr>
              <w:t>310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78940902" w14:textId="77777777" w:rsidR="00904931" w:rsidRPr="00363F1E" w:rsidRDefault="00904931" w:rsidP="009E3AD8">
            <w:pPr>
              <w:spacing w:line="276" w:lineRule="auto"/>
              <w:jc w:val="both"/>
              <w:rPr>
                <w:rFonts w:asciiTheme="minorHAnsi" w:hAnsiTheme="minorHAnsi" w:cstheme="minorHAnsi"/>
                <w:color w:val="000000" w:themeColor="text1"/>
                <w:sz w:val="26"/>
                <w:szCs w:val="26"/>
              </w:rPr>
            </w:pPr>
            <w:r w:rsidRPr="00363F1E">
              <w:rPr>
                <w:rFonts w:asciiTheme="minorHAnsi" w:hAnsiTheme="minorHAnsi" w:cstheme="minorHAnsi"/>
                <w:color w:val="000000" w:themeColor="text1"/>
                <w:sz w:val="26"/>
                <w:szCs w:val="26"/>
              </w:rPr>
              <w:t>300</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622A947A" w14:textId="77777777" w:rsidR="00904931" w:rsidRPr="00363F1E" w:rsidRDefault="00904931" w:rsidP="009E3AD8">
            <w:pPr>
              <w:keepNext/>
              <w:keepLines/>
              <w:spacing w:line="276" w:lineRule="auto"/>
              <w:jc w:val="both"/>
              <w:rPr>
                <w:rFonts w:asciiTheme="minorHAnsi" w:hAnsiTheme="minorHAnsi" w:cstheme="minorHAnsi"/>
                <w:color w:val="000000" w:themeColor="text1"/>
                <w:sz w:val="26"/>
                <w:szCs w:val="26"/>
              </w:rPr>
            </w:pPr>
            <w:r w:rsidRPr="00363F1E">
              <w:rPr>
                <w:rFonts w:asciiTheme="minorHAnsi" w:hAnsiTheme="minorHAnsi" w:cstheme="minorHAnsi"/>
                <w:color w:val="000000" w:themeColor="text1"/>
                <w:sz w:val="26"/>
                <w:szCs w:val="26"/>
              </w:rPr>
              <w:t>110</w:t>
            </w:r>
          </w:p>
        </w:tc>
        <w:tc>
          <w:tcPr>
            <w:tcW w:w="1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168EE4D0" w14:textId="77777777" w:rsidR="00904931" w:rsidRPr="00363F1E" w:rsidRDefault="00904931" w:rsidP="009E3AD8">
            <w:pPr>
              <w:keepNext/>
              <w:keepLines/>
              <w:spacing w:line="276" w:lineRule="auto"/>
              <w:jc w:val="both"/>
              <w:rPr>
                <w:rFonts w:asciiTheme="minorHAnsi" w:hAnsiTheme="minorHAnsi" w:cstheme="minorHAnsi"/>
                <w:color w:val="000000" w:themeColor="text1"/>
                <w:sz w:val="26"/>
                <w:szCs w:val="26"/>
              </w:rPr>
            </w:pPr>
            <w:r w:rsidRPr="00363F1E">
              <w:rPr>
                <w:rFonts w:asciiTheme="minorHAnsi" w:hAnsiTheme="minorHAnsi" w:cstheme="minorHAnsi"/>
                <w:color w:val="000000" w:themeColor="text1"/>
                <w:sz w:val="26"/>
                <w:szCs w:val="26"/>
              </w:rPr>
              <w:t>190</w:t>
            </w:r>
          </w:p>
        </w:tc>
      </w:tr>
      <w:tr w:rsidR="00904931" w:rsidRPr="00363F1E" w14:paraId="57CABE32" w14:textId="77777777" w:rsidTr="00BE6FF5">
        <w:trPr>
          <w:gridAfter w:val="1"/>
          <w:wAfter w:w="9" w:type="dxa"/>
          <w:cantSplit/>
          <w:trHeight w:val="1"/>
        </w:trPr>
        <w:tc>
          <w:tcPr>
            <w:tcW w:w="23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50971608" w14:textId="77777777" w:rsidR="00904931" w:rsidRPr="00363F1E" w:rsidRDefault="00904931" w:rsidP="009E3AD8">
            <w:pPr>
              <w:keepNext/>
              <w:keepLines/>
              <w:spacing w:line="276" w:lineRule="auto"/>
              <w:jc w:val="both"/>
              <w:rPr>
                <w:rFonts w:asciiTheme="minorHAnsi" w:hAnsiTheme="minorHAnsi" w:cstheme="minorHAnsi"/>
                <w:color w:val="000000" w:themeColor="text1"/>
                <w:sz w:val="26"/>
                <w:szCs w:val="26"/>
              </w:rPr>
            </w:pPr>
            <w:r w:rsidRPr="00363F1E">
              <w:rPr>
                <w:rFonts w:asciiTheme="minorHAnsi" w:hAnsiTheme="minorHAnsi" w:cstheme="minorHAnsi"/>
                <w:b/>
                <w:color w:val="000000" w:themeColor="text1"/>
                <w:sz w:val="26"/>
                <w:szCs w:val="26"/>
              </w:rPr>
              <w:t>Total</w:t>
            </w:r>
          </w:p>
        </w:tc>
        <w:tc>
          <w:tcPr>
            <w:tcW w:w="10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4F351EC1" w14:textId="77777777" w:rsidR="00904931" w:rsidRPr="00474D4A" w:rsidRDefault="00904931" w:rsidP="009E3AD8">
            <w:pPr>
              <w:spacing w:line="276" w:lineRule="auto"/>
              <w:jc w:val="both"/>
              <w:rPr>
                <w:rFonts w:asciiTheme="minorHAnsi" w:hAnsiTheme="minorHAnsi" w:cstheme="minorHAnsi"/>
                <w:b/>
                <w:bCs/>
                <w:color w:val="000000" w:themeColor="text1"/>
                <w:sz w:val="26"/>
                <w:szCs w:val="26"/>
              </w:rPr>
            </w:pPr>
            <w:r w:rsidRPr="00474D4A">
              <w:rPr>
                <w:rFonts w:asciiTheme="minorHAnsi" w:hAnsiTheme="minorHAnsi" w:cstheme="minorHAnsi"/>
                <w:b/>
                <w:bCs/>
                <w:color w:val="000000" w:themeColor="text1"/>
                <w:sz w:val="26"/>
                <w:szCs w:val="26"/>
              </w:rPr>
              <w:t>5071</w:t>
            </w:r>
          </w:p>
        </w:tc>
        <w:tc>
          <w:tcPr>
            <w:tcW w:w="11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43E9A788" w14:textId="77777777" w:rsidR="00904931" w:rsidRPr="00474D4A" w:rsidRDefault="00904931" w:rsidP="009E3AD8">
            <w:pPr>
              <w:keepNext/>
              <w:keepLines/>
              <w:spacing w:line="276" w:lineRule="auto"/>
              <w:jc w:val="both"/>
              <w:rPr>
                <w:rFonts w:asciiTheme="minorHAnsi" w:hAnsiTheme="minorHAnsi" w:cstheme="minorHAnsi"/>
                <w:b/>
                <w:bCs/>
                <w:color w:val="000000" w:themeColor="text1"/>
                <w:sz w:val="26"/>
                <w:szCs w:val="26"/>
              </w:rPr>
            </w:pPr>
            <w:r w:rsidRPr="00474D4A">
              <w:rPr>
                <w:rFonts w:asciiTheme="minorHAnsi" w:hAnsiTheme="minorHAnsi" w:cstheme="minorHAnsi"/>
                <w:b/>
                <w:bCs/>
                <w:color w:val="000000" w:themeColor="text1"/>
                <w:sz w:val="26"/>
                <w:szCs w:val="26"/>
              </w:rPr>
              <w:t>4408</w:t>
            </w:r>
          </w:p>
        </w:tc>
        <w:tc>
          <w:tcPr>
            <w:tcW w:w="13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75CCE8F1" w14:textId="77777777" w:rsidR="00904931" w:rsidRPr="00474D4A" w:rsidRDefault="00904931" w:rsidP="009E3AD8">
            <w:pPr>
              <w:keepNext/>
              <w:keepLines/>
              <w:spacing w:line="276" w:lineRule="auto"/>
              <w:jc w:val="both"/>
              <w:rPr>
                <w:rFonts w:asciiTheme="minorHAnsi" w:hAnsiTheme="minorHAnsi" w:cstheme="minorHAnsi"/>
                <w:b/>
                <w:bCs/>
                <w:color w:val="000000" w:themeColor="text1"/>
                <w:sz w:val="26"/>
                <w:szCs w:val="26"/>
              </w:rPr>
            </w:pPr>
            <w:r w:rsidRPr="00474D4A">
              <w:rPr>
                <w:rFonts w:asciiTheme="minorHAnsi" w:hAnsiTheme="minorHAnsi" w:cstheme="minorHAnsi"/>
                <w:b/>
                <w:bCs/>
                <w:color w:val="000000" w:themeColor="text1"/>
                <w:sz w:val="26"/>
                <w:szCs w:val="26"/>
              </w:rPr>
              <w:t>664</w:t>
            </w:r>
          </w:p>
        </w:tc>
        <w:tc>
          <w:tcPr>
            <w:tcW w:w="10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51114BE7" w14:textId="77777777" w:rsidR="00904931" w:rsidRPr="00474D4A" w:rsidRDefault="00904931" w:rsidP="009E3AD8">
            <w:pPr>
              <w:spacing w:line="276" w:lineRule="auto"/>
              <w:jc w:val="both"/>
              <w:rPr>
                <w:rFonts w:asciiTheme="minorHAnsi" w:hAnsiTheme="minorHAnsi" w:cstheme="minorHAnsi"/>
                <w:b/>
                <w:bCs/>
                <w:color w:val="000000" w:themeColor="text1"/>
                <w:sz w:val="26"/>
                <w:szCs w:val="26"/>
              </w:rPr>
            </w:pPr>
            <w:r w:rsidRPr="00474D4A">
              <w:rPr>
                <w:rFonts w:asciiTheme="minorHAnsi" w:hAnsiTheme="minorHAnsi" w:cstheme="minorHAnsi"/>
                <w:b/>
                <w:bCs/>
                <w:color w:val="000000" w:themeColor="text1"/>
                <w:sz w:val="26"/>
                <w:szCs w:val="26"/>
              </w:rPr>
              <w:t>820</w:t>
            </w:r>
          </w:p>
        </w:tc>
        <w:tc>
          <w:tcPr>
            <w:tcW w:w="11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1F99BB8E" w14:textId="77777777" w:rsidR="00904931" w:rsidRPr="00474D4A" w:rsidRDefault="00904931" w:rsidP="009E3AD8">
            <w:pPr>
              <w:keepNext/>
              <w:keepLines/>
              <w:spacing w:line="276" w:lineRule="auto"/>
              <w:jc w:val="both"/>
              <w:rPr>
                <w:rFonts w:asciiTheme="minorHAnsi" w:hAnsiTheme="minorHAnsi" w:cstheme="minorHAnsi"/>
                <w:b/>
                <w:bCs/>
                <w:color w:val="000000" w:themeColor="text1"/>
                <w:sz w:val="26"/>
                <w:szCs w:val="26"/>
              </w:rPr>
            </w:pPr>
            <w:r w:rsidRPr="00474D4A">
              <w:rPr>
                <w:rFonts w:asciiTheme="minorHAnsi" w:hAnsiTheme="minorHAnsi" w:cstheme="minorHAnsi"/>
                <w:b/>
                <w:bCs/>
                <w:color w:val="000000" w:themeColor="text1"/>
                <w:sz w:val="26"/>
                <w:szCs w:val="26"/>
              </w:rPr>
              <w:t>465</w:t>
            </w:r>
          </w:p>
        </w:tc>
        <w:tc>
          <w:tcPr>
            <w:tcW w:w="13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67BCF9DF" w14:textId="77777777" w:rsidR="00904931" w:rsidRPr="00474D4A" w:rsidRDefault="00904931" w:rsidP="009E3AD8">
            <w:pPr>
              <w:keepNext/>
              <w:keepLines/>
              <w:spacing w:line="276" w:lineRule="auto"/>
              <w:jc w:val="both"/>
              <w:rPr>
                <w:rFonts w:asciiTheme="minorHAnsi" w:hAnsiTheme="minorHAnsi" w:cstheme="minorHAnsi"/>
                <w:b/>
                <w:bCs/>
                <w:color w:val="000000" w:themeColor="text1"/>
                <w:sz w:val="26"/>
                <w:szCs w:val="26"/>
              </w:rPr>
            </w:pPr>
            <w:r w:rsidRPr="00474D4A">
              <w:rPr>
                <w:rFonts w:asciiTheme="minorHAnsi" w:hAnsiTheme="minorHAnsi" w:cstheme="minorHAnsi"/>
                <w:b/>
                <w:bCs/>
                <w:color w:val="000000" w:themeColor="text1"/>
                <w:sz w:val="26"/>
                <w:szCs w:val="26"/>
              </w:rPr>
              <w:t>355</w:t>
            </w:r>
          </w:p>
        </w:tc>
      </w:tr>
    </w:tbl>
    <w:p w14:paraId="17EF6A5E" w14:textId="77777777" w:rsidR="00904931" w:rsidRPr="00CD53E5" w:rsidRDefault="00904931" w:rsidP="009E3AD8">
      <w:pPr>
        <w:spacing w:line="276" w:lineRule="auto"/>
        <w:ind w:firstLine="142"/>
        <w:jc w:val="both"/>
        <w:rPr>
          <w:rFonts w:asciiTheme="minorHAnsi" w:hAnsiTheme="minorHAnsi" w:cstheme="minorHAnsi"/>
          <w:b/>
          <w:color w:val="70AD47" w:themeColor="accent6"/>
          <w:sz w:val="26"/>
          <w:szCs w:val="26"/>
        </w:rPr>
      </w:pPr>
      <w:r w:rsidRPr="00CD53E5">
        <w:rPr>
          <w:rFonts w:asciiTheme="minorHAnsi" w:hAnsiTheme="minorHAnsi" w:cstheme="minorHAnsi"/>
          <w:noProof/>
          <w:color w:val="70AD47" w:themeColor="accent6"/>
          <w:sz w:val="26"/>
          <w:szCs w:val="26"/>
          <w:lang w:eastAsia="ro-RO"/>
        </w:rPr>
        <w:lastRenderedPageBreak/>
        <w:drawing>
          <wp:inline distT="0" distB="0" distL="0" distR="0" wp14:anchorId="56D068B2" wp14:editId="65F6A597">
            <wp:extent cx="6086475" cy="2990850"/>
            <wp:effectExtent l="0" t="0" r="0" b="0"/>
            <wp:docPr id="1792359240" name="Chart 179235924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AE865F5" w14:textId="5B124C4A" w:rsidR="009E108E" w:rsidRPr="000F0D8B" w:rsidRDefault="009E108E" w:rsidP="009E3AD8">
      <w:pPr>
        <w:spacing w:line="276" w:lineRule="auto"/>
        <w:ind w:firstLine="720"/>
        <w:jc w:val="both"/>
        <w:rPr>
          <w:rFonts w:asciiTheme="minorHAnsi" w:hAnsiTheme="minorHAnsi" w:cstheme="minorHAnsi"/>
          <w:b/>
          <w:sz w:val="26"/>
          <w:szCs w:val="26"/>
        </w:rPr>
      </w:pPr>
      <w:r w:rsidRPr="000F0D8B">
        <w:rPr>
          <w:rFonts w:asciiTheme="minorHAnsi" w:hAnsiTheme="minorHAnsi" w:cstheme="minorHAnsi"/>
          <w:b/>
          <w:sz w:val="26"/>
          <w:szCs w:val="26"/>
        </w:rPr>
        <w:t>Situaţia posturilor de procuror la începutul anului 2025</w:t>
      </w:r>
    </w:p>
    <w:p w14:paraId="709C56D2" w14:textId="4BBB0CE0" w:rsidR="009E108E" w:rsidRPr="000F0D8B" w:rsidRDefault="009E108E" w:rsidP="009E3AD8">
      <w:pPr>
        <w:spacing w:line="276" w:lineRule="auto"/>
        <w:ind w:firstLine="720"/>
        <w:jc w:val="both"/>
        <w:rPr>
          <w:rFonts w:asciiTheme="minorHAnsi" w:hAnsiTheme="minorHAnsi" w:cstheme="minorHAnsi"/>
          <w:sz w:val="26"/>
          <w:szCs w:val="26"/>
        </w:rPr>
      </w:pPr>
      <w:r w:rsidRPr="000F0D8B">
        <w:rPr>
          <w:rFonts w:asciiTheme="minorHAnsi" w:hAnsiTheme="minorHAnsi" w:cstheme="minorHAnsi"/>
          <w:sz w:val="26"/>
          <w:szCs w:val="26"/>
        </w:rPr>
        <w:t xml:space="preserve">În luna ianuarie 2025, </w:t>
      </w:r>
      <w:r w:rsidRPr="00FA0702">
        <w:rPr>
          <w:rFonts w:asciiTheme="minorHAnsi" w:hAnsiTheme="minorHAnsi" w:cstheme="minorHAnsi"/>
          <w:bCs/>
          <w:sz w:val="26"/>
          <w:szCs w:val="26"/>
        </w:rPr>
        <w:t xml:space="preserve">la nivelul parchetelor, din totalul </w:t>
      </w:r>
      <w:r w:rsidR="00FA0702" w:rsidRPr="00FA0702">
        <w:rPr>
          <w:rFonts w:asciiTheme="minorHAnsi" w:hAnsiTheme="minorHAnsi" w:cstheme="minorHAnsi"/>
          <w:bCs/>
          <w:sz w:val="26"/>
          <w:szCs w:val="26"/>
        </w:rPr>
        <w:t xml:space="preserve">celor </w:t>
      </w:r>
      <w:r w:rsidRPr="00FA0702">
        <w:rPr>
          <w:rFonts w:asciiTheme="minorHAnsi" w:hAnsiTheme="minorHAnsi" w:cstheme="minorHAnsi"/>
          <w:bCs/>
          <w:sz w:val="26"/>
          <w:szCs w:val="26"/>
        </w:rPr>
        <w:t xml:space="preserve">3071 </w:t>
      </w:r>
      <w:r w:rsidR="00FA0702" w:rsidRPr="00FA0702">
        <w:rPr>
          <w:rFonts w:asciiTheme="minorHAnsi" w:hAnsiTheme="minorHAnsi" w:cstheme="minorHAnsi"/>
          <w:bCs/>
          <w:sz w:val="26"/>
          <w:szCs w:val="26"/>
        </w:rPr>
        <w:t xml:space="preserve">de </w:t>
      </w:r>
      <w:r w:rsidRPr="00FA0702">
        <w:rPr>
          <w:rFonts w:asciiTheme="minorHAnsi" w:hAnsiTheme="minorHAnsi" w:cstheme="minorHAnsi"/>
          <w:bCs/>
          <w:sz w:val="26"/>
          <w:szCs w:val="26"/>
        </w:rPr>
        <w:t>posturi de procuror</w:t>
      </w:r>
      <w:r w:rsidR="00FA0702" w:rsidRPr="00FA0702">
        <w:rPr>
          <w:rFonts w:asciiTheme="minorHAnsi" w:hAnsiTheme="minorHAnsi" w:cstheme="minorHAnsi"/>
          <w:bCs/>
          <w:sz w:val="26"/>
          <w:szCs w:val="26"/>
        </w:rPr>
        <w:t>, care includ ş</w:t>
      </w:r>
      <w:r w:rsidRPr="00FA0702">
        <w:rPr>
          <w:rFonts w:asciiTheme="minorHAnsi" w:hAnsiTheme="minorHAnsi" w:cstheme="minorHAnsi"/>
          <w:bCs/>
          <w:sz w:val="26"/>
          <w:szCs w:val="26"/>
        </w:rPr>
        <w:t>i cele 69 de posturi acordate</w:t>
      </w:r>
      <w:r w:rsidR="00FA0702" w:rsidRPr="00FA0702">
        <w:rPr>
          <w:rFonts w:asciiTheme="minorHAnsi" w:hAnsiTheme="minorHAnsi" w:cstheme="minorHAnsi"/>
          <w:bCs/>
          <w:sz w:val="26"/>
          <w:szCs w:val="26"/>
        </w:rPr>
        <w:t xml:space="preserve"> </w:t>
      </w:r>
      <w:r w:rsidRPr="00FA0702">
        <w:rPr>
          <w:rFonts w:asciiTheme="minorHAnsi" w:hAnsiTheme="minorHAnsi" w:cstheme="minorHAnsi"/>
          <w:bCs/>
          <w:sz w:val="26"/>
          <w:szCs w:val="26"/>
        </w:rPr>
        <w:t>potrivit art. 147 din Legea nr. 304/2022</w:t>
      </w:r>
      <w:r w:rsidR="00306ADE" w:rsidRPr="00FA0702">
        <w:rPr>
          <w:rFonts w:asciiTheme="minorHAnsi" w:hAnsiTheme="minorHAnsi" w:cstheme="minorHAnsi"/>
          <w:bCs/>
          <w:sz w:val="26"/>
          <w:szCs w:val="26"/>
        </w:rPr>
        <w:t xml:space="preserve"> privind organizarea judiciară,</w:t>
      </w:r>
      <w:r w:rsidRPr="00FA0702">
        <w:rPr>
          <w:rFonts w:asciiTheme="minorHAnsi" w:hAnsiTheme="minorHAnsi" w:cstheme="minorHAnsi"/>
          <w:bCs/>
          <w:sz w:val="26"/>
          <w:szCs w:val="26"/>
        </w:rPr>
        <w:t xml:space="preserve"> erau ocupate 2266 </w:t>
      </w:r>
      <w:r w:rsidR="00FA0702" w:rsidRPr="00FA0702">
        <w:rPr>
          <w:rFonts w:asciiTheme="minorHAnsi" w:hAnsiTheme="minorHAnsi" w:cstheme="minorHAnsi"/>
          <w:bCs/>
          <w:sz w:val="26"/>
          <w:szCs w:val="26"/>
        </w:rPr>
        <w:t xml:space="preserve">de </w:t>
      </w:r>
      <w:r w:rsidRPr="00FA0702">
        <w:rPr>
          <w:rFonts w:asciiTheme="minorHAnsi" w:hAnsiTheme="minorHAnsi" w:cstheme="minorHAnsi"/>
          <w:bCs/>
          <w:sz w:val="26"/>
          <w:szCs w:val="26"/>
        </w:rPr>
        <w:t>posturi</w:t>
      </w:r>
      <w:r w:rsidR="00FA0702" w:rsidRPr="00FA0702">
        <w:rPr>
          <w:rFonts w:asciiTheme="minorHAnsi" w:hAnsiTheme="minorHAnsi" w:cstheme="minorHAnsi"/>
          <w:bCs/>
          <w:sz w:val="26"/>
          <w:szCs w:val="26"/>
        </w:rPr>
        <w:t>,</w:t>
      </w:r>
      <w:r w:rsidR="004A7346">
        <w:rPr>
          <w:rFonts w:asciiTheme="minorHAnsi" w:hAnsiTheme="minorHAnsi" w:cstheme="minorHAnsi"/>
          <w:sz w:val="26"/>
          <w:szCs w:val="26"/>
        </w:rPr>
        <w:t xml:space="preserve"> care</w:t>
      </w:r>
      <w:r w:rsidRPr="000F0D8B">
        <w:rPr>
          <w:rFonts w:asciiTheme="minorHAnsi" w:hAnsiTheme="minorHAnsi" w:cstheme="minorHAnsi"/>
          <w:sz w:val="26"/>
          <w:szCs w:val="26"/>
        </w:rPr>
        <w:t xml:space="preserve"> inclu</w:t>
      </w:r>
      <w:r w:rsidR="004A7346">
        <w:rPr>
          <w:rFonts w:asciiTheme="minorHAnsi" w:hAnsiTheme="minorHAnsi" w:cstheme="minorHAnsi"/>
          <w:sz w:val="26"/>
          <w:szCs w:val="26"/>
        </w:rPr>
        <w:t>d</w:t>
      </w:r>
      <w:r w:rsidRPr="000F0D8B">
        <w:rPr>
          <w:rFonts w:asciiTheme="minorHAnsi" w:hAnsiTheme="minorHAnsi" w:cstheme="minorHAnsi"/>
          <w:sz w:val="26"/>
          <w:szCs w:val="26"/>
        </w:rPr>
        <w:t xml:space="preserve"> şi cele 20 de posturi acordate potrivit art. 147 din Legea nr. 304/2022</w:t>
      </w:r>
      <w:r w:rsidR="004A7346">
        <w:rPr>
          <w:rFonts w:asciiTheme="minorHAnsi" w:hAnsiTheme="minorHAnsi" w:cstheme="minorHAnsi"/>
          <w:sz w:val="26"/>
          <w:szCs w:val="26"/>
        </w:rPr>
        <w:t xml:space="preserve"> privind organizarea judiciară</w:t>
      </w:r>
      <w:r w:rsidR="00EA578F">
        <w:rPr>
          <w:rFonts w:asciiTheme="minorHAnsi" w:hAnsiTheme="minorHAnsi" w:cstheme="minorHAnsi"/>
          <w:sz w:val="26"/>
          <w:szCs w:val="26"/>
        </w:rPr>
        <w:t>. Dintre cele 20 de postruri,</w:t>
      </w:r>
      <w:r w:rsidRPr="000F0D8B">
        <w:rPr>
          <w:rFonts w:asciiTheme="minorHAnsi" w:hAnsiTheme="minorHAnsi" w:cstheme="minorHAnsi"/>
          <w:sz w:val="26"/>
          <w:szCs w:val="26"/>
        </w:rPr>
        <w:t xml:space="preserve"> 3</w:t>
      </w:r>
      <w:r w:rsidR="000C13B2">
        <w:rPr>
          <w:rFonts w:asciiTheme="minorHAnsi" w:hAnsiTheme="minorHAnsi" w:cstheme="minorHAnsi"/>
          <w:sz w:val="26"/>
          <w:szCs w:val="26"/>
        </w:rPr>
        <w:t xml:space="preserve"> posturi erau</w:t>
      </w:r>
      <w:r w:rsidRPr="000F0D8B">
        <w:rPr>
          <w:rFonts w:asciiTheme="minorHAnsi" w:hAnsiTheme="minorHAnsi" w:cstheme="minorHAnsi"/>
          <w:sz w:val="26"/>
          <w:szCs w:val="26"/>
        </w:rPr>
        <w:t xml:space="preserve"> la nivelul parchetelor de pe lângă curțile de apel, 3 la parchetele de pe lângă tribunale şi 14 la parchetele de pe lângă judecătorii</w:t>
      </w:r>
      <w:r w:rsidR="000C13B2">
        <w:rPr>
          <w:rFonts w:asciiTheme="minorHAnsi" w:hAnsiTheme="minorHAnsi" w:cstheme="minorHAnsi"/>
          <w:sz w:val="26"/>
          <w:szCs w:val="26"/>
        </w:rPr>
        <w:t>. La aceeași dată erau</w:t>
      </w:r>
      <w:r w:rsidRPr="000F0D8B">
        <w:rPr>
          <w:rFonts w:asciiTheme="minorHAnsi" w:hAnsiTheme="minorHAnsi" w:cstheme="minorHAnsi"/>
          <w:b/>
          <w:sz w:val="26"/>
          <w:szCs w:val="26"/>
        </w:rPr>
        <w:t xml:space="preserve"> </w:t>
      </w:r>
      <w:r w:rsidRPr="00FA0702">
        <w:rPr>
          <w:rFonts w:asciiTheme="minorHAnsi" w:hAnsiTheme="minorHAnsi" w:cstheme="minorHAnsi"/>
          <w:bCs/>
          <w:sz w:val="26"/>
          <w:szCs w:val="26"/>
        </w:rPr>
        <w:t>vacante 810 posturi,</w:t>
      </w:r>
      <w:r w:rsidRPr="000F0D8B">
        <w:rPr>
          <w:rFonts w:asciiTheme="minorHAnsi" w:hAnsiTheme="minorHAnsi" w:cstheme="minorHAnsi"/>
          <w:sz w:val="26"/>
          <w:szCs w:val="26"/>
        </w:rPr>
        <w:t xml:space="preserve"> din care 470 </w:t>
      </w:r>
      <w:r w:rsidR="00FA0702">
        <w:rPr>
          <w:rFonts w:asciiTheme="minorHAnsi" w:hAnsiTheme="minorHAnsi" w:cstheme="minorHAnsi"/>
          <w:sz w:val="26"/>
          <w:szCs w:val="26"/>
        </w:rPr>
        <w:t xml:space="preserve">de posturi </w:t>
      </w:r>
      <w:r w:rsidRPr="000F0D8B">
        <w:rPr>
          <w:rFonts w:asciiTheme="minorHAnsi" w:hAnsiTheme="minorHAnsi" w:cstheme="minorHAnsi"/>
          <w:sz w:val="26"/>
          <w:szCs w:val="26"/>
        </w:rPr>
        <w:t xml:space="preserve">erau corespunzătoare funcţiilor de execuţie (sunt incluse şi 49 </w:t>
      </w:r>
      <w:r w:rsidR="00FA0702">
        <w:rPr>
          <w:rFonts w:asciiTheme="minorHAnsi" w:hAnsiTheme="minorHAnsi" w:cstheme="minorHAnsi"/>
          <w:sz w:val="26"/>
          <w:szCs w:val="26"/>
        </w:rPr>
        <w:t xml:space="preserve">de </w:t>
      </w:r>
      <w:r w:rsidRPr="000F0D8B">
        <w:rPr>
          <w:rFonts w:asciiTheme="minorHAnsi" w:hAnsiTheme="minorHAnsi" w:cstheme="minorHAnsi"/>
          <w:sz w:val="26"/>
          <w:szCs w:val="26"/>
        </w:rPr>
        <w:t xml:space="preserve">posturi acordate potrivit art. 147 din Legea nr. 304/2022), iar 340 </w:t>
      </w:r>
      <w:r w:rsidR="00FA0702">
        <w:rPr>
          <w:rFonts w:asciiTheme="minorHAnsi" w:hAnsiTheme="minorHAnsi" w:cstheme="minorHAnsi"/>
          <w:sz w:val="26"/>
          <w:szCs w:val="26"/>
        </w:rPr>
        <w:t xml:space="preserve">de posturi </w:t>
      </w:r>
      <w:r w:rsidRPr="000F0D8B">
        <w:rPr>
          <w:rFonts w:asciiTheme="minorHAnsi" w:hAnsiTheme="minorHAnsi" w:cstheme="minorHAnsi"/>
          <w:sz w:val="26"/>
          <w:szCs w:val="26"/>
        </w:rPr>
        <w:t>funcţiilor de conducere.</w:t>
      </w:r>
    </w:p>
    <w:p w14:paraId="38BBA901" w14:textId="3E9E3ACB" w:rsidR="009E108E" w:rsidRPr="000F0D8B" w:rsidRDefault="009E108E" w:rsidP="009E3AD8">
      <w:pPr>
        <w:spacing w:line="276" w:lineRule="auto"/>
        <w:jc w:val="both"/>
        <w:rPr>
          <w:rFonts w:asciiTheme="minorHAnsi" w:hAnsiTheme="minorHAnsi" w:cstheme="minorHAnsi"/>
          <w:sz w:val="26"/>
          <w:szCs w:val="26"/>
        </w:rPr>
      </w:pPr>
      <w:r w:rsidRPr="000F0D8B">
        <w:rPr>
          <w:rFonts w:asciiTheme="minorHAnsi" w:hAnsiTheme="minorHAnsi" w:cstheme="minorHAnsi"/>
          <w:sz w:val="26"/>
          <w:szCs w:val="26"/>
        </w:rPr>
        <w:tab/>
      </w:r>
      <w:r w:rsidRPr="00FA0702">
        <w:rPr>
          <w:rFonts w:asciiTheme="minorHAnsi" w:hAnsiTheme="minorHAnsi" w:cstheme="minorHAnsi"/>
          <w:bCs/>
          <w:sz w:val="26"/>
          <w:szCs w:val="26"/>
        </w:rPr>
        <w:t xml:space="preserve">Din totalul celor 2266 </w:t>
      </w:r>
      <w:r w:rsidR="00FA0702" w:rsidRPr="00FA0702">
        <w:rPr>
          <w:rFonts w:asciiTheme="minorHAnsi" w:hAnsiTheme="minorHAnsi" w:cstheme="minorHAnsi"/>
          <w:bCs/>
          <w:sz w:val="26"/>
          <w:szCs w:val="26"/>
        </w:rPr>
        <w:t xml:space="preserve">de </w:t>
      </w:r>
      <w:r w:rsidRPr="00FA0702">
        <w:rPr>
          <w:rFonts w:asciiTheme="minorHAnsi" w:hAnsiTheme="minorHAnsi" w:cstheme="minorHAnsi"/>
          <w:bCs/>
          <w:sz w:val="26"/>
          <w:szCs w:val="26"/>
        </w:rPr>
        <w:t>posturi de procuror ocupate, 5 procurori funcţionau peste schema prevăzută</w:t>
      </w:r>
      <w:r w:rsidRPr="000F0D8B">
        <w:rPr>
          <w:rFonts w:asciiTheme="minorHAnsi" w:hAnsiTheme="minorHAnsi" w:cstheme="minorHAnsi"/>
          <w:sz w:val="26"/>
          <w:szCs w:val="26"/>
        </w:rPr>
        <w:t>, 2 la nivelul parchetelor de pe lângă curțile de apel, 1 la parchetele de pe lângă tribunale și 2 la parchetele de pe lângă judecătorii.</w:t>
      </w:r>
    </w:p>
    <w:p w14:paraId="124F68CD" w14:textId="205B0491" w:rsidR="009E108E" w:rsidRPr="000F0D8B" w:rsidRDefault="009E108E" w:rsidP="009E3AD8">
      <w:pPr>
        <w:spacing w:line="276" w:lineRule="auto"/>
        <w:jc w:val="both"/>
        <w:rPr>
          <w:rFonts w:asciiTheme="minorHAnsi" w:hAnsiTheme="minorHAnsi" w:cstheme="minorHAnsi"/>
          <w:sz w:val="26"/>
          <w:szCs w:val="26"/>
        </w:rPr>
      </w:pPr>
      <w:r w:rsidRPr="000F0D8B">
        <w:rPr>
          <w:rFonts w:asciiTheme="minorHAnsi" w:hAnsiTheme="minorHAnsi" w:cstheme="minorHAnsi"/>
          <w:sz w:val="26"/>
          <w:szCs w:val="26"/>
        </w:rPr>
        <w:tab/>
        <w:t>Funcţionarea peste schemă se datorează faptului că procurorii respectivi fie şi-au încetat mandatele de conducere, fie şi-au încetat activitatea la cele două structuri din cadrul Parchetului de pe lângă Înalta Curte de Casaţie şi Justiţie (D</w:t>
      </w:r>
      <w:r w:rsidR="00857092">
        <w:rPr>
          <w:rFonts w:asciiTheme="minorHAnsi" w:hAnsiTheme="minorHAnsi" w:cstheme="minorHAnsi"/>
          <w:sz w:val="26"/>
          <w:szCs w:val="26"/>
        </w:rPr>
        <w:t xml:space="preserve">.N.A. </w:t>
      </w:r>
      <w:r w:rsidRPr="000F0D8B">
        <w:rPr>
          <w:rFonts w:asciiTheme="minorHAnsi" w:hAnsiTheme="minorHAnsi" w:cstheme="minorHAnsi"/>
          <w:sz w:val="26"/>
          <w:szCs w:val="26"/>
        </w:rPr>
        <w:t>şi D</w:t>
      </w:r>
      <w:r w:rsidR="00857092">
        <w:rPr>
          <w:rFonts w:asciiTheme="minorHAnsi" w:hAnsiTheme="minorHAnsi" w:cstheme="minorHAnsi"/>
          <w:sz w:val="26"/>
          <w:szCs w:val="26"/>
        </w:rPr>
        <w:t xml:space="preserve">.I.I.C.O.T.) </w:t>
      </w:r>
      <w:r w:rsidRPr="000F0D8B">
        <w:rPr>
          <w:rFonts w:asciiTheme="minorHAnsi" w:hAnsiTheme="minorHAnsi" w:cstheme="minorHAnsi"/>
          <w:sz w:val="26"/>
          <w:szCs w:val="26"/>
        </w:rPr>
        <w:t>şi, potrivit dispoziţiilor legale, au revenit pe posturile de execuţie de la unităţile de parchet la care au funcţionat anterior numirii.</w:t>
      </w:r>
    </w:p>
    <w:p w14:paraId="06E24175" w14:textId="77777777" w:rsidR="009E108E" w:rsidRPr="000F0D8B" w:rsidRDefault="009E108E" w:rsidP="009E3AD8">
      <w:pPr>
        <w:spacing w:line="276" w:lineRule="auto"/>
        <w:ind w:firstLine="720"/>
        <w:jc w:val="both"/>
        <w:rPr>
          <w:rFonts w:asciiTheme="minorHAnsi" w:hAnsiTheme="minorHAnsi" w:cstheme="minorHAnsi"/>
          <w:sz w:val="26"/>
          <w:szCs w:val="26"/>
        </w:rPr>
      </w:pPr>
      <w:r w:rsidRPr="00FA0702">
        <w:rPr>
          <w:rFonts w:asciiTheme="minorHAnsi" w:hAnsiTheme="minorHAnsi" w:cstheme="minorHAnsi"/>
          <w:bCs/>
          <w:sz w:val="26"/>
          <w:szCs w:val="26"/>
        </w:rPr>
        <w:t>Distribuţia posturilor vacante, pe grade de jurisdicţie, în luna ianuarie 2025,</w:t>
      </w:r>
      <w:r w:rsidRPr="000F0D8B">
        <w:rPr>
          <w:rFonts w:asciiTheme="minorHAnsi" w:hAnsiTheme="minorHAnsi" w:cstheme="minorHAnsi"/>
          <w:b/>
          <w:sz w:val="26"/>
          <w:szCs w:val="26"/>
        </w:rPr>
        <w:t xml:space="preserve"> </w:t>
      </w:r>
      <w:r w:rsidRPr="000F0D8B">
        <w:rPr>
          <w:rFonts w:asciiTheme="minorHAnsi" w:hAnsiTheme="minorHAnsi" w:cstheme="minorHAnsi"/>
          <w:sz w:val="26"/>
          <w:szCs w:val="26"/>
        </w:rPr>
        <w:t>se</w:t>
      </w:r>
      <w:r w:rsidRPr="000F0D8B">
        <w:rPr>
          <w:rFonts w:asciiTheme="minorHAnsi" w:hAnsiTheme="minorHAnsi" w:cstheme="minorHAnsi"/>
          <w:b/>
          <w:sz w:val="26"/>
          <w:szCs w:val="26"/>
        </w:rPr>
        <w:t xml:space="preserve"> </w:t>
      </w:r>
      <w:r w:rsidRPr="000F0D8B">
        <w:rPr>
          <w:rFonts w:asciiTheme="minorHAnsi" w:hAnsiTheme="minorHAnsi" w:cstheme="minorHAnsi"/>
          <w:sz w:val="26"/>
          <w:szCs w:val="26"/>
        </w:rPr>
        <w:t>prezenta astfel:</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850"/>
        <w:gridCol w:w="851"/>
        <w:gridCol w:w="850"/>
        <w:gridCol w:w="851"/>
        <w:gridCol w:w="850"/>
        <w:gridCol w:w="851"/>
        <w:gridCol w:w="850"/>
        <w:gridCol w:w="850"/>
      </w:tblGrid>
      <w:tr w:rsidR="009E108E" w:rsidRPr="000F0D8B" w14:paraId="0FB631BE" w14:textId="77777777" w:rsidTr="00BE6FF5">
        <w:trPr>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30F5DF5A" w14:textId="77777777" w:rsidR="009E108E" w:rsidRPr="000F0D8B" w:rsidRDefault="009E108E" w:rsidP="009E3AD8">
            <w:pPr>
              <w:spacing w:line="276" w:lineRule="auto"/>
              <w:jc w:val="center"/>
              <w:rPr>
                <w:rFonts w:asciiTheme="minorHAnsi" w:hAnsiTheme="minorHAnsi" w:cstheme="minorHAnsi"/>
                <w:b/>
                <w:sz w:val="26"/>
                <w:szCs w:val="26"/>
              </w:rPr>
            </w:pPr>
            <w:r w:rsidRPr="000F0D8B">
              <w:rPr>
                <w:rFonts w:asciiTheme="minorHAnsi" w:hAnsiTheme="minorHAnsi" w:cstheme="minorHAnsi"/>
                <w:b/>
                <w:sz w:val="26"/>
                <w:szCs w:val="26"/>
              </w:rPr>
              <w:t>Categoria</w:t>
            </w:r>
          </w:p>
        </w:tc>
        <w:tc>
          <w:tcPr>
            <w:tcW w:w="3402"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63863BDC" w14:textId="50FB6E8A" w:rsidR="009E108E" w:rsidRPr="000F0D8B" w:rsidRDefault="009E108E" w:rsidP="009E3AD8">
            <w:pPr>
              <w:spacing w:line="276" w:lineRule="auto"/>
              <w:jc w:val="center"/>
              <w:rPr>
                <w:rFonts w:asciiTheme="minorHAnsi" w:hAnsiTheme="minorHAnsi" w:cstheme="minorHAnsi"/>
                <w:sz w:val="26"/>
                <w:szCs w:val="26"/>
              </w:rPr>
            </w:pPr>
            <w:r w:rsidRPr="000F0D8B">
              <w:rPr>
                <w:rFonts w:asciiTheme="minorHAnsi" w:hAnsiTheme="minorHAnsi" w:cstheme="minorHAnsi"/>
                <w:b/>
                <w:sz w:val="26"/>
                <w:szCs w:val="26"/>
              </w:rPr>
              <w:t>Posturi de procuror prevăzute în schemă</w:t>
            </w:r>
          </w:p>
        </w:tc>
        <w:tc>
          <w:tcPr>
            <w:tcW w:w="3401"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2FB361A8" w14:textId="77777777" w:rsidR="009E108E" w:rsidRPr="000F0D8B" w:rsidRDefault="009E108E" w:rsidP="009E3AD8">
            <w:pPr>
              <w:spacing w:line="276" w:lineRule="auto"/>
              <w:jc w:val="center"/>
              <w:rPr>
                <w:rFonts w:asciiTheme="minorHAnsi" w:hAnsiTheme="minorHAnsi" w:cstheme="minorHAnsi"/>
                <w:sz w:val="26"/>
                <w:szCs w:val="26"/>
              </w:rPr>
            </w:pPr>
            <w:r w:rsidRPr="000F0D8B">
              <w:rPr>
                <w:rFonts w:asciiTheme="minorHAnsi" w:hAnsiTheme="minorHAnsi" w:cstheme="minorHAnsi"/>
                <w:b/>
                <w:sz w:val="26"/>
                <w:szCs w:val="26"/>
              </w:rPr>
              <w:t>Posturi de procuror vacante</w:t>
            </w:r>
          </w:p>
        </w:tc>
      </w:tr>
      <w:tr w:rsidR="009E108E" w:rsidRPr="000F0D8B" w14:paraId="6DD92B1F" w14:textId="77777777" w:rsidTr="00BE6FF5">
        <w:trPr>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5B9EF2FB" w14:textId="77777777" w:rsidR="009E108E" w:rsidRPr="000F0D8B" w:rsidRDefault="009E108E" w:rsidP="009E3AD8">
            <w:pPr>
              <w:spacing w:line="276" w:lineRule="auto"/>
              <w:rPr>
                <w:rFonts w:asciiTheme="minorHAnsi" w:hAnsiTheme="minorHAnsi" w:cstheme="minorHAnsi"/>
                <w:b/>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BDC606B" w14:textId="77777777" w:rsidR="009E108E" w:rsidRPr="000F0D8B" w:rsidRDefault="009E108E" w:rsidP="009E3AD8">
            <w:pPr>
              <w:spacing w:line="276" w:lineRule="auto"/>
              <w:jc w:val="center"/>
              <w:rPr>
                <w:rFonts w:asciiTheme="minorHAnsi" w:hAnsiTheme="minorHAnsi" w:cstheme="minorHAnsi"/>
                <w:b/>
                <w:sz w:val="26"/>
                <w:szCs w:val="26"/>
              </w:rPr>
            </w:pPr>
            <w:r w:rsidRPr="000F0D8B">
              <w:rPr>
                <w:rFonts w:asciiTheme="minorHAnsi" w:hAnsiTheme="minorHAnsi" w:cstheme="minorHAnsi"/>
                <w:b/>
                <w:sz w:val="26"/>
                <w:szCs w:val="26"/>
              </w:rPr>
              <w:t>Total</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06BF5E3" w14:textId="77777777" w:rsidR="009E108E" w:rsidRPr="000F0D8B" w:rsidRDefault="009E108E" w:rsidP="009E3AD8">
            <w:pPr>
              <w:spacing w:line="276" w:lineRule="auto"/>
              <w:jc w:val="center"/>
              <w:rPr>
                <w:rFonts w:asciiTheme="minorHAnsi" w:hAnsiTheme="minorHAnsi" w:cstheme="minorHAnsi"/>
                <w:sz w:val="26"/>
                <w:szCs w:val="26"/>
              </w:rPr>
            </w:pPr>
            <w:r w:rsidRPr="000F0D8B">
              <w:rPr>
                <w:rFonts w:asciiTheme="minorHAnsi" w:hAnsiTheme="minorHAnsi" w:cstheme="minorHAnsi"/>
                <w:sz w:val="26"/>
                <w:szCs w:val="26"/>
              </w:rPr>
              <w:t>Exec.</w:t>
            </w:r>
          </w:p>
        </w:tc>
        <w:tc>
          <w:tcPr>
            <w:tcW w:w="850" w:type="dxa"/>
            <w:tcBorders>
              <w:top w:val="single" w:sz="4" w:space="0" w:color="auto"/>
              <w:left w:val="single" w:sz="4" w:space="0" w:color="auto"/>
              <w:bottom w:val="single" w:sz="4" w:space="0" w:color="auto"/>
              <w:right w:val="single" w:sz="4" w:space="0" w:color="auto"/>
            </w:tcBorders>
            <w:shd w:val="clear" w:color="auto" w:fill="D9D9D9"/>
            <w:hideMark/>
          </w:tcPr>
          <w:p w14:paraId="58C4D99C" w14:textId="77777777" w:rsidR="009E108E" w:rsidRPr="000F0D8B" w:rsidRDefault="009E108E" w:rsidP="009E3AD8">
            <w:pPr>
              <w:spacing w:line="276" w:lineRule="auto"/>
              <w:jc w:val="center"/>
              <w:rPr>
                <w:rFonts w:asciiTheme="minorHAnsi" w:hAnsiTheme="minorHAnsi" w:cstheme="minorHAnsi"/>
                <w:sz w:val="26"/>
                <w:szCs w:val="26"/>
              </w:rPr>
            </w:pPr>
            <w:r w:rsidRPr="000F0D8B">
              <w:rPr>
                <w:rFonts w:asciiTheme="minorHAnsi" w:hAnsiTheme="minorHAnsi" w:cstheme="minorHAnsi"/>
                <w:sz w:val="26"/>
                <w:szCs w:val="26"/>
              </w:rPr>
              <w:t>art. 147</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2DD0ED7" w14:textId="77777777" w:rsidR="009E108E" w:rsidRPr="000F0D8B" w:rsidRDefault="009E108E" w:rsidP="009E3AD8">
            <w:pPr>
              <w:spacing w:line="276" w:lineRule="auto"/>
              <w:jc w:val="center"/>
              <w:rPr>
                <w:rFonts w:asciiTheme="minorHAnsi" w:hAnsiTheme="minorHAnsi" w:cstheme="minorHAnsi"/>
                <w:sz w:val="26"/>
                <w:szCs w:val="26"/>
              </w:rPr>
            </w:pPr>
            <w:r w:rsidRPr="000F0D8B">
              <w:rPr>
                <w:rFonts w:asciiTheme="minorHAnsi" w:hAnsiTheme="minorHAnsi" w:cstheme="minorHAnsi"/>
                <w:sz w:val="26"/>
                <w:szCs w:val="26"/>
              </w:rPr>
              <w:t>Cond.</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58F076D" w14:textId="77777777" w:rsidR="009E108E" w:rsidRPr="000F0D8B" w:rsidRDefault="009E108E" w:rsidP="009E3AD8">
            <w:pPr>
              <w:spacing w:line="276" w:lineRule="auto"/>
              <w:jc w:val="center"/>
              <w:rPr>
                <w:rFonts w:asciiTheme="minorHAnsi" w:hAnsiTheme="minorHAnsi" w:cstheme="minorHAnsi"/>
                <w:b/>
                <w:sz w:val="26"/>
                <w:szCs w:val="26"/>
              </w:rPr>
            </w:pPr>
            <w:r w:rsidRPr="000F0D8B">
              <w:rPr>
                <w:rFonts w:asciiTheme="minorHAnsi" w:hAnsiTheme="minorHAnsi" w:cstheme="minorHAnsi"/>
                <w:b/>
                <w:sz w:val="26"/>
                <w:szCs w:val="26"/>
              </w:rPr>
              <w:t>Total</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B1CB8B7" w14:textId="77777777" w:rsidR="009E108E" w:rsidRPr="000F0D8B" w:rsidRDefault="009E108E" w:rsidP="009E3AD8">
            <w:pPr>
              <w:spacing w:line="276" w:lineRule="auto"/>
              <w:jc w:val="center"/>
              <w:rPr>
                <w:rFonts w:asciiTheme="minorHAnsi" w:hAnsiTheme="minorHAnsi" w:cstheme="minorHAnsi"/>
                <w:sz w:val="26"/>
                <w:szCs w:val="26"/>
              </w:rPr>
            </w:pPr>
            <w:r w:rsidRPr="000F0D8B">
              <w:rPr>
                <w:rFonts w:asciiTheme="minorHAnsi" w:hAnsiTheme="minorHAnsi" w:cstheme="minorHAnsi"/>
                <w:sz w:val="26"/>
                <w:szCs w:val="26"/>
              </w:rPr>
              <w:t>Exec.</w:t>
            </w:r>
          </w:p>
        </w:tc>
        <w:tc>
          <w:tcPr>
            <w:tcW w:w="850" w:type="dxa"/>
            <w:tcBorders>
              <w:top w:val="single" w:sz="4" w:space="0" w:color="auto"/>
              <w:left w:val="single" w:sz="4" w:space="0" w:color="auto"/>
              <w:bottom w:val="single" w:sz="4" w:space="0" w:color="auto"/>
              <w:right w:val="single" w:sz="4" w:space="0" w:color="auto"/>
            </w:tcBorders>
            <w:shd w:val="clear" w:color="auto" w:fill="D9D9D9"/>
            <w:hideMark/>
          </w:tcPr>
          <w:p w14:paraId="37E70F56" w14:textId="77777777" w:rsidR="009E108E" w:rsidRPr="000F0D8B" w:rsidRDefault="009E108E" w:rsidP="009E3AD8">
            <w:pPr>
              <w:spacing w:line="276" w:lineRule="auto"/>
              <w:jc w:val="center"/>
              <w:rPr>
                <w:rFonts w:asciiTheme="minorHAnsi" w:hAnsiTheme="minorHAnsi" w:cstheme="minorHAnsi"/>
                <w:sz w:val="26"/>
                <w:szCs w:val="26"/>
              </w:rPr>
            </w:pPr>
            <w:r w:rsidRPr="000F0D8B">
              <w:rPr>
                <w:rFonts w:asciiTheme="minorHAnsi" w:hAnsiTheme="minorHAnsi" w:cstheme="minorHAnsi"/>
                <w:sz w:val="26"/>
                <w:szCs w:val="26"/>
              </w:rPr>
              <w:t>art. 147</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441B54" w14:textId="77777777" w:rsidR="009E108E" w:rsidRPr="000F0D8B" w:rsidRDefault="009E108E" w:rsidP="009E3AD8">
            <w:pPr>
              <w:spacing w:line="276" w:lineRule="auto"/>
              <w:jc w:val="center"/>
              <w:rPr>
                <w:rFonts w:asciiTheme="minorHAnsi" w:hAnsiTheme="minorHAnsi" w:cstheme="minorHAnsi"/>
                <w:sz w:val="26"/>
                <w:szCs w:val="26"/>
              </w:rPr>
            </w:pPr>
            <w:r w:rsidRPr="000F0D8B">
              <w:rPr>
                <w:rFonts w:asciiTheme="minorHAnsi" w:hAnsiTheme="minorHAnsi" w:cstheme="minorHAnsi"/>
                <w:sz w:val="26"/>
                <w:szCs w:val="26"/>
              </w:rPr>
              <w:t>Cond.</w:t>
            </w:r>
          </w:p>
        </w:tc>
      </w:tr>
      <w:tr w:rsidR="009E108E" w:rsidRPr="000F0D8B" w14:paraId="74C4A85F" w14:textId="77777777" w:rsidTr="00BE6FF5">
        <w:trPr>
          <w:trHeight w:val="847"/>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3F583AA6" w14:textId="1FA67C4E" w:rsidR="009E108E" w:rsidRPr="000F0D8B" w:rsidRDefault="009E108E" w:rsidP="009E3AD8">
            <w:pPr>
              <w:spacing w:line="276" w:lineRule="auto"/>
              <w:jc w:val="both"/>
              <w:rPr>
                <w:rFonts w:asciiTheme="minorHAnsi" w:hAnsiTheme="minorHAnsi" w:cstheme="minorHAnsi"/>
                <w:sz w:val="26"/>
                <w:szCs w:val="26"/>
              </w:rPr>
            </w:pPr>
            <w:r w:rsidRPr="000F0D8B">
              <w:rPr>
                <w:rFonts w:asciiTheme="minorHAnsi" w:hAnsiTheme="minorHAnsi" w:cstheme="minorHAnsi"/>
                <w:sz w:val="26"/>
                <w:szCs w:val="26"/>
              </w:rPr>
              <w:t>P</w:t>
            </w:r>
            <w:r w:rsidR="001D5C5E" w:rsidRPr="000F0D8B">
              <w:rPr>
                <w:rFonts w:asciiTheme="minorHAnsi" w:hAnsiTheme="minorHAnsi" w:cstheme="minorHAnsi"/>
                <w:sz w:val="26"/>
                <w:szCs w:val="26"/>
              </w:rPr>
              <w:t>.</w:t>
            </w:r>
            <w:r w:rsidRPr="000F0D8B">
              <w:rPr>
                <w:rFonts w:asciiTheme="minorHAnsi" w:hAnsiTheme="minorHAnsi" w:cstheme="minorHAnsi"/>
                <w:sz w:val="26"/>
                <w:szCs w:val="26"/>
              </w:rPr>
              <w:t>Î</w:t>
            </w:r>
            <w:r w:rsidR="001D5C5E" w:rsidRPr="000F0D8B">
              <w:rPr>
                <w:rFonts w:asciiTheme="minorHAnsi" w:hAnsiTheme="minorHAnsi" w:cstheme="minorHAnsi"/>
                <w:sz w:val="26"/>
                <w:szCs w:val="26"/>
              </w:rPr>
              <w:t>.</w:t>
            </w:r>
            <w:r w:rsidRPr="000F0D8B">
              <w:rPr>
                <w:rFonts w:asciiTheme="minorHAnsi" w:hAnsiTheme="minorHAnsi" w:cstheme="minorHAnsi"/>
                <w:sz w:val="26"/>
                <w:szCs w:val="26"/>
              </w:rPr>
              <w:t>C</w:t>
            </w:r>
            <w:r w:rsidR="001D5C5E" w:rsidRPr="000F0D8B">
              <w:rPr>
                <w:rFonts w:asciiTheme="minorHAnsi" w:hAnsiTheme="minorHAnsi" w:cstheme="minorHAnsi"/>
                <w:sz w:val="26"/>
                <w:szCs w:val="26"/>
              </w:rPr>
              <w:t>.</w:t>
            </w:r>
            <w:r w:rsidRPr="000F0D8B">
              <w:rPr>
                <w:rFonts w:asciiTheme="minorHAnsi" w:hAnsiTheme="minorHAnsi" w:cstheme="minorHAnsi"/>
                <w:sz w:val="26"/>
                <w:szCs w:val="26"/>
              </w:rPr>
              <w:t>C</w:t>
            </w:r>
            <w:r w:rsidR="001D5C5E" w:rsidRPr="000F0D8B">
              <w:rPr>
                <w:rFonts w:asciiTheme="minorHAnsi" w:hAnsiTheme="minorHAnsi" w:cstheme="minorHAnsi"/>
                <w:sz w:val="26"/>
                <w:szCs w:val="26"/>
              </w:rPr>
              <w:t>.</w:t>
            </w:r>
            <w:r w:rsidRPr="000F0D8B">
              <w:rPr>
                <w:rFonts w:asciiTheme="minorHAnsi" w:hAnsiTheme="minorHAnsi" w:cstheme="minorHAnsi"/>
                <w:sz w:val="26"/>
                <w:szCs w:val="26"/>
              </w:rPr>
              <w:t>J</w:t>
            </w:r>
            <w:r w:rsidR="001D5C5E" w:rsidRPr="000F0D8B">
              <w:rPr>
                <w:rFonts w:asciiTheme="minorHAnsi" w:hAnsiTheme="minorHAnsi" w:cstheme="minorHAnsi"/>
                <w:sz w:val="26"/>
                <w:szCs w:val="26"/>
              </w:rPr>
              <w:t>.</w:t>
            </w:r>
            <w:r w:rsidRPr="000F0D8B">
              <w:rPr>
                <w:rFonts w:asciiTheme="minorHAnsi" w:hAnsiTheme="minorHAnsi" w:cstheme="minorHAnsi"/>
                <w:sz w:val="26"/>
                <w:szCs w:val="26"/>
              </w:rPr>
              <w:t xml:space="preserve"> (</w:t>
            </w:r>
            <w:r w:rsidRPr="000F0D8B">
              <w:rPr>
                <w:rFonts w:asciiTheme="minorHAnsi" w:hAnsiTheme="minorHAnsi" w:cstheme="minorHAnsi"/>
                <w:i/>
                <w:sz w:val="26"/>
                <w:szCs w:val="26"/>
              </w:rPr>
              <w:t>inclusiv D</w:t>
            </w:r>
            <w:r w:rsidR="001D5C5E" w:rsidRPr="000F0D8B">
              <w:rPr>
                <w:rFonts w:asciiTheme="minorHAnsi" w:hAnsiTheme="minorHAnsi" w:cstheme="minorHAnsi"/>
                <w:i/>
                <w:sz w:val="26"/>
                <w:szCs w:val="26"/>
              </w:rPr>
              <w:t>.</w:t>
            </w:r>
            <w:r w:rsidRPr="000F0D8B">
              <w:rPr>
                <w:rFonts w:asciiTheme="minorHAnsi" w:hAnsiTheme="minorHAnsi" w:cstheme="minorHAnsi"/>
                <w:i/>
                <w:sz w:val="26"/>
                <w:szCs w:val="26"/>
              </w:rPr>
              <w:t>N</w:t>
            </w:r>
            <w:r w:rsidR="001D5C5E" w:rsidRPr="000F0D8B">
              <w:rPr>
                <w:rFonts w:asciiTheme="minorHAnsi" w:hAnsiTheme="minorHAnsi" w:cstheme="minorHAnsi"/>
                <w:i/>
                <w:sz w:val="26"/>
                <w:szCs w:val="26"/>
              </w:rPr>
              <w:t>.</w:t>
            </w:r>
            <w:r w:rsidRPr="000F0D8B">
              <w:rPr>
                <w:rFonts w:asciiTheme="minorHAnsi" w:hAnsiTheme="minorHAnsi" w:cstheme="minorHAnsi"/>
                <w:i/>
                <w:sz w:val="26"/>
                <w:szCs w:val="26"/>
              </w:rPr>
              <w:t>A</w:t>
            </w:r>
            <w:r w:rsidR="001D5C5E" w:rsidRPr="000F0D8B">
              <w:rPr>
                <w:rFonts w:asciiTheme="minorHAnsi" w:hAnsiTheme="minorHAnsi" w:cstheme="minorHAnsi"/>
                <w:i/>
                <w:sz w:val="26"/>
                <w:szCs w:val="26"/>
              </w:rPr>
              <w:t>.</w:t>
            </w:r>
            <w:r w:rsidRPr="000F0D8B">
              <w:rPr>
                <w:rFonts w:asciiTheme="minorHAnsi" w:hAnsiTheme="minorHAnsi" w:cstheme="minorHAnsi"/>
                <w:i/>
                <w:sz w:val="26"/>
                <w:szCs w:val="26"/>
              </w:rPr>
              <w:t>, D</w:t>
            </w:r>
            <w:r w:rsidR="001D5C5E" w:rsidRPr="000F0D8B">
              <w:rPr>
                <w:rFonts w:asciiTheme="minorHAnsi" w:hAnsiTheme="minorHAnsi" w:cstheme="minorHAnsi"/>
                <w:i/>
                <w:sz w:val="26"/>
                <w:szCs w:val="26"/>
              </w:rPr>
              <w:t>.</w:t>
            </w:r>
            <w:r w:rsidRPr="000F0D8B">
              <w:rPr>
                <w:rFonts w:asciiTheme="minorHAnsi" w:hAnsiTheme="minorHAnsi" w:cstheme="minorHAnsi"/>
                <w:i/>
                <w:sz w:val="26"/>
                <w:szCs w:val="26"/>
              </w:rPr>
              <w:t>I</w:t>
            </w:r>
            <w:r w:rsidR="001D5C5E" w:rsidRPr="000F0D8B">
              <w:rPr>
                <w:rFonts w:asciiTheme="minorHAnsi" w:hAnsiTheme="minorHAnsi" w:cstheme="minorHAnsi"/>
                <w:i/>
                <w:sz w:val="26"/>
                <w:szCs w:val="26"/>
              </w:rPr>
              <w:t>.</w:t>
            </w:r>
            <w:r w:rsidRPr="000F0D8B">
              <w:rPr>
                <w:rFonts w:asciiTheme="minorHAnsi" w:hAnsiTheme="minorHAnsi" w:cstheme="minorHAnsi"/>
                <w:i/>
                <w:sz w:val="26"/>
                <w:szCs w:val="26"/>
              </w:rPr>
              <w:t>I</w:t>
            </w:r>
            <w:r w:rsidR="001D5C5E" w:rsidRPr="000F0D8B">
              <w:rPr>
                <w:rFonts w:asciiTheme="minorHAnsi" w:hAnsiTheme="minorHAnsi" w:cstheme="minorHAnsi"/>
                <w:i/>
                <w:sz w:val="26"/>
                <w:szCs w:val="26"/>
              </w:rPr>
              <w:t>.</w:t>
            </w:r>
            <w:r w:rsidRPr="000F0D8B">
              <w:rPr>
                <w:rFonts w:asciiTheme="minorHAnsi" w:hAnsiTheme="minorHAnsi" w:cstheme="minorHAnsi"/>
                <w:i/>
                <w:sz w:val="26"/>
                <w:szCs w:val="26"/>
              </w:rPr>
              <w:t>C</w:t>
            </w:r>
            <w:r w:rsidR="001D5C5E" w:rsidRPr="000F0D8B">
              <w:rPr>
                <w:rFonts w:asciiTheme="minorHAnsi" w:hAnsiTheme="minorHAnsi" w:cstheme="minorHAnsi"/>
                <w:i/>
                <w:sz w:val="26"/>
                <w:szCs w:val="26"/>
              </w:rPr>
              <w:t>.</w:t>
            </w:r>
            <w:r w:rsidRPr="000F0D8B">
              <w:rPr>
                <w:rFonts w:asciiTheme="minorHAnsi" w:hAnsiTheme="minorHAnsi" w:cstheme="minorHAnsi"/>
                <w:i/>
                <w:sz w:val="26"/>
                <w:szCs w:val="26"/>
              </w:rPr>
              <w:t>O</w:t>
            </w:r>
            <w:r w:rsidR="001D5C5E" w:rsidRPr="000F0D8B">
              <w:rPr>
                <w:rFonts w:asciiTheme="minorHAnsi" w:hAnsiTheme="minorHAnsi" w:cstheme="minorHAnsi"/>
                <w:i/>
                <w:sz w:val="26"/>
                <w:szCs w:val="26"/>
              </w:rPr>
              <w:t>.</w:t>
            </w:r>
            <w:r w:rsidRPr="000F0D8B">
              <w:rPr>
                <w:rFonts w:asciiTheme="minorHAnsi" w:hAnsiTheme="minorHAnsi" w:cstheme="minorHAnsi"/>
                <w:i/>
                <w:sz w:val="26"/>
                <w:szCs w:val="26"/>
              </w:rPr>
              <w:t>T</w:t>
            </w:r>
            <w:r w:rsidR="001D5C5E" w:rsidRPr="000F0D8B">
              <w:rPr>
                <w:rFonts w:asciiTheme="minorHAnsi" w:hAnsiTheme="minorHAnsi" w:cstheme="minorHAnsi"/>
                <w:i/>
                <w:sz w:val="26"/>
                <w:szCs w:val="26"/>
              </w:rPr>
              <w:t>.</w:t>
            </w:r>
            <w:r w:rsidRPr="000F0D8B">
              <w:rPr>
                <w:rFonts w:asciiTheme="minorHAnsi" w:hAnsiTheme="minorHAnsi" w:cstheme="minorHAnsi"/>
                <w:i/>
                <w:sz w:val="26"/>
                <w:szCs w:val="26"/>
              </w:rPr>
              <w:t xml:space="preserve"> şi Secţia parchetelor militare</w:t>
            </w:r>
            <w:r w:rsidRPr="000F0D8B">
              <w:rPr>
                <w:rFonts w:asciiTheme="minorHAnsi" w:hAnsiTheme="minorHAnsi" w:cstheme="minorHAnsi"/>
                <w:sz w:val="26"/>
                <w:szCs w:val="26"/>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36CECBD8" w14:textId="77777777" w:rsidR="009E108E" w:rsidRPr="000F0D8B" w:rsidRDefault="009E108E" w:rsidP="009E3AD8">
            <w:pPr>
              <w:spacing w:line="276" w:lineRule="auto"/>
              <w:jc w:val="center"/>
              <w:rPr>
                <w:rFonts w:asciiTheme="minorHAnsi" w:hAnsiTheme="minorHAnsi" w:cstheme="minorHAnsi"/>
                <w:b/>
                <w:sz w:val="26"/>
                <w:szCs w:val="26"/>
              </w:rPr>
            </w:pPr>
            <w:r w:rsidRPr="000F0D8B">
              <w:rPr>
                <w:rFonts w:asciiTheme="minorHAnsi" w:hAnsiTheme="minorHAnsi" w:cstheme="minorHAnsi"/>
                <w:b/>
                <w:sz w:val="26"/>
                <w:szCs w:val="26"/>
              </w:rPr>
              <w:t>683</w:t>
            </w:r>
          </w:p>
        </w:tc>
        <w:tc>
          <w:tcPr>
            <w:tcW w:w="851" w:type="dxa"/>
            <w:tcBorders>
              <w:top w:val="single" w:sz="4" w:space="0" w:color="auto"/>
              <w:left w:val="single" w:sz="4" w:space="0" w:color="auto"/>
              <w:bottom w:val="single" w:sz="4" w:space="0" w:color="auto"/>
              <w:right w:val="single" w:sz="4" w:space="0" w:color="auto"/>
            </w:tcBorders>
            <w:vAlign w:val="center"/>
            <w:hideMark/>
          </w:tcPr>
          <w:p w14:paraId="366EF9A2" w14:textId="77777777" w:rsidR="009E108E" w:rsidRPr="000F0D8B" w:rsidRDefault="009E108E" w:rsidP="009E3AD8">
            <w:pPr>
              <w:spacing w:line="276" w:lineRule="auto"/>
              <w:jc w:val="center"/>
              <w:rPr>
                <w:rFonts w:asciiTheme="minorHAnsi" w:hAnsiTheme="minorHAnsi" w:cstheme="minorHAnsi"/>
                <w:sz w:val="26"/>
                <w:szCs w:val="26"/>
              </w:rPr>
            </w:pPr>
            <w:r w:rsidRPr="000F0D8B">
              <w:rPr>
                <w:rFonts w:asciiTheme="minorHAnsi" w:hAnsiTheme="minorHAnsi" w:cstheme="minorHAnsi"/>
                <w:sz w:val="26"/>
                <w:szCs w:val="26"/>
              </w:rPr>
              <w:t>535</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6B7F5C" w14:textId="77777777" w:rsidR="009E108E" w:rsidRPr="000F0D8B" w:rsidRDefault="009E108E" w:rsidP="009E3AD8">
            <w:pPr>
              <w:spacing w:line="276" w:lineRule="auto"/>
              <w:jc w:val="center"/>
              <w:rPr>
                <w:rFonts w:asciiTheme="minorHAnsi" w:hAnsiTheme="minorHAnsi" w:cstheme="minorHAnsi"/>
                <w:sz w:val="26"/>
                <w:szCs w:val="26"/>
              </w:rPr>
            </w:pPr>
            <w:r w:rsidRPr="000F0D8B">
              <w:rPr>
                <w:rFonts w:asciiTheme="minorHAnsi" w:hAnsiTheme="minorHAnsi" w:cstheme="minorHAnsi"/>
                <w:sz w:val="26"/>
                <w:szCs w:val="26"/>
              </w:rPr>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6901DF82" w14:textId="77777777" w:rsidR="009E108E" w:rsidRPr="000F0D8B" w:rsidRDefault="009E108E" w:rsidP="009E3AD8">
            <w:pPr>
              <w:spacing w:line="276" w:lineRule="auto"/>
              <w:jc w:val="center"/>
              <w:rPr>
                <w:rFonts w:asciiTheme="minorHAnsi" w:hAnsiTheme="minorHAnsi" w:cstheme="minorHAnsi"/>
                <w:sz w:val="26"/>
                <w:szCs w:val="26"/>
              </w:rPr>
            </w:pPr>
            <w:r w:rsidRPr="000F0D8B">
              <w:rPr>
                <w:rFonts w:asciiTheme="minorHAnsi" w:hAnsiTheme="minorHAnsi" w:cstheme="minorHAnsi"/>
                <w:sz w:val="26"/>
                <w:szCs w:val="26"/>
              </w:rPr>
              <w:t>148</w:t>
            </w:r>
          </w:p>
        </w:tc>
        <w:tc>
          <w:tcPr>
            <w:tcW w:w="850" w:type="dxa"/>
            <w:tcBorders>
              <w:top w:val="single" w:sz="4" w:space="0" w:color="auto"/>
              <w:left w:val="single" w:sz="4" w:space="0" w:color="auto"/>
              <w:bottom w:val="single" w:sz="4" w:space="0" w:color="auto"/>
              <w:right w:val="single" w:sz="4" w:space="0" w:color="auto"/>
            </w:tcBorders>
            <w:vAlign w:val="center"/>
            <w:hideMark/>
          </w:tcPr>
          <w:p w14:paraId="07E87E6F" w14:textId="77777777" w:rsidR="009E108E" w:rsidRPr="000F0D8B" w:rsidRDefault="009E108E" w:rsidP="009E3AD8">
            <w:pPr>
              <w:spacing w:line="276" w:lineRule="auto"/>
              <w:jc w:val="center"/>
              <w:rPr>
                <w:rFonts w:asciiTheme="minorHAnsi" w:hAnsiTheme="minorHAnsi" w:cstheme="minorHAnsi"/>
                <w:b/>
                <w:sz w:val="26"/>
                <w:szCs w:val="26"/>
              </w:rPr>
            </w:pPr>
            <w:r w:rsidRPr="000F0D8B">
              <w:rPr>
                <w:rFonts w:asciiTheme="minorHAnsi" w:hAnsiTheme="minorHAnsi" w:cstheme="minorHAnsi"/>
                <w:b/>
                <w:sz w:val="26"/>
                <w:szCs w:val="26"/>
              </w:rPr>
              <w:t>154</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4713A1" w14:textId="77777777" w:rsidR="009E108E" w:rsidRPr="000F0D8B" w:rsidRDefault="009E108E" w:rsidP="009E3AD8">
            <w:pPr>
              <w:spacing w:line="276" w:lineRule="auto"/>
              <w:jc w:val="center"/>
              <w:rPr>
                <w:rFonts w:asciiTheme="minorHAnsi" w:hAnsiTheme="minorHAnsi" w:cstheme="minorHAnsi"/>
                <w:sz w:val="26"/>
                <w:szCs w:val="26"/>
              </w:rPr>
            </w:pPr>
            <w:r w:rsidRPr="000F0D8B">
              <w:rPr>
                <w:rFonts w:asciiTheme="minorHAnsi" w:hAnsiTheme="minorHAnsi" w:cstheme="minorHAnsi"/>
                <w:sz w:val="26"/>
                <w:szCs w:val="26"/>
              </w:rPr>
              <w:t>76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AC9073E" w14:textId="77777777" w:rsidR="009E108E" w:rsidRPr="000F0D8B" w:rsidRDefault="009E108E" w:rsidP="009E3AD8">
            <w:pPr>
              <w:spacing w:line="276" w:lineRule="auto"/>
              <w:jc w:val="center"/>
              <w:rPr>
                <w:rFonts w:asciiTheme="minorHAnsi" w:hAnsiTheme="minorHAnsi" w:cstheme="minorHAnsi"/>
                <w:sz w:val="26"/>
                <w:szCs w:val="26"/>
              </w:rPr>
            </w:pPr>
            <w:r w:rsidRPr="000F0D8B">
              <w:rPr>
                <w:rFonts w:asciiTheme="minorHAnsi" w:hAnsiTheme="minorHAnsi" w:cstheme="minorHAnsi"/>
                <w:sz w:val="26"/>
                <w:szCs w:val="26"/>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7D27A3D2" w14:textId="77777777" w:rsidR="009E108E" w:rsidRPr="000F0D8B" w:rsidRDefault="009E108E" w:rsidP="009E3AD8">
            <w:pPr>
              <w:spacing w:line="276" w:lineRule="auto"/>
              <w:jc w:val="center"/>
              <w:rPr>
                <w:rFonts w:asciiTheme="minorHAnsi" w:hAnsiTheme="minorHAnsi" w:cstheme="minorHAnsi"/>
                <w:sz w:val="26"/>
                <w:szCs w:val="26"/>
              </w:rPr>
            </w:pPr>
            <w:r w:rsidRPr="000F0D8B">
              <w:rPr>
                <w:rFonts w:asciiTheme="minorHAnsi" w:hAnsiTheme="minorHAnsi" w:cstheme="minorHAnsi"/>
                <w:sz w:val="26"/>
                <w:szCs w:val="26"/>
              </w:rPr>
              <w:t>78</w:t>
            </w:r>
          </w:p>
        </w:tc>
      </w:tr>
      <w:tr w:rsidR="009E108E" w:rsidRPr="000F0D8B" w14:paraId="45059D9A" w14:textId="77777777" w:rsidTr="00BE6FF5">
        <w:trPr>
          <w:trHeight w:val="762"/>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377C32BB" w14:textId="58E8FA3C" w:rsidR="009E108E" w:rsidRPr="000F0D8B" w:rsidRDefault="009E108E" w:rsidP="009E3AD8">
            <w:pPr>
              <w:spacing w:line="276" w:lineRule="auto"/>
              <w:jc w:val="both"/>
              <w:rPr>
                <w:rFonts w:asciiTheme="minorHAnsi" w:hAnsiTheme="minorHAnsi" w:cstheme="minorHAnsi"/>
                <w:sz w:val="26"/>
                <w:szCs w:val="26"/>
              </w:rPr>
            </w:pPr>
            <w:r w:rsidRPr="000F0D8B">
              <w:rPr>
                <w:rFonts w:asciiTheme="minorHAnsi" w:hAnsiTheme="minorHAnsi" w:cstheme="minorHAnsi"/>
                <w:sz w:val="26"/>
                <w:szCs w:val="26"/>
              </w:rPr>
              <w:t>Parchetele de pe lângă curţile de apel (</w:t>
            </w:r>
            <w:r w:rsidRPr="000F0D8B">
              <w:rPr>
                <w:rFonts w:asciiTheme="minorHAnsi" w:hAnsiTheme="minorHAnsi" w:cstheme="minorHAnsi"/>
                <w:i/>
                <w:sz w:val="26"/>
                <w:szCs w:val="26"/>
              </w:rPr>
              <w:t>inclusiv P</w:t>
            </w:r>
            <w:r w:rsidR="001D5C5E" w:rsidRPr="000F0D8B">
              <w:rPr>
                <w:rFonts w:asciiTheme="minorHAnsi" w:hAnsiTheme="minorHAnsi" w:cstheme="minorHAnsi"/>
                <w:i/>
                <w:sz w:val="26"/>
                <w:szCs w:val="26"/>
              </w:rPr>
              <w:t>.</w:t>
            </w:r>
            <w:r w:rsidRPr="000F0D8B">
              <w:rPr>
                <w:rFonts w:asciiTheme="minorHAnsi" w:hAnsiTheme="minorHAnsi" w:cstheme="minorHAnsi"/>
                <w:i/>
                <w:sz w:val="26"/>
                <w:szCs w:val="26"/>
              </w:rPr>
              <w:t>C</w:t>
            </w:r>
            <w:r w:rsidR="001D5C5E" w:rsidRPr="000F0D8B">
              <w:rPr>
                <w:rFonts w:asciiTheme="minorHAnsi" w:hAnsiTheme="minorHAnsi" w:cstheme="minorHAnsi"/>
                <w:i/>
                <w:sz w:val="26"/>
                <w:szCs w:val="26"/>
              </w:rPr>
              <w:t>.</w:t>
            </w:r>
            <w:r w:rsidRPr="000F0D8B">
              <w:rPr>
                <w:rFonts w:asciiTheme="minorHAnsi" w:hAnsiTheme="minorHAnsi" w:cstheme="minorHAnsi"/>
                <w:i/>
                <w:sz w:val="26"/>
                <w:szCs w:val="26"/>
              </w:rPr>
              <w:t>M</w:t>
            </w:r>
            <w:r w:rsidR="001D5C5E" w:rsidRPr="000F0D8B">
              <w:rPr>
                <w:rFonts w:asciiTheme="minorHAnsi" w:hAnsiTheme="minorHAnsi" w:cstheme="minorHAnsi"/>
                <w:i/>
                <w:sz w:val="26"/>
                <w:szCs w:val="26"/>
              </w:rPr>
              <w:t>.</w:t>
            </w:r>
            <w:r w:rsidRPr="000F0D8B">
              <w:rPr>
                <w:rFonts w:asciiTheme="minorHAnsi" w:hAnsiTheme="minorHAnsi" w:cstheme="minorHAnsi"/>
                <w:i/>
                <w:sz w:val="26"/>
                <w:szCs w:val="26"/>
              </w:rPr>
              <w:t>A</w:t>
            </w:r>
            <w:r w:rsidR="001D5C5E" w:rsidRPr="000F0D8B">
              <w:rPr>
                <w:rFonts w:asciiTheme="minorHAnsi" w:hAnsiTheme="minorHAnsi" w:cstheme="minorHAnsi"/>
                <w:i/>
                <w:sz w:val="26"/>
                <w:szCs w:val="26"/>
              </w:rPr>
              <w:t>.</w:t>
            </w:r>
            <w:r w:rsidRPr="000F0D8B">
              <w:rPr>
                <w:rFonts w:asciiTheme="minorHAnsi" w:hAnsiTheme="minorHAnsi" w:cstheme="minorHAnsi"/>
                <w:i/>
                <w:sz w:val="26"/>
                <w:szCs w:val="26"/>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32B31144" w14:textId="77777777" w:rsidR="009E108E" w:rsidRPr="000F0D8B" w:rsidRDefault="009E108E" w:rsidP="009E3AD8">
            <w:pPr>
              <w:spacing w:line="276" w:lineRule="auto"/>
              <w:jc w:val="center"/>
              <w:rPr>
                <w:rFonts w:asciiTheme="minorHAnsi" w:hAnsiTheme="minorHAnsi" w:cstheme="minorHAnsi"/>
                <w:b/>
                <w:sz w:val="26"/>
                <w:szCs w:val="26"/>
              </w:rPr>
            </w:pPr>
            <w:r w:rsidRPr="000F0D8B">
              <w:rPr>
                <w:rFonts w:asciiTheme="minorHAnsi" w:hAnsiTheme="minorHAnsi" w:cstheme="minorHAnsi"/>
                <w:b/>
                <w:sz w:val="26"/>
                <w:szCs w:val="26"/>
              </w:rPr>
              <w:t>269</w:t>
            </w:r>
          </w:p>
        </w:tc>
        <w:tc>
          <w:tcPr>
            <w:tcW w:w="851" w:type="dxa"/>
            <w:tcBorders>
              <w:top w:val="single" w:sz="4" w:space="0" w:color="auto"/>
              <w:left w:val="single" w:sz="4" w:space="0" w:color="auto"/>
              <w:bottom w:val="single" w:sz="4" w:space="0" w:color="auto"/>
              <w:right w:val="single" w:sz="4" w:space="0" w:color="auto"/>
            </w:tcBorders>
            <w:vAlign w:val="center"/>
            <w:hideMark/>
          </w:tcPr>
          <w:p w14:paraId="1AAA35AC" w14:textId="77777777" w:rsidR="009E108E" w:rsidRPr="000F0D8B" w:rsidRDefault="009E108E" w:rsidP="009E3AD8">
            <w:pPr>
              <w:spacing w:line="276" w:lineRule="auto"/>
              <w:jc w:val="center"/>
              <w:rPr>
                <w:rFonts w:asciiTheme="minorHAnsi" w:hAnsiTheme="minorHAnsi" w:cstheme="minorHAnsi"/>
                <w:sz w:val="26"/>
                <w:szCs w:val="26"/>
              </w:rPr>
            </w:pPr>
            <w:r w:rsidRPr="000F0D8B">
              <w:rPr>
                <w:rFonts w:asciiTheme="minorHAnsi" w:hAnsiTheme="minorHAnsi" w:cstheme="minorHAnsi"/>
                <w:sz w:val="26"/>
                <w:szCs w:val="26"/>
              </w:rPr>
              <w:t>185</w:t>
            </w:r>
          </w:p>
        </w:tc>
        <w:tc>
          <w:tcPr>
            <w:tcW w:w="850" w:type="dxa"/>
            <w:tcBorders>
              <w:top w:val="single" w:sz="4" w:space="0" w:color="auto"/>
              <w:left w:val="single" w:sz="4" w:space="0" w:color="auto"/>
              <w:bottom w:val="single" w:sz="4" w:space="0" w:color="auto"/>
              <w:right w:val="single" w:sz="4" w:space="0" w:color="auto"/>
            </w:tcBorders>
            <w:vAlign w:val="center"/>
            <w:hideMark/>
          </w:tcPr>
          <w:p w14:paraId="0ED9C468" w14:textId="77777777" w:rsidR="009E108E" w:rsidRPr="000F0D8B" w:rsidRDefault="009E108E" w:rsidP="009E3AD8">
            <w:pPr>
              <w:spacing w:line="276" w:lineRule="auto"/>
              <w:jc w:val="center"/>
              <w:rPr>
                <w:rFonts w:asciiTheme="minorHAnsi" w:hAnsiTheme="minorHAnsi" w:cstheme="minorHAnsi"/>
                <w:sz w:val="26"/>
                <w:szCs w:val="26"/>
              </w:rPr>
            </w:pPr>
            <w:r w:rsidRPr="000F0D8B">
              <w:rPr>
                <w:rFonts w:asciiTheme="minorHAnsi" w:hAnsiTheme="minorHAnsi" w:cstheme="minorHAnsi"/>
                <w:sz w:val="26"/>
                <w:szCs w:val="26"/>
              </w:rPr>
              <w:t>9</w:t>
            </w:r>
          </w:p>
        </w:tc>
        <w:tc>
          <w:tcPr>
            <w:tcW w:w="851" w:type="dxa"/>
            <w:tcBorders>
              <w:top w:val="single" w:sz="4" w:space="0" w:color="auto"/>
              <w:left w:val="single" w:sz="4" w:space="0" w:color="auto"/>
              <w:bottom w:val="single" w:sz="4" w:space="0" w:color="auto"/>
              <w:right w:val="single" w:sz="4" w:space="0" w:color="auto"/>
            </w:tcBorders>
            <w:vAlign w:val="center"/>
            <w:hideMark/>
          </w:tcPr>
          <w:p w14:paraId="535070BE" w14:textId="77777777" w:rsidR="009E108E" w:rsidRPr="000F0D8B" w:rsidRDefault="009E108E" w:rsidP="009E3AD8">
            <w:pPr>
              <w:spacing w:line="276" w:lineRule="auto"/>
              <w:jc w:val="center"/>
              <w:rPr>
                <w:rFonts w:asciiTheme="minorHAnsi" w:hAnsiTheme="minorHAnsi" w:cstheme="minorHAnsi"/>
                <w:sz w:val="26"/>
                <w:szCs w:val="26"/>
              </w:rPr>
            </w:pPr>
            <w:r w:rsidRPr="000F0D8B">
              <w:rPr>
                <w:rFonts w:asciiTheme="minorHAnsi" w:hAnsiTheme="minorHAnsi" w:cstheme="minorHAnsi"/>
                <w:sz w:val="26"/>
                <w:szCs w:val="26"/>
              </w:rPr>
              <w:t>75</w:t>
            </w:r>
          </w:p>
        </w:tc>
        <w:tc>
          <w:tcPr>
            <w:tcW w:w="850" w:type="dxa"/>
            <w:tcBorders>
              <w:top w:val="single" w:sz="4" w:space="0" w:color="auto"/>
              <w:left w:val="single" w:sz="4" w:space="0" w:color="auto"/>
              <w:bottom w:val="single" w:sz="4" w:space="0" w:color="auto"/>
              <w:right w:val="single" w:sz="4" w:space="0" w:color="auto"/>
            </w:tcBorders>
            <w:vAlign w:val="center"/>
            <w:hideMark/>
          </w:tcPr>
          <w:p w14:paraId="5002143F" w14:textId="77777777" w:rsidR="009E108E" w:rsidRPr="000F0D8B" w:rsidRDefault="009E108E" w:rsidP="009E3AD8">
            <w:pPr>
              <w:spacing w:line="276" w:lineRule="auto"/>
              <w:jc w:val="center"/>
              <w:rPr>
                <w:rFonts w:asciiTheme="minorHAnsi" w:hAnsiTheme="minorHAnsi" w:cstheme="minorHAnsi"/>
                <w:b/>
                <w:sz w:val="26"/>
                <w:szCs w:val="26"/>
              </w:rPr>
            </w:pPr>
            <w:r w:rsidRPr="000F0D8B">
              <w:rPr>
                <w:rFonts w:asciiTheme="minorHAnsi" w:hAnsiTheme="minorHAnsi" w:cstheme="minorHAnsi"/>
                <w:b/>
                <w:sz w:val="26"/>
                <w:szCs w:val="26"/>
              </w:rPr>
              <w:t>56</w:t>
            </w:r>
          </w:p>
        </w:tc>
        <w:tc>
          <w:tcPr>
            <w:tcW w:w="851" w:type="dxa"/>
            <w:tcBorders>
              <w:top w:val="single" w:sz="4" w:space="0" w:color="auto"/>
              <w:left w:val="single" w:sz="4" w:space="0" w:color="auto"/>
              <w:bottom w:val="single" w:sz="4" w:space="0" w:color="auto"/>
              <w:right w:val="single" w:sz="4" w:space="0" w:color="auto"/>
            </w:tcBorders>
            <w:vAlign w:val="center"/>
            <w:hideMark/>
          </w:tcPr>
          <w:p w14:paraId="7ACF8BF3" w14:textId="77777777" w:rsidR="009E108E" w:rsidRPr="000F0D8B" w:rsidRDefault="009E108E" w:rsidP="009E3AD8">
            <w:pPr>
              <w:spacing w:line="276" w:lineRule="auto"/>
              <w:jc w:val="center"/>
              <w:rPr>
                <w:rFonts w:asciiTheme="minorHAnsi" w:hAnsiTheme="minorHAnsi" w:cstheme="minorHAnsi"/>
                <w:sz w:val="26"/>
                <w:szCs w:val="26"/>
              </w:rPr>
            </w:pPr>
            <w:r w:rsidRPr="000F0D8B">
              <w:rPr>
                <w:rFonts w:asciiTheme="minorHAnsi" w:hAnsiTheme="minorHAnsi" w:cstheme="minorHAnsi"/>
                <w:sz w:val="26"/>
                <w:szCs w:val="26"/>
              </w:rPr>
              <w:t>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0738EC08" w14:textId="77777777" w:rsidR="009E108E" w:rsidRPr="000F0D8B" w:rsidRDefault="009E108E" w:rsidP="009E3AD8">
            <w:pPr>
              <w:spacing w:line="276" w:lineRule="auto"/>
              <w:jc w:val="center"/>
              <w:rPr>
                <w:rFonts w:asciiTheme="minorHAnsi" w:hAnsiTheme="minorHAnsi" w:cstheme="minorHAnsi"/>
                <w:sz w:val="26"/>
                <w:szCs w:val="26"/>
              </w:rPr>
            </w:pPr>
            <w:r w:rsidRPr="000F0D8B">
              <w:rPr>
                <w:rFonts w:asciiTheme="minorHAnsi" w:hAnsiTheme="minorHAnsi" w:cstheme="minorHAnsi"/>
                <w:sz w:val="26"/>
                <w:szCs w:val="26"/>
              </w:rPr>
              <w:t>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DC3A109" w14:textId="77777777" w:rsidR="009E108E" w:rsidRPr="000F0D8B" w:rsidRDefault="009E108E" w:rsidP="009E3AD8">
            <w:pPr>
              <w:spacing w:line="276" w:lineRule="auto"/>
              <w:jc w:val="center"/>
              <w:rPr>
                <w:rFonts w:asciiTheme="minorHAnsi" w:hAnsiTheme="minorHAnsi" w:cstheme="minorHAnsi"/>
                <w:sz w:val="26"/>
                <w:szCs w:val="26"/>
              </w:rPr>
            </w:pPr>
            <w:r w:rsidRPr="000F0D8B">
              <w:rPr>
                <w:rFonts w:asciiTheme="minorHAnsi" w:hAnsiTheme="minorHAnsi" w:cstheme="minorHAnsi"/>
                <w:sz w:val="26"/>
                <w:szCs w:val="26"/>
              </w:rPr>
              <w:t>28</w:t>
            </w:r>
          </w:p>
        </w:tc>
      </w:tr>
      <w:tr w:rsidR="009E108E" w:rsidRPr="000F0D8B" w14:paraId="543839CE" w14:textId="77777777" w:rsidTr="00BE6FF5">
        <w:trPr>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037BF3CB" w14:textId="17DBF87C" w:rsidR="009E108E" w:rsidRPr="000F0D8B" w:rsidRDefault="009E108E" w:rsidP="009E3AD8">
            <w:pPr>
              <w:spacing w:line="276" w:lineRule="auto"/>
              <w:jc w:val="both"/>
              <w:rPr>
                <w:rFonts w:asciiTheme="minorHAnsi" w:hAnsiTheme="minorHAnsi" w:cstheme="minorHAnsi"/>
                <w:sz w:val="26"/>
                <w:szCs w:val="26"/>
              </w:rPr>
            </w:pPr>
            <w:r w:rsidRPr="000F0D8B">
              <w:rPr>
                <w:rFonts w:asciiTheme="minorHAnsi" w:hAnsiTheme="minorHAnsi" w:cstheme="minorHAnsi"/>
                <w:sz w:val="26"/>
                <w:szCs w:val="26"/>
              </w:rPr>
              <w:lastRenderedPageBreak/>
              <w:t>Parchetele de pe lângă  tribunale (</w:t>
            </w:r>
            <w:r w:rsidRPr="000F0D8B">
              <w:rPr>
                <w:rFonts w:asciiTheme="minorHAnsi" w:hAnsiTheme="minorHAnsi" w:cstheme="minorHAnsi"/>
                <w:i/>
                <w:sz w:val="26"/>
                <w:szCs w:val="26"/>
              </w:rPr>
              <w:t>inclusiv P</w:t>
            </w:r>
            <w:r w:rsidR="001D5C5E" w:rsidRPr="000F0D8B">
              <w:rPr>
                <w:rFonts w:asciiTheme="minorHAnsi" w:hAnsiTheme="minorHAnsi" w:cstheme="minorHAnsi"/>
                <w:i/>
                <w:sz w:val="26"/>
                <w:szCs w:val="26"/>
              </w:rPr>
              <w:t>.</w:t>
            </w:r>
            <w:r w:rsidRPr="000F0D8B">
              <w:rPr>
                <w:rFonts w:asciiTheme="minorHAnsi" w:hAnsiTheme="minorHAnsi" w:cstheme="minorHAnsi"/>
                <w:i/>
                <w:sz w:val="26"/>
                <w:szCs w:val="26"/>
              </w:rPr>
              <w:t>T</w:t>
            </w:r>
            <w:r w:rsidR="001D5C5E" w:rsidRPr="000F0D8B">
              <w:rPr>
                <w:rFonts w:asciiTheme="minorHAnsi" w:hAnsiTheme="minorHAnsi" w:cstheme="minorHAnsi"/>
                <w:i/>
                <w:sz w:val="26"/>
                <w:szCs w:val="26"/>
              </w:rPr>
              <w:t>.</w:t>
            </w:r>
            <w:r w:rsidRPr="000F0D8B">
              <w:rPr>
                <w:rFonts w:asciiTheme="minorHAnsi" w:hAnsiTheme="minorHAnsi" w:cstheme="minorHAnsi"/>
                <w:i/>
                <w:sz w:val="26"/>
                <w:szCs w:val="26"/>
              </w:rPr>
              <w:t>M</w:t>
            </w:r>
            <w:r w:rsidR="001D5C5E" w:rsidRPr="000F0D8B">
              <w:rPr>
                <w:rFonts w:asciiTheme="minorHAnsi" w:hAnsiTheme="minorHAnsi" w:cstheme="minorHAnsi"/>
                <w:i/>
                <w:sz w:val="26"/>
                <w:szCs w:val="26"/>
              </w:rPr>
              <w:t>.</w:t>
            </w:r>
            <w:r w:rsidRPr="000F0D8B">
              <w:rPr>
                <w:rFonts w:asciiTheme="minorHAnsi" w:hAnsiTheme="minorHAnsi" w:cstheme="minorHAnsi"/>
                <w:i/>
                <w:sz w:val="26"/>
                <w:szCs w:val="26"/>
              </w:rPr>
              <w:t>T</w:t>
            </w:r>
            <w:r w:rsidR="001D5C5E" w:rsidRPr="000F0D8B">
              <w:rPr>
                <w:rFonts w:asciiTheme="minorHAnsi" w:hAnsiTheme="minorHAnsi" w:cstheme="minorHAnsi"/>
                <w:i/>
                <w:sz w:val="26"/>
                <w:szCs w:val="26"/>
              </w:rPr>
              <w:t>.</w:t>
            </w:r>
            <w:r w:rsidRPr="000F0D8B">
              <w:rPr>
                <w:rFonts w:asciiTheme="minorHAnsi" w:hAnsiTheme="minorHAnsi" w:cstheme="minorHAnsi"/>
                <w:i/>
                <w:sz w:val="26"/>
                <w:szCs w:val="26"/>
              </w:rPr>
              <w:t>B</w:t>
            </w:r>
            <w:r w:rsidR="001D5C5E" w:rsidRPr="000F0D8B">
              <w:rPr>
                <w:rFonts w:asciiTheme="minorHAnsi" w:hAnsiTheme="minorHAnsi" w:cstheme="minorHAnsi"/>
                <w:i/>
                <w:sz w:val="26"/>
                <w:szCs w:val="26"/>
              </w:rPr>
              <w:t>.</w:t>
            </w:r>
            <w:r w:rsidRPr="000F0D8B">
              <w:rPr>
                <w:rFonts w:asciiTheme="minorHAnsi" w:hAnsiTheme="minorHAnsi" w:cstheme="minorHAnsi"/>
                <w:i/>
                <w:sz w:val="26"/>
                <w:szCs w:val="26"/>
              </w:rPr>
              <w:t xml:space="preserve"> şi P</w:t>
            </w:r>
            <w:r w:rsidR="001D5C5E" w:rsidRPr="000F0D8B">
              <w:rPr>
                <w:rFonts w:asciiTheme="minorHAnsi" w:hAnsiTheme="minorHAnsi" w:cstheme="minorHAnsi"/>
                <w:i/>
                <w:sz w:val="26"/>
                <w:szCs w:val="26"/>
              </w:rPr>
              <w:t>.</w:t>
            </w:r>
            <w:r w:rsidRPr="000F0D8B">
              <w:rPr>
                <w:rFonts w:asciiTheme="minorHAnsi" w:hAnsiTheme="minorHAnsi" w:cstheme="minorHAnsi"/>
                <w:i/>
                <w:sz w:val="26"/>
                <w:szCs w:val="26"/>
              </w:rPr>
              <w:t>T</w:t>
            </w:r>
            <w:r w:rsidR="001D5C5E" w:rsidRPr="000F0D8B">
              <w:rPr>
                <w:rFonts w:asciiTheme="minorHAnsi" w:hAnsiTheme="minorHAnsi" w:cstheme="minorHAnsi"/>
                <w:i/>
                <w:sz w:val="26"/>
                <w:szCs w:val="26"/>
              </w:rPr>
              <w:t>.</w:t>
            </w:r>
            <w:r w:rsidRPr="000F0D8B">
              <w:rPr>
                <w:rFonts w:asciiTheme="minorHAnsi" w:hAnsiTheme="minorHAnsi" w:cstheme="minorHAnsi"/>
                <w:i/>
                <w:sz w:val="26"/>
                <w:szCs w:val="26"/>
              </w:rPr>
              <w:t>M</w:t>
            </w:r>
            <w:r w:rsidR="001D5C5E" w:rsidRPr="000F0D8B">
              <w:rPr>
                <w:rFonts w:asciiTheme="minorHAnsi" w:hAnsiTheme="minorHAnsi" w:cstheme="minorHAnsi"/>
                <w:i/>
                <w:sz w:val="26"/>
                <w:szCs w:val="26"/>
              </w:rPr>
              <w:t>.</w:t>
            </w:r>
            <w:r w:rsidRPr="000F0D8B">
              <w:rPr>
                <w:rFonts w:asciiTheme="minorHAnsi" w:hAnsiTheme="minorHAnsi" w:cstheme="minorHAnsi"/>
                <w:i/>
                <w:sz w:val="26"/>
                <w:szCs w:val="26"/>
              </w:rPr>
              <w:t>F</w:t>
            </w:r>
            <w:r w:rsidR="001D5C5E" w:rsidRPr="000F0D8B">
              <w:rPr>
                <w:rFonts w:asciiTheme="minorHAnsi" w:hAnsiTheme="minorHAnsi" w:cstheme="minorHAnsi"/>
                <w:i/>
                <w:sz w:val="26"/>
                <w:szCs w:val="26"/>
              </w:rPr>
              <w:t>.</w:t>
            </w:r>
            <w:r w:rsidRPr="000F0D8B">
              <w:rPr>
                <w:rFonts w:asciiTheme="minorHAnsi" w:hAnsiTheme="minorHAnsi" w:cstheme="minorHAnsi"/>
                <w:i/>
                <w:sz w:val="26"/>
                <w:szCs w:val="26"/>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454453DD" w14:textId="77777777" w:rsidR="009E108E" w:rsidRPr="000F0D8B" w:rsidRDefault="009E108E" w:rsidP="009E3AD8">
            <w:pPr>
              <w:spacing w:line="276" w:lineRule="auto"/>
              <w:jc w:val="center"/>
              <w:rPr>
                <w:rFonts w:asciiTheme="minorHAnsi" w:hAnsiTheme="minorHAnsi" w:cstheme="minorHAnsi"/>
                <w:b/>
                <w:sz w:val="26"/>
                <w:szCs w:val="26"/>
              </w:rPr>
            </w:pPr>
            <w:r w:rsidRPr="000F0D8B">
              <w:rPr>
                <w:rFonts w:asciiTheme="minorHAnsi" w:hAnsiTheme="minorHAnsi" w:cstheme="minorHAnsi"/>
                <w:b/>
                <w:sz w:val="26"/>
                <w:szCs w:val="26"/>
              </w:rPr>
              <w:t>725</w:t>
            </w:r>
          </w:p>
        </w:tc>
        <w:tc>
          <w:tcPr>
            <w:tcW w:w="851" w:type="dxa"/>
            <w:tcBorders>
              <w:top w:val="single" w:sz="4" w:space="0" w:color="auto"/>
              <w:left w:val="single" w:sz="4" w:space="0" w:color="auto"/>
              <w:bottom w:val="single" w:sz="4" w:space="0" w:color="auto"/>
              <w:right w:val="single" w:sz="4" w:space="0" w:color="auto"/>
            </w:tcBorders>
            <w:vAlign w:val="center"/>
            <w:hideMark/>
          </w:tcPr>
          <w:p w14:paraId="69522A10" w14:textId="77777777" w:rsidR="009E108E" w:rsidRPr="000F0D8B" w:rsidRDefault="009E108E" w:rsidP="009E3AD8">
            <w:pPr>
              <w:spacing w:line="276" w:lineRule="auto"/>
              <w:jc w:val="center"/>
              <w:rPr>
                <w:rFonts w:asciiTheme="minorHAnsi" w:hAnsiTheme="minorHAnsi" w:cstheme="minorHAnsi"/>
                <w:sz w:val="26"/>
                <w:szCs w:val="26"/>
              </w:rPr>
            </w:pPr>
            <w:r w:rsidRPr="000F0D8B">
              <w:rPr>
                <w:rFonts w:asciiTheme="minorHAnsi" w:hAnsiTheme="minorHAnsi" w:cstheme="minorHAnsi"/>
                <w:sz w:val="26"/>
                <w:szCs w:val="26"/>
              </w:rPr>
              <w:t>518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10248D6B" w14:textId="77777777" w:rsidR="009E108E" w:rsidRPr="000F0D8B" w:rsidRDefault="009E108E" w:rsidP="009E3AD8">
            <w:pPr>
              <w:spacing w:line="276" w:lineRule="auto"/>
              <w:jc w:val="center"/>
              <w:rPr>
                <w:rFonts w:asciiTheme="minorHAnsi" w:hAnsiTheme="minorHAnsi" w:cstheme="minorHAnsi"/>
                <w:sz w:val="26"/>
                <w:szCs w:val="26"/>
              </w:rPr>
            </w:pPr>
            <w:r w:rsidRPr="000F0D8B">
              <w:rPr>
                <w:rFonts w:asciiTheme="minorHAnsi" w:hAnsiTheme="minorHAnsi" w:cstheme="minorHAnsi"/>
                <w:sz w:val="26"/>
                <w:szCs w:val="26"/>
              </w:rPr>
              <w:t>14</w:t>
            </w:r>
          </w:p>
        </w:tc>
        <w:tc>
          <w:tcPr>
            <w:tcW w:w="851" w:type="dxa"/>
            <w:tcBorders>
              <w:top w:val="single" w:sz="4" w:space="0" w:color="auto"/>
              <w:left w:val="single" w:sz="4" w:space="0" w:color="auto"/>
              <w:bottom w:val="single" w:sz="4" w:space="0" w:color="auto"/>
              <w:right w:val="single" w:sz="4" w:space="0" w:color="auto"/>
            </w:tcBorders>
            <w:vAlign w:val="center"/>
            <w:hideMark/>
          </w:tcPr>
          <w:p w14:paraId="65520109" w14:textId="77777777" w:rsidR="009E108E" w:rsidRPr="000F0D8B" w:rsidRDefault="009E108E" w:rsidP="009E3AD8">
            <w:pPr>
              <w:spacing w:line="276" w:lineRule="auto"/>
              <w:jc w:val="center"/>
              <w:rPr>
                <w:rFonts w:asciiTheme="minorHAnsi" w:hAnsiTheme="minorHAnsi" w:cstheme="minorHAnsi"/>
                <w:sz w:val="26"/>
                <w:szCs w:val="26"/>
              </w:rPr>
            </w:pPr>
            <w:r w:rsidRPr="000F0D8B">
              <w:rPr>
                <w:rFonts w:asciiTheme="minorHAnsi" w:hAnsiTheme="minorHAnsi" w:cstheme="minorHAnsi"/>
                <w:sz w:val="26"/>
                <w:szCs w:val="26"/>
              </w:rPr>
              <w:t>193</w:t>
            </w:r>
          </w:p>
        </w:tc>
        <w:tc>
          <w:tcPr>
            <w:tcW w:w="850" w:type="dxa"/>
            <w:tcBorders>
              <w:top w:val="single" w:sz="4" w:space="0" w:color="auto"/>
              <w:left w:val="single" w:sz="4" w:space="0" w:color="auto"/>
              <w:bottom w:val="single" w:sz="4" w:space="0" w:color="auto"/>
              <w:right w:val="single" w:sz="4" w:space="0" w:color="auto"/>
            </w:tcBorders>
            <w:vAlign w:val="center"/>
            <w:hideMark/>
          </w:tcPr>
          <w:p w14:paraId="15FE94D5" w14:textId="77777777" w:rsidR="009E108E" w:rsidRPr="000F0D8B" w:rsidRDefault="009E108E" w:rsidP="009E3AD8">
            <w:pPr>
              <w:spacing w:line="276" w:lineRule="auto"/>
              <w:jc w:val="center"/>
              <w:rPr>
                <w:rFonts w:asciiTheme="minorHAnsi" w:hAnsiTheme="minorHAnsi" w:cstheme="minorHAnsi"/>
                <w:b/>
                <w:sz w:val="26"/>
                <w:szCs w:val="26"/>
              </w:rPr>
            </w:pPr>
            <w:r w:rsidRPr="000F0D8B">
              <w:rPr>
                <w:rFonts w:asciiTheme="minorHAnsi" w:hAnsiTheme="minorHAnsi" w:cstheme="minorHAnsi"/>
                <w:b/>
                <w:sz w:val="26"/>
                <w:szCs w:val="26"/>
              </w:rPr>
              <w:t>248</w:t>
            </w:r>
          </w:p>
        </w:tc>
        <w:tc>
          <w:tcPr>
            <w:tcW w:w="851" w:type="dxa"/>
            <w:tcBorders>
              <w:top w:val="single" w:sz="4" w:space="0" w:color="auto"/>
              <w:left w:val="single" w:sz="4" w:space="0" w:color="auto"/>
              <w:bottom w:val="single" w:sz="4" w:space="0" w:color="auto"/>
              <w:right w:val="single" w:sz="4" w:space="0" w:color="auto"/>
            </w:tcBorders>
            <w:vAlign w:val="center"/>
            <w:hideMark/>
          </w:tcPr>
          <w:p w14:paraId="62A06BB2" w14:textId="77777777" w:rsidR="009E108E" w:rsidRPr="000F0D8B" w:rsidRDefault="009E108E" w:rsidP="009E3AD8">
            <w:pPr>
              <w:spacing w:line="276" w:lineRule="auto"/>
              <w:jc w:val="center"/>
              <w:rPr>
                <w:rFonts w:asciiTheme="minorHAnsi" w:hAnsiTheme="minorHAnsi" w:cstheme="minorHAnsi"/>
                <w:sz w:val="26"/>
                <w:szCs w:val="26"/>
              </w:rPr>
            </w:pPr>
            <w:r w:rsidRPr="000F0D8B">
              <w:rPr>
                <w:rFonts w:asciiTheme="minorHAnsi" w:hAnsiTheme="minorHAnsi" w:cstheme="minorHAnsi"/>
                <w:sz w:val="26"/>
                <w:szCs w:val="26"/>
              </w:rPr>
              <w:t>149</w:t>
            </w:r>
          </w:p>
        </w:tc>
        <w:tc>
          <w:tcPr>
            <w:tcW w:w="850" w:type="dxa"/>
            <w:tcBorders>
              <w:top w:val="single" w:sz="4" w:space="0" w:color="auto"/>
              <w:left w:val="single" w:sz="4" w:space="0" w:color="auto"/>
              <w:bottom w:val="single" w:sz="4" w:space="0" w:color="auto"/>
              <w:right w:val="single" w:sz="4" w:space="0" w:color="auto"/>
            </w:tcBorders>
            <w:vAlign w:val="center"/>
            <w:hideMark/>
          </w:tcPr>
          <w:p w14:paraId="3F506DF8" w14:textId="77777777" w:rsidR="009E108E" w:rsidRPr="000F0D8B" w:rsidRDefault="009E108E" w:rsidP="009E3AD8">
            <w:pPr>
              <w:spacing w:line="276" w:lineRule="auto"/>
              <w:jc w:val="center"/>
              <w:rPr>
                <w:rFonts w:asciiTheme="minorHAnsi" w:hAnsiTheme="minorHAnsi" w:cstheme="minorHAnsi"/>
                <w:sz w:val="26"/>
                <w:szCs w:val="26"/>
              </w:rPr>
            </w:pPr>
            <w:r w:rsidRPr="000F0D8B">
              <w:rPr>
                <w:rFonts w:asciiTheme="minorHAnsi" w:hAnsiTheme="minorHAnsi" w:cstheme="minorHAnsi"/>
                <w:sz w:val="26"/>
                <w:szCs w:val="26"/>
              </w:rPr>
              <w:t>11</w:t>
            </w:r>
          </w:p>
        </w:tc>
        <w:tc>
          <w:tcPr>
            <w:tcW w:w="850" w:type="dxa"/>
            <w:tcBorders>
              <w:top w:val="single" w:sz="4" w:space="0" w:color="auto"/>
              <w:left w:val="single" w:sz="4" w:space="0" w:color="auto"/>
              <w:bottom w:val="single" w:sz="4" w:space="0" w:color="auto"/>
              <w:right w:val="single" w:sz="4" w:space="0" w:color="auto"/>
            </w:tcBorders>
            <w:vAlign w:val="center"/>
            <w:hideMark/>
          </w:tcPr>
          <w:p w14:paraId="0B97A8ED" w14:textId="77777777" w:rsidR="009E108E" w:rsidRPr="000F0D8B" w:rsidRDefault="009E108E" w:rsidP="009E3AD8">
            <w:pPr>
              <w:spacing w:line="276" w:lineRule="auto"/>
              <w:jc w:val="center"/>
              <w:rPr>
                <w:rFonts w:asciiTheme="minorHAnsi" w:hAnsiTheme="minorHAnsi" w:cstheme="minorHAnsi"/>
                <w:sz w:val="26"/>
                <w:szCs w:val="26"/>
              </w:rPr>
            </w:pPr>
            <w:r w:rsidRPr="000F0D8B">
              <w:rPr>
                <w:rFonts w:asciiTheme="minorHAnsi" w:hAnsiTheme="minorHAnsi" w:cstheme="minorHAnsi"/>
                <w:sz w:val="26"/>
                <w:szCs w:val="26"/>
              </w:rPr>
              <w:t>88</w:t>
            </w:r>
          </w:p>
        </w:tc>
      </w:tr>
      <w:tr w:rsidR="009E108E" w:rsidRPr="000F0D8B" w14:paraId="55E421BB" w14:textId="77777777" w:rsidTr="00BE6FF5">
        <w:trPr>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0C0E6609" w14:textId="77777777" w:rsidR="009E108E" w:rsidRPr="000F0D8B" w:rsidRDefault="009E108E" w:rsidP="009E3AD8">
            <w:pPr>
              <w:spacing w:line="276" w:lineRule="auto"/>
              <w:jc w:val="both"/>
              <w:rPr>
                <w:rFonts w:asciiTheme="minorHAnsi" w:hAnsiTheme="minorHAnsi" w:cstheme="minorHAnsi"/>
                <w:sz w:val="26"/>
                <w:szCs w:val="26"/>
              </w:rPr>
            </w:pPr>
            <w:r w:rsidRPr="000F0D8B">
              <w:rPr>
                <w:rFonts w:asciiTheme="minorHAnsi" w:hAnsiTheme="minorHAnsi" w:cstheme="minorHAnsi"/>
                <w:sz w:val="26"/>
                <w:szCs w:val="26"/>
              </w:rPr>
              <w:t xml:space="preserve">Parchetele de pe lângă judecătorii </w:t>
            </w:r>
          </w:p>
        </w:tc>
        <w:tc>
          <w:tcPr>
            <w:tcW w:w="850" w:type="dxa"/>
            <w:tcBorders>
              <w:top w:val="single" w:sz="4" w:space="0" w:color="auto"/>
              <w:left w:val="single" w:sz="4" w:space="0" w:color="auto"/>
              <w:bottom w:val="single" w:sz="4" w:space="0" w:color="auto"/>
              <w:right w:val="single" w:sz="4" w:space="0" w:color="auto"/>
            </w:tcBorders>
            <w:vAlign w:val="center"/>
            <w:hideMark/>
          </w:tcPr>
          <w:p w14:paraId="1F6D24B7" w14:textId="77777777" w:rsidR="009E108E" w:rsidRPr="000F0D8B" w:rsidRDefault="009E108E" w:rsidP="009E3AD8">
            <w:pPr>
              <w:spacing w:line="276" w:lineRule="auto"/>
              <w:jc w:val="center"/>
              <w:rPr>
                <w:rFonts w:asciiTheme="minorHAnsi" w:hAnsiTheme="minorHAnsi" w:cstheme="minorHAnsi"/>
                <w:b/>
                <w:sz w:val="26"/>
                <w:szCs w:val="26"/>
              </w:rPr>
            </w:pPr>
            <w:r w:rsidRPr="000F0D8B">
              <w:rPr>
                <w:rFonts w:asciiTheme="minorHAnsi" w:hAnsiTheme="minorHAnsi" w:cstheme="minorHAnsi"/>
                <w:b/>
                <w:sz w:val="26"/>
                <w:szCs w:val="26"/>
              </w:rPr>
              <w:t>1394</w:t>
            </w:r>
          </w:p>
        </w:tc>
        <w:tc>
          <w:tcPr>
            <w:tcW w:w="851" w:type="dxa"/>
            <w:tcBorders>
              <w:top w:val="single" w:sz="4" w:space="0" w:color="auto"/>
              <w:left w:val="single" w:sz="4" w:space="0" w:color="auto"/>
              <w:bottom w:val="single" w:sz="4" w:space="0" w:color="auto"/>
              <w:right w:val="single" w:sz="4" w:space="0" w:color="auto"/>
            </w:tcBorders>
            <w:vAlign w:val="center"/>
            <w:hideMark/>
          </w:tcPr>
          <w:p w14:paraId="392631DC" w14:textId="77777777" w:rsidR="009E108E" w:rsidRPr="000F0D8B" w:rsidRDefault="009E108E" w:rsidP="009E3AD8">
            <w:pPr>
              <w:spacing w:line="276" w:lineRule="auto"/>
              <w:jc w:val="center"/>
              <w:rPr>
                <w:rFonts w:asciiTheme="minorHAnsi" w:hAnsiTheme="minorHAnsi" w:cstheme="minorHAnsi"/>
                <w:sz w:val="26"/>
                <w:szCs w:val="26"/>
              </w:rPr>
            </w:pPr>
            <w:r w:rsidRPr="000F0D8B">
              <w:rPr>
                <w:rFonts w:asciiTheme="minorHAnsi" w:hAnsiTheme="minorHAnsi" w:cstheme="minorHAnsi"/>
                <w:sz w:val="26"/>
                <w:szCs w:val="26"/>
              </w:rPr>
              <w:t>1107</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53934D" w14:textId="77777777" w:rsidR="009E108E" w:rsidRPr="000F0D8B" w:rsidRDefault="009E108E" w:rsidP="009E3AD8">
            <w:pPr>
              <w:spacing w:line="276" w:lineRule="auto"/>
              <w:jc w:val="center"/>
              <w:rPr>
                <w:rFonts w:asciiTheme="minorHAnsi" w:hAnsiTheme="minorHAnsi" w:cstheme="minorHAnsi"/>
                <w:sz w:val="26"/>
                <w:szCs w:val="26"/>
              </w:rPr>
            </w:pPr>
            <w:r w:rsidRPr="000F0D8B">
              <w:rPr>
                <w:rFonts w:asciiTheme="minorHAnsi" w:hAnsiTheme="minorHAnsi" w:cstheme="minorHAnsi"/>
                <w:sz w:val="26"/>
                <w:szCs w:val="26"/>
              </w:rPr>
              <w:t>46</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46A44C" w14:textId="77777777" w:rsidR="009E108E" w:rsidRPr="000F0D8B" w:rsidRDefault="009E108E" w:rsidP="009E3AD8">
            <w:pPr>
              <w:spacing w:line="276" w:lineRule="auto"/>
              <w:jc w:val="center"/>
              <w:rPr>
                <w:rFonts w:asciiTheme="minorHAnsi" w:hAnsiTheme="minorHAnsi" w:cstheme="minorHAnsi"/>
                <w:sz w:val="26"/>
                <w:szCs w:val="26"/>
              </w:rPr>
            </w:pPr>
            <w:r w:rsidRPr="000F0D8B">
              <w:rPr>
                <w:rFonts w:asciiTheme="minorHAnsi" w:hAnsiTheme="minorHAnsi" w:cstheme="minorHAnsi"/>
                <w:sz w:val="26"/>
                <w:szCs w:val="26"/>
              </w:rPr>
              <w:t>241</w:t>
            </w:r>
          </w:p>
        </w:tc>
        <w:tc>
          <w:tcPr>
            <w:tcW w:w="850" w:type="dxa"/>
            <w:tcBorders>
              <w:top w:val="single" w:sz="4" w:space="0" w:color="auto"/>
              <w:left w:val="single" w:sz="4" w:space="0" w:color="auto"/>
              <w:bottom w:val="single" w:sz="4" w:space="0" w:color="auto"/>
              <w:right w:val="single" w:sz="4" w:space="0" w:color="auto"/>
            </w:tcBorders>
            <w:vAlign w:val="center"/>
            <w:hideMark/>
          </w:tcPr>
          <w:p w14:paraId="3F19E1B5" w14:textId="77777777" w:rsidR="009E108E" w:rsidRPr="000F0D8B" w:rsidRDefault="009E108E" w:rsidP="009E3AD8">
            <w:pPr>
              <w:spacing w:line="276" w:lineRule="auto"/>
              <w:jc w:val="center"/>
              <w:rPr>
                <w:rFonts w:asciiTheme="minorHAnsi" w:hAnsiTheme="minorHAnsi" w:cstheme="minorHAnsi"/>
                <w:b/>
                <w:sz w:val="26"/>
                <w:szCs w:val="26"/>
              </w:rPr>
            </w:pPr>
            <w:r w:rsidRPr="000F0D8B">
              <w:rPr>
                <w:rFonts w:asciiTheme="minorHAnsi" w:hAnsiTheme="minorHAnsi" w:cstheme="minorHAnsi"/>
                <w:b/>
                <w:sz w:val="26"/>
                <w:szCs w:val="26"/>
              </w:rPr>
              <w:t>352</w:t>
            </w:r>
          </w:p>
        </w:tc>
        <w:tc>
          <w:tcPr>
            <w:tcW w:w="851" w:type="dxa"/>
            <w:tcBorders>
              <w:top w:val="single" w:sz="4" w:space="0" w:color="auto"/>
              <w:left w:val="single" w:sz="4" w:space="0" w:color="auto"/>
              <w:bottom w:val="single" w:sz="4" w:space="0" w:color="auto"/>
              <w:right w:val="single" w:sz="4" w:space="0" w:color="auto"/>
            </w:tcBorders>
            <w:vAlign w:val="center"/>
            <w:hideMark/>
          </w:tcPr>
          <w:p w14:paraId="5EF4BE62" w14:textId="77777777" w:rsidR="009E108E" w:rsidRPr="000F0D8B" w:rsidRDefault="009E108E" w:rsidP="009E3AD8">
            <w:pPr>
              <w:spacing w:line="276" w:lineRule="auto"/>
              <w:jc w:val="center"/>
              <w:rPr>
                <w:rFonts w:asciiTheme="minorHAnsi" w:hAnsiTheme="minorHAnsi" w:cstheme="minorHAnsi"/>
                <w:sz w:val="26"/>
                <w:szCs w:val="26"/>
              </w:rPr>
            </w:pPr>
            <w:r w:rsidRPr="000F0D8B">
              <w:rPr>
                <w:rFonts w:asciiTheme="minorHAnsi" w:hAnsiTheme="minorHAnsi" w:cstheme="minorHAnsi"/>
                <w:sz w:val="26"/>
                <w:szCs w:val="26"/>
              </w:rPr>
              <w:t>174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E38A970" w14:textId="77777777" w:rsidR="009E108E" w:rsidRPr="000F0D8B" w:rsidRDefault="009E108E" w:rsidP="009E3AD8">
            <w:pPr>
              <w:spacing w:line="276" w:lineRule="auto"/>
              <w:jc w:val="center"/>
              <w:rPr>
                <w:rFonts w:asciiTheme="minorHAnsi" w:hAnsiTheme="minorHAnsi" w:cstheme="minorHAnsi"/>
                <w:sz w:val="26"/>
                <w:szCs w:val="26"/>
              </w:rPr>
            </w:pPr>
            <w:r w:rsidRPr="000F0D8B">
              <w:rPr>
                <w:rFonts w:asciiTheme="minorHAnsi" w:hAnsiTheme="minorHAnsi" w:cstheme="minorHAnsi"/>
                <w:sz w:val="26"/>
                <w:szCs w:val="26"/>
              </w:rPr>
              <w:t>32</w:t>
            </w:r>
          </w:p>
        </w:tc>
        <w:tc>
          <w:tcPr>
            <w:tcW w:w="850" w:type="dxa"/>
            <w:tcBorders>
              <w:top w:val="single" w:sz="4" w:space="0" w:color="auto"/>
              <w:left w:val="single" w:sz="4" w:space="0" w:color="auto"/>
              <w:bottom w:val="single" w:sz="4" w:space="0" w:color="auto"/>
              <w:right w:val="single" w:sz="4" w:space="0" w:color="auto"/>
            </w:tcBorders>
            <w:vAlign w:val="center"/>
            <w:hideMark/>
          </w:tcPr>
          <w:p w14:paraId="0EC926DA" w14:textId="77777777" w:rsidR="009E108E" w:rsidRPr="000F0D8B" w:rsidRDefault="009E108E" w:rsidP="009E3AD8">
            <w:pPr>
              <w:spacing w:line="276" w:lineRule="auto"/>
              <w:jc w:val="center"/>
              <w:rPr>
                <w:rFonts w:asciiTheme="minorHAnsi" w:hAnsiTheme="minorHAnsi" w:cstheme="minorHAnsi"/>
                <w:sz w:val="26"/>
                <w:szCs w:val="26"/>
              </w:rPr>
            </w:pPr>
            <w:r w:rsidRPr="000F0D8B">
              <w:rPr>
                <w:rFonts w:asciiTheme="minorHAnsi" w:hAnsiTheme="minorHAnsi" w:cstheme="minorHAnsi"/>
                <w:sz w:val="26"/>
                <w:szCs w:val="26"/>
              </w:rPr>
              <w:t>146</w:t>
            </w:r>
          </w:p>
        </w:tc>
      </w:tr>
      <w:tr w:rsidR="009E108E" w:rsidRPr="000F0D8B" w14:paraId="4C781E7C" w14:textId="77777777" w:rsidTr="00474D4A">
        <w:trPr>
          <w:jc w:val="center"/>
        </w:trPr>
        <w:tc>
          <w:tcPr>
            <w:tcW w:w="25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EEE70A" w14:textId="77777777" w:rsidR="009E108E" w:rsidRPr="000F0D8B" w:rsidRDefault="009E108E" w:rsidP="009E3AD8">
            <w:pPr>
              <w:spacing w:line="276" w:lineRule="auto"/>
              <w:jc w:val="both"/>
              <w:rPr>
                <w:rFonts w:asciiTheme="minorHAnsi" w:hAnsiTheme="minorHAnsi" w:cstheme="minorHAnsi"/>
                <w:b/>
                <w:sz w:val="26"/>
                <w:szCs w:val="26"/>
              </w:rPr>
            </w:pPr>
            <w:r w:rsidRPr="000F0D8B">
              <w:rPr>
                <w:rFonts w:asciiTheme="minorHAnsi" w:hAnsiTheme="minorHAnsi" w:cstheme="minorHAnsi"/>
                <w:b/>
                <w:sz w:val="26"/>
                <w:szCs w:val="26"/>
              </w:rPr>
              <w:t xml:space="preserve">          Total </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237E3" w14:textId="77777777" w:rsidR="009E108E" w:rsidRPr="000F0D8B" w:rsidRDefault="009E108E" w:rsidP="009E3AD8">
            <w:pPr>
              <w:spacing w:line="276" w:lineRule="auto"/>
              <w:jc w:val="center"/>
              <w:rPr>
                <w:rFonts w:asciiTheme="minorHAnsi" w:hAnsiTheme="minorHAnsi" w:cstheme="minorHAnsi"/>
                <w:b/>
                <w:sz w:val="26"/>
                <w:szCs w:val="26"/>
              </w:rPr>
            </w:pPr>
            <w:r w:rsidRPr="000F0D8B">
              <w:rPr>
                <w:rFonts w:asciiTheme="minorHAnsi" w:hAnsiTheme="minorHAnsi" w:cstheme="minorHAnsi"/>
                <w:b/>
                <w:sz w:val="26"/>
                <w:szCs w:val="26"/>
              </w:rPr>
              <w:t>3071</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C6BD5B" w14:textId="77777777" w:rsidR="009E108E" w:rsidRPr="000F0D8B" w:rsidRDefault="009E108E" w:rsidP="009E3AD8">
            <w:pPr>
              <w:spacing w:line="276" w:lineRule="auto"/>
              <w:jc w:val="center"/>
              <w:rPr>
                <w:rFonts w:asciiTheme="minorHAnsi" w:hAnsiTheme="minorHAnsi" w:cstheme="minorHAnsi"/>
                <w:b/>
                <w:sz w:val="26"/>
                <w:szCs w:val="26"/>
              </w:rPr>
            </w:pPr>
            <w:r w:rsidRPr="000F0D8B">
              <w:rPr>
                <w:rFonts w:asciiTheme="minorHAnsi" w:hAnsiTheme="minorHAnsi" w:cstheme="minorHAnsi"/>
                <w:b/>
                <w:sz w:val="26"/>
                <w:szCs w:val="26"/>
              </w:rPr>
              <w:t>2345</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5B273F" w14:textId="77777777" w:rsidR="009E108E" w:rsidRPr="000F0D8B" w:rsidRDefault="009E108E" w:rsidP="009E3AD8">
            <w:pPr>
              <w:spacing w:line="276" w:lineRule="auto"/>
              <w:jc w:val="center"/>
              <w:rPr>
                <w:rFonts w:asciiTheme="minorHAnsi" w:hAnsiTheme="minorHAnsi" w:cstheme="minorHAnsi"/>
                <w:b/>
                <w:sz w:val="26"/>
                <w:szCs w:val="26"/>
              </w:rPr>
            </w:pPr>
            <w:r w:rsidRPr="000F0D8B">
              <w:rPr>
                <w:rFonts w:asciiTheme="minorHAnsi" w:hAnsiTheme="minorHAnsi" w:cstheme="minorHAnsi"/>
                <w:b/>
                <w:sz w:val="26"/>
                <w:szCs w:val="26"/>
              </w:rPr>
              <w:t>69</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FD77E6" w14:textId="77777777" w:rsidR="009E108E" w:rsidRPr="000F0D8B" w:rsidRDefault="009E108E" w:rsidP="009E3AD8">
            <w:pPr>
              <w:spacing w:line="276" w:lineRule="auto"/>
              <w:jc w:val="center"/>
              <w:rPr>
                <w:rFonts w:asciiTheme="minorHAnsi" w:hAnsiTheme="minorHAnsi" w:cstheme="minorHAnsi"/>
                <w:b/>
                <w:sz w:val="26"/>
                <w:szCs w:val="26"/>
              </w:rPr>
            </w:pPr>
            <w:r w:rsidRPr="000F0D8B">
              <w:rPr>
                <w:rFonts w:asciiTheme="minorHAnsi" w:hAnsiTheme="minorHAnsi" w:cstheme="minorHAnsi"/>
                <w:b/>
                <w:sz w:val="26"/>
                <w:szCs w:val="26"/>
              </w:rPr>
              <w:t>657</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ED8E7F" w14:textId="77777777" w:rsidR="009E108E" w:rsidRPr="000F0D8B" w:rsidRDefault="009E108E" w:rsidP="009E3AD8">
            <w:pPr>
              <w:spacing w:line="276" w:lineRule="auto"/>
              <w:jc w:val="center"/>
              <w:rPr>
                <w:rFonts w:asciiTheme="minorHAnsi" w:hAnsiTheme="minorHAnsi" w:cstheme="minorHAnsi"/>
                <w:b/>
                <w:sz w:val="26"/>
                <w:szCs w:val="26"/>
              </w:rPr>
            </w:pPr>
            <w:r w:rsidRPr="000F0D8B">
              <w:rPr>
                <w:rFonts w:asciiTheme="minorHAnsi" w:hAnsiTheme="minorHAnsi" w:cstheme="minorHAnsi"/>
                <w:b/>
                <w:sz w:val="26"/>
                <w:szCs w:val="26"/>
              </w:rPr>
              <w:t>810</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804CBE" w14:textId="77777777" w:rsidR="009E108E" w:rsidRPr="000F0D8B" w:rsidRDefault="009E108E" w:rsidP="009E3AD8">
            <w:pPr>
              <w:spacing w:line="276" w:lineRule="auto"/>
              <w:jc w:val="center"/>
              <w:rPr>
                <w:rFonts w:asciiTheme="minorHAnsi" w:hAnsiTheme="minorHAnsi" w:cstheme="minorHAnsi"/>
                <w:b/>
                <w:sz w:val="26"/>
                <w:szCs w:val="26"/>
              </w:rPr>
            </w:pPr>
            <w:r w:rsidRPr="000F0D8B">
              <w:rPr>
                <w:rFonts w:asciiTheme="minorHAnsi" w:hAnsiTheme="minorHAnsi" w:cstheme="minorHAnsi"/>
                <w:b/>
                <w:sz w:val="26"/>
                <w:szCs w:val="26"/>
              </w:rPr>
              <w:t>421</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0CEE1C" w14:textId="77777777" w:rsidR="009E108E" w:rsidRPr="000F0D8B" w:rsidRDefault="009E108E" w:rsidP="009E3AD8">
            <w:pPr>
              <w:spacing w:line="276" w:lineRule="auto"/>
              <w:jc w:val="center"/>
              <w:rPr>
                <w:rFonts w:asciiTheme="minorHAnsi" w:hAnsiTheme="minorHAnsi" w:cstheme="minorHAnsi"/>
                <w:b/>
                <w:sz w:val="26"/>
                <w:szCs w:val="26"/>
              </w:rPr>
            </w:pPr>
            <w:r w:rsidRPr="000F0D8B">
              <w:rPr>
                <w:rFonts w:asciiTheme="minorHAnsi" w:hAnsiTheme="minorHAnsi" w:cstheme="minorHAnsi"/>
                <w:b/>
                <w:sz w:val="26"/>
                <w:szCs w:val="26"/>
              </w:rPr>
              <w:t>49</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17A740" w14:textId="77777777" w:rsidR="009E108E" w:rsidRPr="000F0D8B" w:rsidRDefault="009E108E" w:rsidP="009E3AD8">
            <w:pPr>
              <w:spacing w:line="276" w:lineRule="auto"/>
              <w:jc w:val="center"/>
              <w:rPr>
                <w:rFonts w:asciiTheme="minorHAnsi" w:hAnsiTheme="minorHAnsi" w:cstheme="minorHAnsi"/>
                <w:b/>
                <w:sz w:val="26"/>
                <w:szCs w:val="26"/>
              </w:rPr>
            </w:pPr>
            <w:r w:rsidRPr="000F0D8B">
              <w:rPr>
                <w:rFonts w:asciiTheme="minorHAnsi" w:hAnsiTheme="minorHAnsi" w:cstheme="minorHAnsi"/>
                <w:b/>
                <w:sz w:val="26"/>
                <w:szCs w:val="26"/>
              </w:rPr>
              <w:t>340</w:t>
            </w:r>
          </w:p>
        </w:tc>
      </w:tr>
    </w:tbl>
    <w:p w14:paraId="37366BE4" w14:textId="77777777" w:rsidR="009E108E" w:rsidRPr="000F0D8B" w:rsidRDefault="009E108E" w:rsidP="009E3AD8">
      <w:pPr>
        <w:spacing w:line="276" w:lineRule="auto"/>
        <w:ind w:right="48"/>
        <w:contextualSpacing/>
        <w:jc w:val="both"/>
        <w:rPr>
          <w:rFonts w:asciiTheme="minorHAnsi" w:hAnsiTheme="minorHAnsi" w:cstheme="minorHAnsi"/>
          <w:b/>
          <w:sz w:val="26"/>
          <w:szCs w:val="26"/>
        </w:rPr>
      </w:pPr>
      <w:r w:rsidRPr="000F0D8B">
        <w:rPr>
          <w:rFonts w:asciiTheme="minorHAnsi" w:hAnsiTheme="minorHAnsi" w:cstheme="minorHAnsi"/>
          <w:noProof/>
          <w:sz w:val="26"/>
          <w:szCs w:val="26"/>
        </w:rPr>
        <w:drawing>
          <wp:inline distT="0" distB="0" distL="0" distR="0" wp14:anchorId="2B2ADB49" wp14:editId="417CA741">
            <wp:extent cx="6000750" cy="2752725"/>
            <wp:effectExtent l="0" t="0" r="0" b="0"/>
            <wp:docPr id="4" name="Char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DD5D26F" w14:textId="77777777" w:rsidR="009E108E" w:rsidRDefault="009E108E" w:rsidP="00281400">
      <w:pPr>
        <w:keepNext/>
        <w:numPr>
          <w:ilvl w:val="0"/>
          <w:numId w:val="18"/>
        </w:numPr>
        <w:spacing w:line="276" w:lineRule="auto"/>
        <w:contextualSpacing/>
        <w:jc w:val="both"/>
        <w:rPr>
          <w:rFonts w:asciiTheme="minorHAnsi" w:hAnsiTheme="minorHAnsi" w:cstheme="minorHAnsi"/>
          <w:b/>
          <w:sz w:val="26"/>
          <w:szCs w:val="26"/>
        </w:rPr>
      </w:pPr>
      <w:r w:rsidRPr="000F0D8B">
        <w:rPr>
          <w:rFonts w:asciiTheme="minorHAnsi" w:hAnsiTheme="minorHAnsi" w:cstheme="minorHAnsi"/>
          <w:b/>
          <w:sz w:val="26"/>
          <w:szCs w:val="26"/>
        </w:rPr>
        <w:t>Ocuparea posturilor de execuţie de judecător şi procuror</w:t>
      </w:r>
    </w:p>
    <w:p w14:paraId="0E9449F7" w14:textId="77777777" w:rsidR="00E172B4" w:rsidRPr="00F476C9" w:rsidRDefault="00E172B4" w:rsidP="009E3AD8">
      <w:pPr>
        <w:keepNext/>
        <w:spacing w:line="276" w:lineRule="auto"/>
        <w:ind w:firstLine="708"/>
        <w:jc w:val="both"/>
        <w:rPr>
          <w:rFonts w:asciiTheme="minorHAnsi" w:hAnsiTheme="minorHAnsi" w:cstheme="minorHAnsi"/>
          <w:color w:val="000000" w:themeColor="text1"/>
          <w:sz w:val="26"/>
          <w:szCs w:val="26"/>
        </w:rPr>
      </w:pPr>
      <w:r w:rsidRPr="00F476C9">
        <w:rPr>
          <w:rFonts w:asciiTheme="minorHAnsi" w:hAnsiTheme="minorHAnsi" w:cstheme="minorHAnsi"/>
          <w:color w:val="000000" w:themeColor="text1"/>
          <w:sz w:val="26"/>
          <w:szCs w:val="26"/>
        </w:rPr>
        <w:t>În cursul anului 2025, ocuparea posturilor de execuţie vacante s-a realizat prin următoarele modalităţi:</w:t>
      </w:r>
    </w:p>
    <w:p w14:paraId="69E64FC3" w14:textId="77777777" w:rsidR="00E172B4" w:rsidRPr="00F476C9" w:rsidRDefault="00E172B4" w:rsidP="009E3AD8">
      <w:pPr>
        <w:tabs>
          <w:tab w:val="left" w:pos="720"/>
        </w:tabs>
        <w:spacing w:line="276" w:lineRule="auto"/>
        <w:ind w:left="684"/>
        <w:jc w:val="both"/>
        <w:rPr>
          <w:rFonts w:asciiTheme="minorHAnsi" w:hAnsiTheme="minorHAnsi" w:cstheme="minorHAnsi"/>
          <w:b/>
          <w:color w:val="000000" w:themeColor="text1"/>
          <w:sz w:val="26"/>
          <w:szCs w:val="26"/>
        </w:rPr>
      </w:pPr>
      <w:r w:rsidRPr="00F476C9">
        <w:rPr>
          <w:rFonts w:asciiTheme="minorHAnsi" w:hAnsiTheme="minorHAnsi" w:cstheme="minorHAnsi"/>
          <w:b/>
          <w:color w:val="000000" w:themeColor="text1"/>
          <w:sz w:val="26"/>
          <w:szCs w:val="26"/>
        </w:rPr>
        <w:t>Repartizarea absolvenţilor Institutului Naţional al Magistraturii</w:t>
      </w:r>
    </w:p>
    <w:p w14:paraId="438ECD2C" w14:textId="650DB8DA" w:rsidR="00E172B4" w:rsidRPr="00F476C9" w:rsidRDefault="00E172B4" w:rsidP="009E3AD8">
      <w:pPr>
        <w:spacing w:line="276" w:lineRule="auto"/>
        <w:ind w:firstLine="684"/>
        <w:jc w:val="both"/>
        <w:rPr>
          <w:rFonts w:asciiTheme="minorHAnsi" w:hAnsiTheme="minorHAnsi" w:cstheme="minorHAnsi"/>
          <w:bCs/>
          <w:color w:val="000000" w:themeColor="text1"/>
          <w:sz w:val="26"/>
          <w:szCs w:val="26"/>
        </w:rPr>
      </w:pPr>
      <w:r w:rsidRPr="00F476C9">
        <w:rPr>
          <w:rFonts w:asciiTheme="minorHAnsi" w:hAnsiTheme="minorHAnsi" w:cstheme="minorHAnsi"/>
          <w:bCs/>
          <w:color w:val="000000" w:themeColor="text1"/>
          <w:sz w:val="26"/>
          <w:szCs w:val="26"/>
        </w:rPr>
        <w:t>În şedinţa din data de 27</w:t>
      </w:r>
      <w:r w:rsidR="00C906D2">
        <w:rPr>
          <w:rFonts w:asciiTheme="minorHAnsi" w:hAnsiTheme="minorHAnsi" w:cstheme="minorHAnsi"/>
          <w:bCs/>
          <w:color w:val="000000" w:themeColor="text1"/>
          <w:sz w:val="26"/>
          <w:szCs w:val="26"/>
        </w:rPr>
        <w:t xml:space="preserve"> mai </w:t>
      </w:r>
      <w:r w:rsidRPr="00F476C9">
        <w:rPr>
          <w:rFonts w:asciiTheme="minorHAnsi" w:hAnsiTheme="minorHAnsi" w:cstheme="minorHAnsi"/>
          <w:bCs/>
          <w:color w:val="000000" w:themeColor="text1"/>
          <w:sz w:val="26"/>
          <w:szCs w:val="26"/>
        </w:rPr>
        <w:t xml:space="preserve">2025, Secţia pentru judecători a Consiliului Superior al Magistraturii a dispus, prin Hotărârea nr. 1365/2025, numirea a 171 de absolvenţi ai </w:t>
      </w:r>
      <w:r w:rsidR="007522BA">
        <w:rPr>
          <w:rFonts w:asciiTheme="minorHAnsi" w:hAnsiTheme="minorHAnsi" w:cstheme="minorHAnsi"/>
          <w:bCs/>
          <w:color w:val="000000" w:themeColor="text1"/>
          <w:sz w:val="26"/>
          <w:szCs w:val="26"/>
        </w:rPr>
        <w:t>I</w:t>
      </w:r>
      <w:r w:rsidRPr="00F476C9">
        <w:rPr>
          <w:rFonts w:asciiTheme="minorHAnsi" w:hAnsiTheme="minorHAnsi" w:cstheme="minorHAnsi"/>
          <w:bCs/>
          <w:color w:val="000000" w:themeColor="text1"/>
          <w:sz w:val="26"/>
          <w:szCs w:val="26"/>
        </w:rPr>
        <w:t xml:space="preserve">nstitutului Național al Magistraturii </w:t>
      </w:r>
      <w:r w:rsidR="00FA0702">
        <w:rPr>
          <w:rFonts w:asciiTheme="minorHAnsi" w:hAnsiTheme="minorHAnsi" w:cstheme="minorHAnsi"/>
          <w:bCs/>
          <w:color w:val="000000" w:themeColor="text1"/>
          <w:sz w:val="26"/>
          <w:szCs w:val="26"/>
        </w:rPr>
        <w:t>(</w:t>
      </w:r>
      <w:r w:rsidRPr="00F476C9">
        <w:rPr>
          <w:rFonts w:asciiTheme="minorHAnsi" w:hAnsiTheme="minorHAnsi" w:cstheme="minorHAnsi"/>
          <w:bCs/>
          <w:color w:val="000000" w:themeColor="text1"/>
          <w:sz w:val="26"/>
          <w:szCs w:val="26"/>
        </w:rPr>
        <w:t xml:space="preserve">promoţia 2023 </w:t>
      </w:r>
      <w:r w:rsidR="00FA0702">
        <w:rPr>
          <w:rFonts w:asciiTheme="minorHAnsi" w:hAnsiTheme="minorHAnsi" w:cstheme="minorHAnsi"/>
          <w:bCs/>
          <w:color w:val="000000" w:themeColor="text1"/>
          <w:sz w:val="26"/>
          <w:szCs w:val="26"/>
        </w:rPr>
        <w:t>–</w:t>
      </w:r>
      <w:r w:rsidRPr="00F476C9">
        <w:rPr>
          <w:rFonts w:asciiTheme="minorHAnsi" w:hAnsiTheme="minorHAnsi" w:cstheme="minorHAnsi"/>
          <w:bCs/>
          <w:color w:val="000000" w:themeColor="text1"/>
          <w:sz w:val="26"/>
          <w:szCs w:val="26"/>
        </w:rPr>
        <w:t xml:space="preserve"> 2025</w:t>
      </w:r>
      <w:r w:rsidR="00FA0702">
        <w:rPr>
          <w:rFonts w:asciiTheme="minorHAnsi" w:hAnsiTheme="minorHAnsi" w:cstheme="minorHAnsi"/>
          <w:bCs/>
          <w:color w:val="000000" w:themeColor="text1"/>
          <w:sz w:val="26"/>
          <w:szCs w:val="26"/>
        </w:rPr>
        <w:t>)</w:t>
      </w:r>
      <w:r w:rsidRPr="00F476C9">
        <w:rPr>
          <w:rFonts w:asciiTheme="minorHAnsi" w:hAnsiTheme="minorHAnsi" w:cstheme="minorHAnsi"/>
          <w:bCs/>
          <w:color w:val="000000" w:themeColor="text1"/>
          <w:sz w:val="26"/>
          <w:szCs w:val="26"/>
        </w:rPr>
        <w:t xml:space="preserve"> în funcţia de judecător stagiar, începând cu data de 01 iunie 2025, potrivit opţiunilor exprimate în cadrul procedurii de repartizare desfăşurate în perioada 21 – 23</w:t>
      </w:r>
      <w:r w:rsidR="00FA0702">
        <w:rPr>
          <w:rFonts w:asciiTheme="minorHAnsi" w:hAnsiTheme="minorHAnsi" w:cstheme="minorHAnsi"/>
          <w:bCs/>
          <w:color w:val="000000" w:themeColor="text1"/>
          <w:sz w:val="26"/>
          <w:szCs w:val="26"/>
        </w:rPr>
        <w:t xml:space="preserve"> mai </w:t>
      </w:r>
      <w:r w:rsidRPr="00F476C9">
        <w:rPr>
          <w:rFonts w:asciiTheme="minorHAnsi" w:hAnsiTheme="minorHAnsi" w:cstheme="minorHAnsi"/>
          <w:bCs/>
          <w:color w:val="000000" w:themeColor="text1"/>
          <w:sz w:val="26"/>
          <w:szCs w:val="26"/>
        </w:rPr>
        <w:t>2025. De asemenea, prin Hotărârea nr. 2043/02.10.2025, Secţia pentru judecători a Consiliului a dispus numirea în funcţia de judecător stagiar, începând cu data de 06</w:t>
      </w:r>
      <w:r w:rsidR="00FA0702">
        <w:rPr>
          <w:rFonts w:asciiTheme="minorHAnsi" w:hAnsiTheme="minorHAnsi" w:cstheme="minorHAnsi"/>
          <w:bCs/>
          <w:color w:val="000000" w:themeColor="text1"/>
          <w:sz w:val="26"/>
          <w:szCs w:val="26"/>
        </w:rPr>
        <w:t xml:space="preserve"> octombrie </w:t>
      </w:r>
      <w:r w:rsidRPr="00F476C9">
        <w:rPr>
          <w:rFonts w:asciiTheme="minorHAnsi" w:hAnsiTheme="minorHAnsi" w:cstheme="minorHAnsi"/>
          <w:bCs/>
          <w:color w:val="000000" w:themeColor="text1"/>
          <w:sz w:val="26"/>
          <w:szCs w:val="26"/>
        </w:rPr>
        <w:t xml:space="preserve">2025, a 3 absolvenţi ai Institutului Național al Magistraturii </w:t>
      </w:r>
      <w:r w:rsidR="00FA0702">
        <w:rPr>
          <w:rFonts w:asciiTheme="minorHAnsi" w:hAnsiTheme="minorHAnsi" w:cstheme="minorHAnsi"/>
          <w:bCs/>
          <w:color w:val="000000" w:themeColor="text1"/>
          <w:sz w:val="26"/>
          <w:szCs w:val="26"/>
        </w:rPr>
        <w:t>(</w:t>
      </w:r>
      <w:r w:rsidRPr="00F476C9">
        <w:rPr>
          <w:rFonts w:asciiTheme="minorHAnsi" w:hAnsiTheme="minorHAnsi" w:cstheme="minorHAnsi"/>
          <w:bCs/>
          <w:color w:val="000000" w:themeColor="text1"/>
          <w:sz w:val="26"/>
          <w:szCs w:val="26"/>
        </w:rPr>
        <w:t>promoţia 2023 – 2025</w:t>
      </w:r>
      <w:r w:rsidR="00FA0702">
        <w:rPr>
          <w:rFonts w:asciiTheme="minorHAnsi" w:hAnsiTheme="minorHAnsi" w:cstheme="minorHAnsi"/>
          <w:bCs/>
          <w:color w:val="000000" w:themeColor="text1"/>
          <w:sz w:val="26"/>
          <w:szCs w:val="26"/>
        </w:rPr>
        <w:t>)</w:t>
      </w:r>
      <w:r w:rsidRPr="00F476C9">
        <w:rPr>
          <w:rFonts w:asciiTheme="minorHAnsi" w:hAnsiTheme="minorHAnsi" w:cstheme="minorHAnsi"/>
          <w:bCs/>
          <w:color w:val="000000" w:themeColor="text1"/>
          <w:sz w:val="26"/>
          <w:szCs w:val="26"/>
        </w:rPr>
        <w:t>, care au promovat examenul de absolvi</w:t>
      </w:r>
      <w:r w:rsidR="000A4028">
        <w:rPr>
          <w:rFonts w:asciiTheme="minorHAnsi" w:hAnsiTheme="minorHAnsi" w:cstheme="minorHAnsi"/>
          <w:bCs/>
          <w:color w:val="000000" w:themeColor="text1"/>
          <w:sz w:val="26"/>
          <w:szCs w:val="26"/>
        </w:rPr>
        <w:t>r</w:t>
      </w:r>
      <w:r w:rsidRPr="00F476C9">
        <w:rPr>
          <w:rFonts w:asciiTheme="minorHAnsi" w:hAnsiTheme="minorHAnsi" w:cstheme="minorHAnsi"/>
          <w:bCs/>
          <w:color w:val="000000" w:themeColor="text1"/>
          <w:sz w:val="26"/>
          <w:szCs w:val="26"/>
        </w:rPr>
        <w:t xml:space="preserve">e a Institutului, sesiunea </w:t>
      </w:r>
      <w:r w:rsidRPr="00F476C9">
        <w:rPr>
          <w:rFonts w:asciiTheme="minorHAnsi" w:hAnsiTheme="minorHAnsi" w:cstheme="minorHAnsi"/>
          <w:color w:val="000000" w:themeColor="text1"/>
          <w:sz w:val="26"/>
          <w:szCs w:val="26"/>
        </w:rPr>
        <w:t>iulie - septembrie 2025.</w:t>
      </w:r>
    </w:p>
    <w:p w14:paraId="4358F761" w14:textId="77777777" w:rsidR="005D6760" w:rsidRDefault="009E108E" w:rsidP="005D6760">
      <w:pPr>
        <w:spacing w:line="276" w:lineRule="auto"/>
        <w:ind w:firstLine="684"/>
        <w:jc w:val="both"/>
        <w:rPr>
          <w:rFonts w:asciiTheme="minorHAnsi" w:hAnsiTheme="minorHAnsi" w:cstheme="minorHAnsi"/>
          <w:bCs/>
          <w:sz w:val="26"/>
          <w:szCs w:val="26"/>
        </w:rPr>
      </w:pPr>
      <w:r w:rsidRPr="000F0D8B">
        <w:rPr>
          <w:rFonts w:asciiTheme="minorHAnsi" w:hAnsiTheme="minorHAnsi" w:cstheme="minorHAnsi"/>
          <w:bCs/>
          <w:sz w:val="26"/>
          <w:szCs w:val="26"/>
        </w:rPr>
        <w:t xml:space="preserve">Secţia pentru </w:t>
      </w:r>
      <w:r w:rsidR="006F7B38">
        <w:rPr>
          <w:rFonts w:asciiTheme="minorHAnsi" w:hAnsiTheme="minorHAnsi" w:cstheme="minorHAnsi"/>
          <w:bCs/>
          <w:sz w:val="26"/>
          <w:szCs w:val="26"/>
        </w:rPr>
        <w:t>procurori</w:t>
      </w:r>
      <w:r w:rsidRPr="000F0D8B">
        <w:rPr>
          <w:rFonts w:asciiTheme="minorHAnsi" w:hAnsiTheme="minorHAnsi" w:cstheme="minorHAnsi"/>
          <w:bCs/>
          <w:sz w:val="26"/>
          <w:szCs w:val="26"/>
        </w:rPr>
        <w:t xml:space="preserve"> a Consiliului Superior al Magistraturii</w:t>
      </w:r>
      <w:r w:rsidR="00010D34">
        <w:rPr>
          <w:rFonts w:asciiTheme="minorHAnsi" w:hAnsiTheme="minorHAnsi" w:cstheme="minorHAnsi"/>
          <w:bCs/>
          <w:sz w:val="26"/>
          <w:szCs w:val="26"/>
        </w:rPr>
        <w:t>,</w:t>
      </w:r>
      <w:r w:rsidRPr="000F0D8B">
        <w:rPr>
          <w:rFonts w:asciiTheme="minorHAnsi" w:hAnsiTheme="minorHAnsi" w:cstheme="minorHAnsi"/>
          <w:bCs/>
          <w:sz w:val="26"/>
          <w:szCs w:val="26"/>
        </w:rPr>
        <w:t xml:space="preserve"> </w:t>
      </w:r>
      <w:r w:rsidR="00010D34">
        <w:rPr>
          <w:rFonts w:asciiTheme="minorHAnsi" w:hAnsiTheme="minorHAnsi" w:cstheme="minorHAnsi"/>
          <w:bCs/>
          <w:sz w:val="26"/>
          <w:szCs w:val="26"/>
        </w:rPr>
        <w:t>î</w:t>
      </w:r>
      <w:r w:rsidR="00010D34" w:rsidRPr="000F0D8B">
        <w:rPr>
          <w:rFonts w:asciiTheme="minorHAnsi" w:hAnsiTheme="minorHAnsi" w:cstheme="minorHAnsi"/>
          <w:bCs/>
          <w:sz w:val="26"/>
          <w:szCs w:val="26"/>
        </w:rPr>
        <w:t xml:space="preserve">n şedinţa din data de 27 mai 2025, </w:t>
      </w:r>
      <w:r w:rsidRPr="000F0D8B">
        <w:rPr>
          <w:rFonts w:asciiTheme="minorHAnsi" w:hAnsiTheme="minorHAnsi" w:cstheme="minorHAnsi"/>
          <w:bCs/>
          <w:sz w:val="26"/>
          <w:szCs w:val="26"/>
        </w:rPr>
        <w:t xml:space="preserve">a dispus, prin Hotărârea nr. 373/2025, numirea a 95 </w:t>
      </w:r>
      <w:r w:rsidR="00FA0702">
        <w:rPr>
          <w:rFonts w:asciiTheme="minorHAnsi" w:hAnsiTheme="minorHAnsi" w:cstheme="minorHAnsi"/>
          <w:bCs/>
          <w:sz w:val="26"/>
          <w:szCs w:val="26"/>
        </w:rPr>
        <w:t xml:space="preserve">de </w:t>
      </w:r>
      <w:r w:rsidRPr="000F0D8B">
        <w:rPr>
          <w:rFonts w:asciiTheme="minorHAnsi" w:hAnsiTheme="minorHAnsi" w:cstheme="minorHAnsi"/>
          <w:bCs/>
          <w:sz w:val="26"/>
          <w:szCs w:val="26"/>
        </w:rPr>
        <w:t xml:space="preserve">absolvenţi ai Institutului Național al Magistraturii </w:t>
      </w:r>
      <w:r w:rsidR="00FA0702">
        <w:rPr>
          <w:rFonts w:asciiTheme="minorHAnsi" w:hAnsiTheme="minorHAnsi" w:cstheme="minorHAnsi"/>
          <w:bCs/>
          <w:sz w:val="26"/>
          <w:szCs w:val="26"/>
        </w:rPr>
        <w:t>(</w:t>
      </w:r>
      <w:r w:rsidRPr="000F0D8B">
        <w:rPr>
          <w:rFonts w:asciiTheme="minorHAnsi" w:hAnsiTheme="minorHAnsi" w:cstheme="minorHAnsi"/>
          <w:bCs/>
          <w:sz w:val="26"/>
          <w:szCs w:val="26"/>
        </w:rPr>
        <w:t>promoţia 2023</w:t>
      </w:r>
      <w:r w:rsidR="000D18C5" w:rsidRPr="000F0D8B">
        <w:rPr>
          <w:rFonts w:asciiTheme="minorHAnsi" w:hAnsiTheme="minorHAnsi" w:cstheme="minorHAnsi"/>
          <w:bCs/>
          <w:sz w:val="26"/>
          <w:szCs w:val="26"/>
        </w:rPr>
        <w:t xml:space="preserve"> </w:t>
      </w:r>
      <w:r w:rsidR="00FA0702">
        <w:rPr>
          <w:rFonts w:asciiTheme="minorHAnsi" w:hAnsiTheme="minorHAnsi" w:cstheme="minorHAnsi"/>
          <w:bCs/>
          <w:sz w:val="26"/>
          <w:szCs w:val="26"/>
        </w:rPr>
        <w:t>–</w:t>
      </w:r>
      <w:r w:rsidR="000D18C5" w:rsidRPr="000F0D8B">
        <w:rPr>
          <w:rFonts w:asciiTheme="minorHAnsi" w:hAnsiTheme="minorHAnsi" w:cstheme="minorHAnsi"/>
          <w:bCs/>
          <w:sz w:val="26"/>
          <w:szCs w:val="26"/>
        </w:rPr>
        <w:t xml:space="preserve"> </w:t>
      </w:r>
      <w:r w:rsidRPr="000F0D8B">
        <w:rPr>
          <w:rFonts w:asciiTheme="minorHAnsi" w:hAnsiTheme="minorHAnsi" w:cstheme="minorHAnsi"/>
          <w:bCs/>
          <w:sz w:val="26"/>
          <w:szCs w:val="26"/>
        </w:rPr>
        <w:t>2025</w:t>
      </w:r>
      <w:r w:rsidR="00FA0702">
        <w:rPr>
          <w:rFonts w:asciiTheme="minorHAnsi" w:hAnsiTheme="minorHAnsi" w:cstheme="minorHAnsi"/>
          <w:bCs/>
          <w:sz w:val="26"/>
          <w:szCs w:val="26"/>
        </w:rPr>
        <w:t>)</w:t>
      </w:r>
      <w:r w:rsidRPr="000F0D8B">
        <w:rPr>
          <w:rFonts w:asciiTheme="minorHAnsi" w:hAnsiTheme="minorHAnsi" w:cstheme="minorHAnsi"/>
          <w:bCs/>
          <w:sz w:val="26"/>
          <w:szCs w:val="26"/>
        </w:rPr>
        <w:t xml:space="preserve"> în funcţia de procuror stagiar, începând cu data de 01</w:t>
      </w:r>
      <w:r w:rsidR="00B657D5" w:rsidRPr="000F0D8B">
        <w:rPr>
          <w:rFonts w:asciiTheme="minorHAnsi" w:hAnsiTheme="minorHAnsi" w:cstheme="minorHAnsi"/>
          <w:bCs/>
          <w:sz w:val="26"/>
          <w:szCs w:val="26"/>
        </w:rPr>
        <w:t xml:space="preserve"> iunie </w:t>
      </w:r>
      <w:r w:rsidRPr="000F0D8B">
        <w:rPr>
          <w:rFonts w:asciiTheme="minorHAnsi" w:hAnsiTheme="minorHAnsi" w:cstheme="minorHAnsi"/>
          <w:bCs/>
          <w:sz w:val="26"/>
          <w:szCs w:val="26"/>
        </w:rPr>
        <w:t>2025, potrivit opţiunilor exprimate în cadrul procedurii de repartizare desfăşurate în perioada 21</w:t>
      </w:r>
      <w:r w:rsidR="000D18C5" w:rsidRPr="000F0D8B">
        <w:rPr>
          <w:rFonts w:asciiTheme="minorHAnsi" w:hAnsiTheme="minorHAnsi" w:cstheme="minorHAnsi"/>
          <w:bCs/>
          <w:sz w:val="26"/>
          <w:szCs w:val="26"/>
        </w:rPr>
        <w:t xml:space="preserve"> </w:t>
      </w:r>
      <w:r w:rsidR="00B32947" w:rsidRPr="000F0D8B">
        <w:rPr>
          <w:rFonts w:asciiTheme="minorHAnsi" w:hAnsiTheme="minorHAnsi" w:cstheme="minorHAnsi"/>
          <w:bCs/>
          <w:sz w:val="26"/>
          <w:szCs w:val="26"/>
        </w:rPr>
        <w:t>–</w:t>
      </w:r>
      <w:r w:rsidR="000D18C5" w:rsidRPr="000F0D8B">
        <w:rPr>
          <w:rFonts w:asciiTheme="minorHAnsi" w:hAnsiTheme="minorHAnsi" w:cstheme="minorHAnsi"/>
          <w:bCs/>
          <w:sz w:val="26"/>
          <w:szCs w:val="26"/>
        </w:rPr>
        <w:t xml:space="preserve"> </w:t>
      </w:r>
      <w:r w:rsidRPr="000F0D8B">
        <w:rPr>
          <w:rFonts w:asciiTheme="minorHAnsi" w:hAnsiTheme="minorHAnsi" w:cstheme="minorHAnsi"/>
          <w:bCs/>
          <w:sz w:val="26"/>
          <w:szCs w:val="26"/>
        </w:rPr>
        <w:t>23</w:t>
      </w:r>
      <w:r w:rsidR="00FA0702">
        <w:rPr>
          <w:rFonts w:asciiTheme="minorHAnsi" w:hAnsiTheme="minorHAnsi" w:cstheme="minorHAnsi"/>
          <w:bCs/>
          <w:sz w:val="26"/>
          <w:szCs w:val="26"/>
        </w:rPr>
        <w:t xml:space="preserve"> mai </w:t>
      </w:r>
      <w:r w:rsidRPr="000F0D8B">
        <w:rPr>
          <w:rFonts w:asciiTheme="minorHAnsi" w:hAnsiTheme="minorHAnsi" w:cstheme="minorHAnsi"/>
          <w:bCs/>
          <w:sz w:val="26"/>
          <w:szCs w:val="26"/>
        </w:rPr>
        <w:t>2025.</w:t>
      </w:r>
    </w:p>
    <w:p w14:paraId="2300A423" w14:textId="09C9FB65" w:rsidR="005D6760" w:rsidRDefault="00AC6A03" w:rsidP="005D6760">
      <w:pPr>
        <w:spacing w:line="276" w:lineRule="auto"/>
        <w:ind w:firstLine="684"/>
        <w:jc w:val="both"/>
        <w:rPr>
          <w:rFonts w:asciiTheme="minorHAnsi" w:hAnsiTheme="minorHAnsi" w:cstheme="minorHAnsi"/>
          <w:b/>
          <w:sz w:val="26"/>
          <w:szCs w:val="26"/>
        </w:rPr>
      </w:pPr>
      <w:r w:rsidRPr="00F476C9">
        <w:rPr>
          <w:rFonts w:asciiTheme="minorHAnsi" w:hAnsiTheme="minorHAnsi" w:cstheme="minorHAnsi"/>
          <w:b/>
          <w:sz w:val="26"/>
          <w:szCs w:val="26"/>
        </w:rPr>
        <w:t>Numirea în magistratură pe bază de concurs</w:t>
      </w:r>
    </w:p>
    <w:p w14:paraId="1FB66431" w14:textId="144179E6" w:rsidR="00AC6A03" w:rsidRDefault="00AC6A03" w:rsidP="005D6760">
      <w:pPr>
        <w:spacing w:line="276" w:lineRule="auto"/>
        <w:ind w:firstLine="684"/>
        <w:jc w:val="both"/>
        <w:rPr>
          <w:rFonts w:asciiTheme="minorHAnsi" w:hAnsiTheme="minorHAnsi" w:cstheme="minorHAnsi"/>
          <w:sz w:val="26"/>
          <w:szCs w:val="26"/>
        </w:rPr>
      </w:pPr>
      <w:r w:rsidRPr="00F476C9">
        <w:rPr>
          <w:rFonts w:asciiTheme="minorHAnsi" w:hAnsiTheme="minorHAnsi" w:cstheme="minorHAnsi"/>
          <w:sz w:val="26"/>
          <w:szCs w:val="26"/>
        </w:rPr>
        <w:t xml:space="preserve">În cursul anului 2025 a fost finalizat concursul de admitere în magistratură, declanşat în anul 2024, prin Hotărârea Plenului Consiliului Superior al Magistraturii nr. 157/24.07.2024 fiind ocupate 104 posturi de judecător la judecătorii, </w:t>
      </w:r>
      <w:r w:rsidRPr="00F476C9">
        <w:rPr>
          <w:rFonts w:asciiTheme="minorHAnsi" w:hAnsiTheme="minorHAnsi" w:cstheme="minorHAnsi"/>
          <w:bCs/>
          <w:sz w:val="26"/>
          <w:szCs w:val="26"/>
          <w:lang w:eastAsia="ro-RO"/>
        </w:rPr>
        <w:t>începând cu data de 07 mai 2025</w:t>
      </w:r>
      <w:r w:rsidRPr="00F476C9">
        <w:rPr>
          <w:rFonts w:asciiTheme="minorHAnsi" w:hAnsiTheme="minorHAnsi" w:cstheme="minorHAnsi"/>
          <w:sz w:val="26"/>
          <w:szCs w:val="26"/>
        </w:rPr>
        <w:t>.</w:t>
      </w:r>
    </w:p>
    <w:p w14:paraId="690885DE" w14:textId="2C033A25" w:rsidR="009E108E" w:rsidRPr="00CA0129" w:rsidRDefault="005A16C1" w:rsidP="009E3AD8">
      <w:pPr>
        <w:spacing w:line="276" w:lineRule="auto"/>
        <w:ind w:firstLine="720"/>
        <w:jc w:val="both"/>
        <w:rPr>
          <w:rFonts w:asciiTheme="minorHAnsi" w:hAnsiTheme="minorHAnsi" w:cstheme="minorHAnsi"/>
          <w:bCs/>
          <w:sz w:val="26"/>
          <w:szCs w:val="26"/>
          <w:lang w:eastAsia="ro-RO"/>
        </w:rPr>
      </w:pPr>
      <w:r w:rsidRPr="00CA0129">
        <w:rPr>
          <w:rFonts w:asciiTheme="minorHAnsi" w:hAnsiTheme="minorHAnsi" w:cstheme="minorHAnsi"/>
          <w:sz w:val="26"/>
          <w:szCs w:val="26"/>
        </w:rPr>
        <w:lastRenderedPageBreak/>
        <w:t>În cursul anului 2025, ocuparea funcţiilor de execuţie ca procuror s-a realizat î</w:t>
      </w:r>
      <w:r w:rsidRPr="00CA0129">
        <w:rPr>
          <w:rFonts w:asciiTheme="minorHAnsi" w:hAnsiTheme="minorHAnsi" w:cstheme="minorHAnsi"/>
          <w:bCs/>
          <w:sz w:val="26"/>
          <w:szCs w:val="26"/>
          <w:lang w:eastAsia="ro-RO"/>
        </w:rPr>
        <w:t xml:space="preserve">n urma concursului menţionat anterior, fiind ocupate </w:t>
      </w:r>
      <w:r w:rsidR="009E108E" w:rsidRPr="00CA0129">
        <w:rPr>
          <w:rFonts w:asciiTheme="minorHAnsi" w:hAnsiTheme="minorHAnsi" w:cstheme="minorHAnsi"/>
          <w:bCs/>
          <w:sz w:val="26"/>
          <w:szCs w:val="26"/>
          <w:lang w:eastAsia="ro-RO"/>
        </w:rPr>
        <w:t>17 posturi de procuror, aceștia fiind numiți în funcția de procuror începând cu data de 07</w:t>
      </w:r>
      <w:r w:rsidR="00C1680E" w:rsidRPr="00CA0129">
        <w:rPr>
          <w:rFonts w:asciiTheme="minorHAnsi" w:hAnsiTheme="minorHAnsi" w:cstheme="minorHAnsi"/>
          <w:bCs/>
          <w:sz w:val="26"/>
          <w:szCs w:val="26"/>
          <w:lang w:eastAsia="ro-RO"/>
        </w:rPr>
        <w:t xml:space="preserve"> mai </w:t>
      </w:r>
      <w:r w:rsidR="009E108E" w:rsidRPr="00CA0129">
        <w:rPr>
          <w:rFonts w:asciiTheme="minorHAnsi" w:hAnsiTheme="minorHAnsi" w:cstheme="minorHAnsi"/>
          <w:bCs/>
          <w:sz w:val="26"/>
          <w:szCs w:val="26"/>
          <w:lang w:eastAsia="ro-RO"/>
        </w:rPr>
        <w:t>2025.</w:t>
      </w:r>
    </w:p>
    <w:p w14:paraId="6D65C2C5" w14:textId="089D26CE" w:rsidR="00833A79" w:rsidRPr="00FB147C" w:rsidRDefault="00FB147C" w:rsidP="009E3AD8">
      <w:pPr>
        <w:keepNext/>
        <w:tabs>
          <w:tab w:val="left" w:pos="720"/>
        </w:tabs>
        <w:spacing w:line="276" w:lineRule="auto"/>
        <w:jc w:val="both"/>
        <w:rPr>
          <w:rFonts w:asciiTheme="minorHAnsi" w:hAnsiTheme="minorHAnsi" w:cstheme="minorHAnsi"/>
          <w:b/>
          <w:color w:val="388600"/>
          <w:sz w:val="26"/>
          <w:szCs w:val="26"/>
          <w:lang w:eastAsia="ro-RO"/>
        </w:rPr>
      </w:pPr>
      <w:r>
        <w:rPr>
          <w:rFonts w:asciiTheme="minorHAnsi" w:hAnsiTheme="minorHAnsi" w:cstheme="minorHAnsi"/>
          <w:b/>
          <w:sz w:val="26"/>
          <w:szCs w:val="26"/>
        </w:rPr>
        <w:tab/>
      </w:r>
      <w:r w:rsidRPr="00F476C9">
        <w:rPr>
          <w:rFonts w:asciiTheme="minorHAnsi" w:hAnsiTheme="minorHAnsi" w:cstheme="minorHAnsi"/>
          <w:b/>
          <w:sz w:val="26"/>
          <w:szCs w:val="26"/>
        </w:rPr>
        <w:t>Numirea, la cerere, a procurorilor în funcţia de judecător şi a judecătorilor în funcţia de procuror</w:t>
      </w:r>
      <w:r w:rsidR="00833A79" w:rsidRPr="00FB147C">
        <w:rPr>
          <w:rFonts w:asciiTheme="minorHAnsi" w:hAnsiTheme="minorHAnsi" w:cstheme="minorHAnsi"/>
          <w:b/>
          <w:color w:val="388600"/>
          <w:sz w:val="26"/>
          <w:szCs w:val="26"/>
          <w:lang w:eastAsia="ro-RO"/>
        </w:rPr>
        <w:t xml:space="preserve"> </w:t>
      </w:r>
    </w:p>
    <w:p w14:paraId="73EDE5FE" w14:textId="2B94E4CC" w:rsidR="00833A79" w:rsidRDefault="00833A79" w:rsidP="009E3AD8">
      <w:pPr>
        <w:spacing w:line="276" w:lineRule="auto"/>
        <w:jc w:val="both"/>
        <w:rPr>
          <w:rFonts w:asciiTheme="minorHAnsi" w:hAnsiTheme="minorHAnsi" w:cstheme="minorHAnsi"/>
          <w:sz w:val="26"/>
          <w:szCs w:val="26"/>
        </w:rPr>
      </w:pPr>
      <w:r w:rsidRPr="00FB147C">
        <w:rPr>
          <w:rFonts w:asciiTheme="minorHAnsi" w:hAnsiTheme="minorHAnsi" w:cstheme="minorHAnsi"/>
          <w:color w:val="388600"/>
          <w:sz w:val="26"/>
          <w:szCs w:val="26"/>
        </w:rPr>
        <w:tab/>
      </w:r>
      <w:r w:rsidRPr="00586B39">
        <w:rPr>
          <w:rFonts w:asciiTheme="minorHAnsi" w:hAnsiTheme="minorHAnsi" w:cstheme="minorHAnsi"/>
          <w:sz w:val="26"/>
          <w:szCs w:val="26"/>
        </w:rPr>
        <w:t>În perioada de referinţă, Secția pentru procurori a  Consiliului Superior al Magistraturii a admis cererile formulate de 3 judecători de eliberare din această funcție și numire în funcția de procuror, decretele Președintelui României fiind emise în lunile februarie și aprilie 2025.</w:t>
      </w:r>
    </w:p>
    <w:p w14:paraId="33C35838" w14:textId="6F50699B" w:rsidR="0030202A" w:rsidRPr="00295D06" w:rsidRDefault="0030202A" w:rsidP="0030202A">
      <w:pPr>
        <w:spacing w:line="276" w:lineRule="auto"/>
        <w:ind w:firstLine="684"/>
        <w:jc w:val="both"/>
        <w:rPr>
          <w:rFonts w:asciiTheme="minorHAnsi" w:hAnsiTheme="minorHAnsi" w:cstheme="minorHAnsi"/>
          <w:sz w:val="26"/>
          <w:szCs w:val="26"/>
        </w:rPr>
      </w:pPr>
      <w:r w:rsidRPr="00295D06">
        <w:rPr>
          <w:rFonts w:asciiTheme="minorHAnsi" w:hAnsiTheme="minorHAnsi" w:cstheme="minorHAnsi"/>
          <w:sz w:val="26"/>
          <w:szCs w:val="26"/>
        </w:rPr>
        <w:t>De asemenea, la data de 19</w:t>
      </w:r>
      <w:r w:rsidR="00DB2FAE" w:rsidRPr="00295D06">
        <w:rPr>
          <w:rFonts w:asciiTheme="minorHAnsi" w:hAnsiTheme="minorHAnsi" w:cstheme="minorHAnsi"/>
          <w:sz w:val="26"/>
          <w:szCs w:val="26"/>
        </w:rPr>
        <w:t xml:space="preserve"> noiembrie </w:t>
      </w:r>
      <w:r w:rsidRPr="00295D06">
        <w:rPr>
          <w:rFonts w:asciiTheme="minorHAnsi" w:hAnsiTheme="minorHAnsi" w:cstheme="minorHAnsi"/>
          <w:sz w:val="26"/>
          <w:szCs w:val="26"/>
        </w:rPr>
        <w:t>2025 a fost declanșată o sesiune de numire a judecătorilor în funcția de procuror. În ședința din data 16</w:t>
      </w:r>
      <w:r w:rsidR="00DB2FAE" w:rsidRPr="00295D06">
        <w:rPr>
          <w:rFonts w:asciiTheme="minorHAnsi" w:hAnsiTheme="minorHAnsi" w:cstheme="minorHAnsi"/>
          <w:sz w:val="26"/>
          <w:szCs w:val="26"/>
        </w:rPr>
        <w:t xml:space="preserve"> decembrie </w:t>
      </w:r>
      <w:r w:rsidRPr="00295D06">
        <w:rPr>
          <w:rFonts w:asciiTheme="minorHAnsi" w:hAnsiTheme="minorHAnsi" w:cstheme="minorHAnsi"/>
          <w:sz w:val="26"/>
          <w:szCs w:val="26"/>
        </w:rPr>
        <w:t>2025, Secția pentru procurori a decis înaintarea către președintele României a 8 propuneri de numire a unor judecători în funcția de procuror.</w:t>
      </w:r>
    </w:p>
    <w:p w14:paraId="76810D88" w14:textId="77777777" w:rsidR="00FB147C" w:rsidRPr="00F476C9" w:rsidRDefault="00FB147C" w:rsidP="009E3AD8">
      <w:pPr>
        <w:keepNext/>
        <w:spacing w:line="276" w:lineRule="auto"/>
        <w:ind w:firstLine="684"/>
        <w:jc w:val="both"/>
        <w:rPr>
          <w:rFonts w:asciiTheme="minorHAnsi" w:eastAsia="Calibri" w:hAnsiTheme="minorHAnsi" w:cstheme="minorHAnsi"/>
          <w:sz w:val="26"/>
          <w:szCs w:val="26"/>
        </w:rPr>
      </w:pPr>
      <w:r w:rsidRPr="00F476C9">
        <w:rPr>
          <w:rFonts w:asciiTheme="minorHAnsi" w:eastAsia="Calibri" w:hAnsiTheme="minorHAnsi" w:cstheme="minorHAnsi"/>
          <w:sz w:val="26"/>
          <w:szCs w:val="26"/>
        </w:rPr>
        <w:t>În acord cu prevederile Legii nr. 303/2022</w:t>
      </w:r>
      <w:r w:rsidRPr="00F476C9">
        <w:rPr>
          <w:rFonts w:asciiTheme="minorHAnsi" w:hAnsiTheme="minorHAnsi" w:cstheme="minorHAnsi"/>
          <w:sz w:val="26"/>
          <w:szCs w:val="26"/>
        </w:rPr>
        <w:t xml:space="preserve"> </w:t>
      </w:r>
      <w:r w:rsidRPr="00F476C9">
        <w:rPr>
          <w:rFonts w:asciiTheme="minorHAnsi" w:eastAsia="Calibri" w:hAnsiTheme="minorHAnsi" w:cstheme="minorHAnsi"/>
          <w:sz w:val="26"/>
          <w:szCs w:val="26"/>
        </w:rPr>
        <w:t>privind statutul judecătorilor și procurorilor, la nivelul Consiliului Superior al Magistraturii, în anul 2025, s-a dispus declanșarea unei sesiuni de numire a procurorilor în funcția de judecător, iar anunțul privind declanșarea procedurii a fost publicat pe pagina de internet a Consiliului la data de 12 mai 2025.</w:t>
      </w:r>
    </w:p>
    <w:p w14:paraId="4FF11450" w14:textId="24217D7B" w:rsidR="00FB147C" w:rsidRDefault="00FB147C" w:rsidP="009E3AD8">
      <w:pPr>
        <w:tabs>
          <w:tab w:val="left" w:pos="720"/>
        </w:tabs>
        <w:spacing w:line="276" w:lineRule="auto"/>
        <w:jc w:val="both"/>
        <w:rPr>
          <w:rFonts w:asciiTheme="minorHAnsi" w:eastAsia="Calibri" w:hAnsiTheme="minorHAnsi" w:cstheme="minorHAnsi"/>
          <w:sz w:val="26"/>
          <w:szCs w:val="26"/>
        </w:rPr>
      </w:pPr>
      <w:r w:rsidRPr="00F476C9">
        <w:rPr>
          <w:rFonts w:asciiTheme="minorHAnsi" w:eastAsia="Calibri" w:hAnsiTheme="minorHAnsi" w:cstheme="minorHAnsi"/>
          <w:sz w:val="26"/>
          <w:szCs w:val="26"/>
        </w:rPr>
        <w:tab/>
        <w:t>În şedinţele Secţiei pentru judecători din dat</w:t>
      </w:r>
      <w:r w:rsidR="00FA0702">
        <w:rPr>
          <w:rFonts w:asciiTheme="minorHAnsi" w:eastAsia="Calibri" w:hAnsiTheme="minorHAnsi" w:cstheme="minorHAnsi"/>
          <w:sz w:val="26"/>
          <w:szCs w:val="26"/>
        </w:rPr>
        <w:t>ele</w:t>
      </w:r>
      <w:r w:rsidRPr="00F476C9">
        <w:rPr>
          <w:rFonts w:asciiTheme="minorHAnsi" w:eastAsia="Calibri" w:hAnsiTheme="minorHAnsi" w:cstheme="minorHAnsi"/>
          <w:sz w:val="26"/>
          <w:szCs w:val="26"/>
        </w:rPr>
        <w:t xml:space="preserve"> de 17 iunie 2025, respectiv  23 iunie 2025, a avut loc susţinerea interviului în cadrul acestei procedurii, fiind formulate propuneri pentru numirea în funcţia de judecător pentru 22 de persoane, </w:t>
      </w:r>
      <w:r w:rsidR="00FA0702">
        <w:rPr>
          <w:rFonts w:asciiTheme="minorHAnsi" w:eastAsia="Calibri" w:hAnsiTheme="minorHAnsi" w:cstheme="minorHAnsi"/>
          <w:sz w:val="26"/>
          <w:szCs w:val="26"/>
        </w:rPr>
        <w:t xml:space="preserve">iar </w:t>
      </w:r>
      <w:r w:rsidRPr="00F476C9">
        <w:rPr>
          <w:rFonts w:asciiTheme="minorHAnsi" w:eastAsia="Calibri" w:hAnsiTheme="minorHAnsi" w:cstheme="minorHAnsi"/>
          <w:sz w:val="26"/>
          <w:szCs w:val="26"/>
        </w:rPr>
        <w:t xml:space="preserve">la data de 01 august 2025 </w:t>
      </w:r>
      <w:r w:rsidR="00FA0702">
        <w:rPr>
          <w:rFonts w:asciiTheme="minorHAnsi" w:eastAsia="Calibri" w:hAnsiTheme="minorHAnsi" w:cstheme="minorHAnsi"/>
          <w:sz w:val="26"/>
          <w:szCs w:val="26"/>
        </w:rPr>
        <w:t xml:space="preserve">au fost </w:t>
      </w:r>
      <w:r w:rsidRPr="00F476C9">
        <w:rPr>
          <w:rFonts w:asciiTheme="minorHAnsi" w:eastAsia="Calibri" w:hAnsiTheme="minorHAnsi" w:cstheme="minorHAnsi"/>
          <w:sz w:val="26"/>
          <w:szCs w:val="26"/>
        </w:rPr>
        <w:t>publicate decretele de numire</w:t>
      </w:r>
      <w:r w:rsidR="00FA0702">
        <w:rPr>
          <w:rFonts w:asciiTheme="minorHAnsi" w:eastAsia="Calibri" w:hAnsiTheme="minorHAnsi" w:cstheme="minorHAnsi"/>
          <w:sz w:val="26"/>
          <w:szCs w:val="26"/>
        </w:rPr>
        <w:t xml:space="preserve"> în funcţie</w:t>
      </w:r>
      <w:r w:rsidRPr="00F476C9">
        <w:rPr>
          <w:rFonts w:asciiTheme="minorHAnsi" w:eastAsia="Calibri" w:hAnsiTheme="minorHAnsi" w:cstheme="minorHAnsi"/>
          <w:sz w:val="26"/>
          <w:szCs w:val="26"/>
        </w:rPr>
        <w:t>.</w:t>
      </w:r>
    </w:p>
    <w:p w14:paraId="33D79161" w14:textId="6129625D" w:rsidR="00357C08" w:rsidRPr="00295D06" w:rsidRDefault="009D2010" w:rsidP="009E3AD8">
      <w:pPr>
        <w:tabs>
          <w:tab w:val="left" w:pos="720"/>
        </w:tabs>
        <w:spacing w:line="276" w:lineRule="auto"/>
        <w:jc w:val="both"/>
        <w:rPr>
          <w:rFonts w:asciiTheme="minorHAnsi" w:eastAsia="Calibri" w:hAnsiTheme="minorHAnsi" w:cstheme="minorHAnsi"/>
          <w:sz w:val="26"/>
          <w:szCs w:val="26"/>
        </w:rPr>
      </w:pPr>
      <w:r>
        <w:rPr>
          <w:rFonts w:asciiTheme="minorHAnsi" w:eastAsia="Calibri" w:hAnsiTheme="minorHAnsi" w:cstheme="minorHAnsi"/>
          <w:sz w:val="26"/>
          <w:szCs w:val="26"/>
        </w:rPr>
        <w:tab/>
      </w:r>
      <w:r w:rsidR="00357C08" w:rsidRPr="00295D06">
        <w:rPr>
          <w:rFonts w:asciiTheme="minorHAnsi" w:eastAsia="Calibri" w:hAnsiTheme="minorHAnsi" w:cstheme="minorHAnsi"/>
          <w:sz w:val="26"/>
          <w:szCs w:val="26"/>
        </w:rPr>
        <w:t>De asemenea, președintele Consiliului Superior al Magistraturii a decis declanșarea unei noi proceduri de numire a procurorilor în funcția de judecător, aceasta debutând la data de 30</w:t>
      </w:r>
      <w:r w:rsidR="00DB2FAE" w:rsidRPr="00295D06">
        <w:rPr>
          <w:rFonts w:asciiTheme="minorHAnsi" w:eastAsia="Calibri" w:hAnsiTheme="minorHAnsi" w:cstheme="minorHAnsi"/>
          <w:sz w:val="26"/>
          <w:szCs w:val="26"/>
        </w:rPr>
        <w:t xml:space="preserve"> decembrie </w:t>
      </w:r>
      <w:r w:rsidR="00357C08" w:rsidRPr="00295D06">
        <w:rPr>
          <w:rFonts w:asciiTheme="minorHAnsi" w:eastAsia="Calibri" w:hAnsiTheme="minorHAnsi" w:cstheme="minorHAnsi"/>
          <w:sz w:val="26"/>
          <w:szCs w:val="26"/>
        </w:rPr>
        <w:t>2025 și urmând a se finaliza în cursul lunii februarie 2026.</w:t>
      </w:r>
    </w:p>
    <w:p w14:paraId="6EA52F48" w14:textId="77777777" w:rsidR="00FB147C" w:rsidRPr="00AE3009" w:rsidRDefault="00FB147C" w:rsidP="009E3AD8">
      <w:pPr>
        <w:tabs>
          <w:tab w:val="left" w:pos="720"/>
        </w:tabs>
        <w:spacing w:line="276" w:lineRule="auto"/>
        <w:jc w:val="both"/>
        <w:rPr>
          <w:rFonts w:asciiTheme="minorHAnsi" w:hAnsiTheme="minorHAnsi" w:cstheme="minorHAnsi"/>
          <w:b/>
          <w:bCs/>
          <w:sz w:val="26"/>
          <w:szCs w:val="26"/>
        </w:rPr>
      </w:pPr>
      <w:r w:rsidRPr="004A72CD">
        <w:rPr>
          <w:rFonts w:asciiTheme="minorHAnsi" w:hAnsiTheme="minorHAnsi" w:cstheme="minorHAnsi"/>
          <w:b/>
          <w:color w:val="FF0000"/>
          <w:sz w:val="26"/>
          <w:szCs w:val="26"/>
        </w:rPr>
        <w:tab/>
      </w:r>
      <w:r w:rsidRPr="00AE3009">
        <w:rPr>
          <w:rFonts w:asciiTheme="minorHAnsi" w:hAnsiTheme="minorHAnsi" w:cstheme="minorHAnsi"/>
          <w:b/>
          <w:bCs/>
          <w:sz w:val="26"/>
          <w:szCs w:val="26"/>
        </w:rPr>
        <w:t xml:space="preserve">Numirea în funcţia de judecător sau procuror definitiv, după promovarea examenului de capacitate </w:t>
      </w:r>
    </w:p>
    <w:p w14:paraId="5213BE6A" w14:textId="7311774D" w:rsidR="00FB147C" w:rsidRDefault="00FB147C" w:rsidP="009E3AD8">
      <w:pPr>
        <w:spacing w:line="276" w:lineRule="auto"/>
        <w:ind w:firstLine="709"/>
        <w:jc w:val="both"/>
        <w:rPr>
          <w:rFonts w:asciiTheme="minorHAnsi" w:hAnsiTheme="minorHAnsi" w:cstheme="minorHAnsi"/>
          <w:sz w:val="26"/>
          <w:szCs w:val="26"/>
        </w:rPr>
      </w:pPr>
      <w:r w:rsidRPr="00F476C9">
        <w:rPr>
          <w:rFonts w:asciiTheme="minorHAnsi" w:hAnsiTheme="minorHAnsi" w:cstheme="minorHAnsi"/>
          <w:sz w:val="26"/>
          <w:szCs w:val="26"/>
        </w:rPr>
        <w:t>În perioada octombrie 2024 – aprilie 2025 s-a desfăşurat examenul de capacitate al judecătorilor şi procurorilor stagiari în acord cu prevederile art. 34 şi următoarele di</w:t>
      </w:r>
      <w:r w:rsidR="007C15CA">
        <w:rPr>
          <w:rFonts w:asciiTheme="minorHAnsi" w:hAnsiTheme="minorHAnsi" w:cstheme="minorHAnsi"/>
          <w:sz w:val="26"/>
          <w:szCs w:val="26"/>
        </w:rPr>
        <w:t>n</w:t>
      </w:r>
      <w:r w:rsidRPr="00F476C9">
        <w:rPr>
          <w:rFonts w:asciiTheme="minorHAnsi" w:hAnsiTheme="minorHAnsi" w:cstheme="minorHAnsi"/>
          <w:sz w:val="26"/>
          <w:szCs w:val="26"/>
        </w:rPr>
        <w:t xml:space="preserve"> Legea nr. 192/2021 privind unele măsuri temporare referitoare la concursul de admitere la Institutul Naţional al Magistraturii, formarea profesională iniţială a judecătorilor şi procurorilor, examenul de absolvire a Institutului Naţional al Magistraturii, stagiul şi examenul de capacitate al judecătorilor şi procurorilor stagiari, precum şi la concursul de admitere în magistratură. Ca urmare a acestui examen, în cursul anului 2025, prin Hotărârea Secţiei pentru judecători</w:t>
      </w:r>
      <w:r w:rsidR="005D6760">
        <w:rPr>
          <w:rFonts w:asciiTheme="minorHAnsi" w:hAnsiTheme="minorHAnsi" w:cstheme="minorHAnsi"/>
          <w:sz w:val="26"/>
          <w:szCs w:val="26"/>
        </w:rPr>
        <w:t xml:space="preserve"> </w:t>
      </w:r>
      <w:r w:rsidRPr="00F476C9">
        <w:rPr>
          <w:rFonts w:asciiTheme="minorHAnsi" w:hAnsiTheme="minorHAnsi" w:cstheme="minorHAnsi"/>
          <w:sz w:val="26"/>
          <w:szCs w:val="26"/>
        </w:rPr>
        <w:t>nr. 1188/15.04.2025</w:t>
      </w:r>
      <w:r w:rsidR="005D6760">
        <w:rPr>
          <w:rFonts w:asciiTheme="minorHAnsi" w:hAnsiTheme="minorHAnsi" w:cstheme="minorHAnsi"/>
          <w:sz w:val="26"/>
          <w:szCs w:val="26"/>
        </w:rPr>
        <w:t>,</w:t>
      </w:r>
      <w:r w:rsidRPr="00F476C9">
        <w:rPr>
          <w:rFonts w:asciiTheme="minorHAnsi" w:hAnsiTheme="minorHAnsi" w:cstheme="minorHAnsi"/>
          <w:sz w:val="26"/>
          <w:szCs w:val="26"/>
        </w:rPr>
        <w:t xml:space="preserve"> au fost  formulate propuneri</w:t>
      </w:r>
      <w:r w:rsidR="005D6760">
        <w:rPr>
          <w:rFonts w:asciiTheme="minorHAnsi" w:hAnsiTheme="minorHAnsi" w:cstheme="minorHAnsi"/>
          <w:sz w:val="26"/>
          <w:szCs w:val="26"/>
        </w:rPr>
        <w:t>le</w:t>
      </w:r>
      <w:r w:rsidRPr="00F476C9">
        <w:rPr>
          <w:rFonts w:asciiTheme="minorHAnsi" w:hAnsiTheme="minorHAnsi" w:cstheme="minorHAnsi"/>
          <w:sz w:val="26"/>
          <w:szCs w:val="26"/>
        </w:rPr>
        <w:t xml:space="preserve"> de numire</w:t>
      </w:r>
      <w:r w:rsidR="005D6760">
        <w:rPr>
          <w:rFonts w:asciiTheme="minorHAnsi" w:hAnsiTheme="minorHAnsi" w:cstheme="minorHAnsi"/>
          <w:sz w:val="26"/>
          <w:szCs w:val="26"/>
        </w:rPr>
        <w:t>,</w:t>
      </w:r>
      <w:r w:rsidRPr="00F476C9">
        <w:rPr>
          <w:rFonts w:asciiTheme="minorHAnsi" w:hAnsiTheme="minorHAnsi" w:cstheme="minorHAnsi"/>
          <w:sz w:val="26"/>
          <w:szCs w:val="26"/>
        </w:rPr>
        <w:t xml:space="preserve"> prin decret al Preşedintelui României, a 162 de judecători, decretele de numire în funcţie fiind publicate la data de 07 mai 2025. </w:t>
      </w:r>
    </w:p>
    <w:p w14:paraId="35F8CB98" w14:textId="7DCA28E7" w:rsidR="008A3073" w:rsidRPr="00F476C9" w:rsidRDefault="008A3073" w:rsidP="009E3AD8">
      <w:pPr>
        <w:spacing w:line="276" w:lineRule="auto"/>
        <w:ind w:firstLine="709"/>
        <w:jc w:val="both"/>
        <w:rPr>
          <w:rFonts w:asciiTheme="minorHAnsi" w:hAnsiTheme="minorHAnsi" w:cstheme="minorHAnsi"/>
          <w:sz w:val="26"/>
          <w:szCs w:val="26"/>
        </w:rPr>
      </w:pPr>
      <w:r w:rsidRPr="00991ED6">
        <w:rPr>
          <w:rFonts w:asciiTheme="minorHAnsi" w:hAnsiTheme="minorHAnsi" w:cstheme="minorHAnsi"/>
          <w:sz w:val="26"/>
          <w:szCs w:val="26"/>
          <w:lang w:eastAsia="ro-RO"/>
        </w:rPr>
        <w:t>Prin Hotărârea Plenului Consiliului Superior al Magistraturii nr. 179/2024, s-a aprobat organizarea, în perioada 10</w:t>
      </w:r>
      <w:r w:rsidR="00FA0702">
        <w:rPr>
          <w:rFonts w:asciiTheme="minorHAnsi" w:hAnsiTheme="minorHAnsi" w:cstheme="minorHAnsi"/>
          <w:sz w:val="26"/>
          <w:szCs w:val="26"/>
          <w:lang w:eastAsia="ro-RO"/>
        </w:rPr>
        <w:t xml:space="preserve"> octombrie </w:t>
      </w:r>
      <w:r w:rsidRPr="00991ED6">
        <w:rPr>
          <w:rFonts w:asciiTheme="minorHAnsi" w:hAnsiTheme="minorHAnsi" w:cstheme="minorHAnsi"/>
          <w:sz w:val="26"/>
          <w:szCs w:val="26"/>
          <w:lang w:eastAsia="ro-RO"/>
        </w:rPr>
        <w:t>2024 – 04</w:t>
      </w:r>
      <w:r w:rsidR="00FA0702">
        <w:rPr>
          <w:rFonts w:asciiTheme="minorHAnsi" w:hAnsiTheme="minorHAnsi" w:cstheme="minorHAnsi"/>
          <w:sz w:val="26"/>
          <w:szCs w:val="26"/>
          <w:lang w:eastAsia="ro-RO"/>
        </w:rPr>
        <w:t xml:space="preserve"> aprilie </w:t>
      </w:r>
      <w:r w:rsidRPr="00991ED6">
        <w:rPr>
          <w:rFonts w:asciiTheme="minorHAnsi" w:hAnsiTheme="minorHAnsi" w:cstheme="minorHAnsi"/>
          <w:sz w:val="26"/>
          <w:szCs w:val="26"/>
          <w:lang w:eastAsia="ro-RO"/>
        </w:rPr>
        <w:t>2025, a examenului de capacitate al judecătorilor stagiari și a procurorilor stagiari. În urma acestui examen au fost numiț</w:t>
      </w:r>
      <w:r w:rsidR="00114ED4">
        <w:rPr>
          <w:rFonts w:asciiTheme="minorHAnsi" w:hAnsiTheme="minorHAnsi" w:cstheme="minorHAnsi"/>
          <w:sz w:val="26"/>
          <w:szCs w:val="26"/>
          <w:lang w:eastAsia="ro-RO"/>
        </w:rPr>
        <w:t>i</w:t>
      </w:r>
      <w:r w:rsidR="00FA0702">
        <w:rPr>
          <w:rFonts w:asciiTheme="minorHAnsi" w:hAnsiTheme="minorHAnsi" w:cstheme="minorHAnsi"/>
          <w:sz w:val="26"/>
          <w:szCs w:val="26"/>
          <w:lang w:eastAsia="ro-RO"/>
        </w:rPr>
        <w:t xml:space="preserve"> în luna mai 2025</w:t>
      </w:r>
      <w:r w:rsidRPr="00991ED6">
        <w:rPr>
          <w:rFonts w:asciiTheme="minorHAnsi" w:hAnsiTheme="minorHAnsi" w:cstheme="minorHAnsi"/>
          <w:sz w:val="26"/>
          <w:szCs w:val="26"/>
          <w:lang w:eastAsia="ro-RO"/>
        </w:rPr>
        <w:t>, prin decret prezidențial</w:t>
      </w:r>
      <w:r w:rsidR="00FA0702">
        <w:rPr>
          <w:rFonts w:asciiTheme="minorHAnsi" w:hAnsiTheme="minorHAnsi" w:cstheme="minorHAnsi"/>
          <w:sz w:val="26"/>
          <w:szCs w:val="26"/>
          <w:lang w:eastAsia="ro-RO"/>
        </w:rPr>
        <w:t>,</w:t>
      </w:r>
      <w:r w:rsidRPr="00991ED6">
        <w:rPr>
          <w:rFonts w:asciiTheme="minorHAnsi" w:hAnsiTheme="minorHAnsi" w:cstheme="minorHAnsi"/>
          <w:sz w:val="26"/>
          <w:szCs w:val="26"/>
          <w:lang w:eastAsia="ro-RO"/>
        </w:rPr>
        <w:t xml:space="preserve"> 112 procurori definitivi.</w:t>
      </w:r>
    </w:p>
    <w:p w14:paraId="5A7CB9A7" w14:textId="4F901DE1" w:rsidR="00FB147C" w:rsidRPr="008A3073" w:rsidRDefault="00FB147C" w:rsidP="009E3AD8">
      <w:pPr>
        <w:tabs>
          <w:tab w:val="left" w:pos="709"/>
        </w:tabs>
        <w:spacing w:line="276" w:lineRule="auto"/>
        <w:jc w:val="both"/>
        <w:rPr>
          <w:rFonts w:asciiTheme="minorHAnsi" w:hAnsiTheme="minorHAnsi" w:cstheme="minorHAnsi"/>
          <w:sz w:val="26"/>
          <w:szCs w:val="26"/>
          <w:lang w:eastAsia="ro-RO"/>
        </w:rPr>
      </w:pPr>
      <w:r w:rsidRPr="00F476C9">
        <w:rPr>
          <w:rFonts w:asciiTheme="minorHAnsi" w:hAnsiTheme="minorHAnsi" w:cstheme="minorHAnsi"/>
          <w:sz w:val="26"/>
          <w:szCs w:val="26"/>
          <w:lang w:eastAsia="ro-RO"/>
        </w:rPr>
        <w:tab/>
      </w:r>
      <w:r w:rsidRPr="00991ED6">
        <w:rPr>
          <w:rFonts w:asciiTheme="minorHAnsi" w:hAnsiTheme="minorHAnsi" w:cstheme="minorHAnsi"/>
          <w:sz w:val="26"/>
          <w:szCs w:val="26"/>
          <w:lang w:eastAsia="ro-RO"/>
        </w:rPr>
        <w:t xml:space="preserve">Potrivit art. 36 alin. (2) din Regulamentul privind examenul de capacitate al judecătorilor stagiari și al procurorilor stagiari, aprobat prin Hotărârea nr. 123/2023 a Plenului Consiliului Superior al Magistraturii, </w:t>
      </w:r>
      <w:r w:rsidR="008A3073">
        <w:rPr>
          <w:rFonts w:asciiTheme="minorHAnsi" w:hAnsiTheme="minorHAnsi" w:cstheme="minorHAnsi"/>
          <w:sz w:val="26"/>
          <w:szCs w:val="26"/>
          <w:lang w:eastAsia="ro-RO"/>
        </w:rPr>
        <w:t xml:space="preserve">precum și </w:t>
      </w:r>
      <w:r w:rsidR="008A3073" w:rsidRPr="00991ED6">
        <w:rPr>
          <w:rFonts w:asciiTheme="minorHAnsi" w:hAnsiTheme="minorHAnsi" w:cstheme="minorHAnsi"/>
          <w:sz w:val="26"/>
          <w:szCs w:val="26"/>
          <w:lang w:eastAsia="ro-RO"/>
        </w:rPr>
        <w:t xml:space="preserve">art. 38 alin. (2) din Regulamentul privind examenul de capacitate al judecătorilor stagiari și al procurorilor stagiari, aprobat prin Hotărârea nr. 103/2019 </w:t>
      </w:r>
      <w:r w:rsidR="008A3073" w:rsidRPr="00991ED6">
        <w:rPr>
          <w:rFonts w:asciiTheme="minorHAnsi" w:hAnsiTheme="minorHAnsi" w:cstheme="minorHAnsi"/>
          <w:sz w:val="26"/>
          <w:szCs w:val="26"/>
          <w:lang w:eastAsia="ro-RO"/>
        </w:rPr>
        <w:lastRenderedPageBreak/>
        <w:t>a Plenului Consiliului Superior al Magistraturii</w:t>
      </w:r>
      <w:r w:rsidR="00FA0702">
        <w:rPr>
          <w:rFonts w:asciiTheme="minorHAnsi" w:hAnsiTheme="minorHAnsi" w:cstheme="minorHAnsi"/>
          <w:sz w:val="26"/>
          <w:szCs w:val="26"/>
          <w:lang w:eastAsia="ro-RO"/>
        </w:rPr>
        <w:t>,</w:t>
      </w:r>
      <w:r w:rsidR="008A3073">
        <w:rPr>
          <w:rFonts w:asciiTheme="minorHAnsi" w:hAnsiTheme="minorHAnsi" w:cstheme="minorHAnsi"/>
          <w:sz w:val="26"/>
          <w:szCs w:val="26"/>
          <w:lang w:eastAsia="ro-RO"/>
        </w:rPr>
        <w:t xml:space="preserve"> </w:t>
      </w:r>
      <w:r w:rsidRPr="00991ED6">
        <w:rPr>
          <w:rFonts w:asciiTheme="minorHAnsi" w:hAnsiTheme="minorHAnsi" w:cstheme="minorHAnsi"/>
          <w:iCs/>
          <w:sz w:val="26"/>
          <w:szCs w:val="26"/>
          <w:lang w:eastAsia="ro-RO"/>
        </w:rPr>
        <w:t>judecătorii stagiari pot opta doar pentru posturi de judecător, iar procurorii stagiari pot opta doar pentru posturi de procuror.</w:t>
      </w:r>
    </w:p>
    <w:p w14:paraId="555F5297" w14:textId="79E9AC9E" w:rsidR="009E108E" w:rsidRPr="00991ED6" w:rsidRDefault="00FB147C" w:rsidP="009E3AD8">
      <w:pPr>
        <w:tabs>
          <w:tab w:val="left" w:pos="709"/>
        </w:tabs>
        <w:spacing w:line="276" w:lineRule="auto"/>
        <w:jc w:val="both"/>
        <w:rPr>
          <w:rFonts w:asciiTheme="minorHAnsi" w:hAnsiTheme="minorHAnsi" w:cstheme="minorHAnsi"/>
          <w:sz w:val="26"/>
          <w:szCs w:val="26"/>
          <w:lang w:eastAsia="ro-RO"/>
        </w:rPr>
      </w:pPr>
      <w:r w:rsidRPr="00991ED6">
        <w:rPr>
          <w:rFonts w:asciiTheme="minorHAnsi" w:hAnsiTheme="minorHAnsi" w:cstheme="minorHAnsi"/>
          <w:i/>
          <w:sz w:val="26"/>
          <w:szCs w:val="26"/>
          <w:lang w:eastAsia="ro-RO"/>
        </w:rPr>
        <w:tab/>
      </w:r>
      <w:r w:rsidRPr="00991ED6">
        <w:rPr>
          <w:rFonts w:asciiTheme="minorHAnsi" w:hAnsiTheme="minorHAnsi" w:cstheme="minorHAnsi"/>
          <w:sz w:val="26"/>
          <w:szCs w:val="26"/>
          <w:lang w:eastAsia="ro-RO"/>
        </w:rPr>
        <w:t xml:space="preserve">Pe cale de consecință, în raport </w:t>
      </w:r>
      <w:r w:rsidR="00FA0702">
        <w:rPr>
          <w:rFonts w:asciiTheme="minorHAnsi" w:hAnsiTheme="minorHAnsi" w:cstheme="minorHAnsi"/>
          <w:sz w:val="26"/>
          <w:szCs w:val="26"/>
          <w:lang w:eastAsia="ro-RO"/>
        </w:rPr>
        <w:t>cu</w:t>
      </w:r>
      <w:r w:rsidRPr="00991ED6">
        <w:rPr>
          <w:rFonts w:asciiTheme="minorHAnsi" w:hAnsiTheme="minorHAnsi" w:cstheme="minorHAnsi"/>
          <w:sz w:val="26"/>
          <w:szCs w:val="26"/>
          <w:lang w:eastAsia="ro-RO"/>
        </w:rPr>
        <w:t xml:space="preserve"> dispozițiile legale mai sus menționate, după absolvirea examenului de capacitate, procurorii stagiari nu au mai putut opta pentru funcția de judecător.</w:t>
      </w:r>
    </w:p>
    <w:p w14:paraId="101F8D72" w14:textId="434AB034" w:rsidR="003379BB" w:rsidRPr="007B2D20" w:rsidRDefault="003379BB" w:rsidP="002D2047">
      <w:pPr>
        <w:keepNext/>
        <w:spacing w:line="276" w:lineRule="auto"/>
        <w:ind w:firstLine="708"/>
        <w:jc w:val="both"/>
        <w:rPr>
          <w:rFonts w:asciiTheme="minorHAnsi" w:hAnsiTheme="minorHAnsi" w:cstheme="minorHAnsi"/>
          <w:b/>
          <w:sz w:val="26"/>
          <w:szCs w:val="26"/>
        </w:rPr>
      </w:pPr>
      <w:r w:rsidRPr="007B2D20">
        <w:rPr>
          <w:rFonts w:asciiTheme="minorHAnsi" w:hAnsiTheme="minorHAnsi" w:cstheme="minorHAnsi"/>
          <w:b/>
          <w:sz w:val="26"/>
          <w:szCs w:val="26"/>
        </w:rPr>
        <w:t>Numiri și reîncadrări în funcția de judecător şi procuror în temeiul art. 216 alin. (2) - (3) din Legea nr. 303/2022</w:t>
      </w:r>
      <w:r w:rsidR="00FA0702">
        <w:rPr>
          <w:rFonts w:asciiTheme="minorHAnsi" w:hAnsiTheme="minorHAnsi" w:cstheme="minorHAnsi"/>
          <w:b/>
          <w:sz w:val="26"/>
          <w:szCs w:val="26"/>
        </w:rPr>
        <w:t xml:space="preserve"> privind statutul judecătorilor şi procurorilor </w:t>
      </w:r>
    </w:p>
    <w:p w14:paraId="25820E08" w14:textId="6C238284" w:rsidR="003379BB" w:rsidRPr="007B2D20" w:rsidRDefault="003379BB" w:rsidP="002D2047">
      <w:pPr>
        <w:keepNext/>
        <w:spacing w:line="276" w:lineRule="auto"/>
        <w:ind w:firstLine="720"/>
        <w:jc w:val="both"/>
        <w:rPr>
          <w:rFonts w:asciiTheme="minorHAnsi" w:hAnsiTheme="minorHAnsi" w:cstheme="minorHAnsi"/>
          <w:sz w:val="26"/>
          <w:szCs w:val="26"/>
        </w:rPr>
      </w:pPr>
      <w:r w:rsidRPr="007B2D20">
        <w:rPr>
          <w:rFonts w:asciiTheme="minorHAnsi" w:hAnsiTheme="minorHAnsi" w:cstheme="minorHAnsi"/>
          <w:sz w:val="26"/>
          <w:szCs w:val="26"/>
        </w:rPr>
        <w:t>Prin Hotărârea nr. 1293/08.05.2025, Secţia pentru judecători a decis aprobarea declanşării procedurii de reîncadrare în funcţia de judecător pentru foştii judecători, potrivit prevederilor art. 216 alin. (2) - (3) din Legea nr. 303/2022 privind statutul judecătorilor şi procurorilor.</w:t>
      </w:r>
    </w:p>
    <w:p w14:paraId="0961048E" w14:textId="2952E4EF" w:rsidR="003379BB" w:rsidRPr="007B2D20" w:rsidRDefault="003379BB" w:rsidP="009E3AD8">
      <w:pPr>
        <w:spacing w:line="276" w:lineRule="auto"/>
        <w:ind w:firstLine="720"/>
        <w:jc w:val="both"/>
        <w:rPr>
          <w:rFonts w:asciiTheme="minorHAnsi" w:hAnsiTheme="minorHAnsi" w:cstheme="minorHAnsi"/>
          <w:sz w:val="26"/>
          <w:szCs w:val="26"/>
        </w:rPr>
      </w:pPr>
      <w:r w:rsidRPr="007B2D20">
        <w:rPr>
          <w:rFonts w:asciiTheme="minorHAnsi" w:hAnsiTheme="minorHAnsi" w:cstheme="minorHAnsi"/>
          <w:sz w:val="26"/>
          <w:szCs w:val="26"/>
        </w:rPr>
        <w:t xml:space="preserve">Astfel, în conformitate cu art. 2 din Metodologia privind reîncadrarea în funcţia de judecător, aprobată prin Hotărârea Secţiei pentru judecători nr. 423/2023, au putut depune cereri judecătorii care au fost eliberaţi din funcţie, prin pensionare, începând cu data de 12 mai 2022. </w:t>
      </w:r>
    </w:p>
    <w:p w14:paraId="69F85F2D" w14:textId="0559765C" w:rsidR="003379BB" w:rsidRPr="007B2D20" w:rsidRDefault="003379BB" w:rsidP="009E3AD8">
      <w:pPr>
        <w:spacing w:line="276" w:lineRule="auto"/>
        <w:ind w:firstLine="720"/>
        <w:jc w:val="both"/>
        <w:rPr>
          <w:rFonts w:asciiTheme="minorHAnsi" w:hAnsiTheme="minorHAnsi" w:cstheme="minorHAnsi"/>
          <w:sz w:val="26"/>
          <w:szCs w:val="26"/>
        </w:rPr>
      </w:pPr>
      <w:r w:rsidRPr="007B2D20">
        <w:rPr>
          <w:rFonts w:asciiTheme="minorHAnsi" w:hAnsiTheme="minorHAnsi" w:cstheme="minorHAnsi"/>
          <w:sz w:val="26"/>
          <w:szCs w:val="26"/>
        </w:rPr>
        <w:t>Conform acestei proceduri, în şedinţa Secţiei pentru judecători din data de 09 iulie 2025 au fost analizate cererile de reîncadrare depuse şi au fost formulate 7 propuneri de reîncadrare, din</w:t>
      </w:r>
      <w:r w:rsidR="00956818">
        <w:rPr>
          <w:rFonts w:asciiTheme="minorHAnsi" w:hAnsiTheme="minorHAnsi" w:cstheme="minorHAnsi"/>
          <w:sz w:val="26"/>
          <w:szCs w:val="26"/>
        </w:rPr>
        <w:t>tre</w:t>
      </w:r>
      <w:r w:rsidRPr="007B2D20">
        <w:rPr>
          <w:rFonts w:asciiTheme="minorHAnsi" w:hAnsiTheme="minorHAnsi" w:cstheme="minorHAnsi"/>
          <w:sz w:val="26"/>
          <w:szCs w:val="26"/>
        </w:rPr>
        <w:t xml:space="preserve"> care 3 la nivel de judecătorie şi 4 la nivel de tribunal, </w:t>
      </w:r>
      <w:r w:rsidR="00956818">
        <w:rPr>
          <w:rFonts w:asciiTheme="minorHAnsi" w:hAnsiTheme="minorHAnsi" w:cstheme="minorHAnsi"/>
          <w:sz w:val="26"/>
          <w:szCs w:val="26"/>
        </w:rPr>
        <w:t xml:space="preserve">iar </w:t>
      </w:r>
      <w:r w:rsidRPr="007B2D20">
        <w:rPr>
          <w:rFonts w:asciiTheme="minorHAnsi" w:hAnsiTheme="minorHAnsi" w:cstheme="minorHAnsi"/>
          <w:sz w:val="26"/>
          <w:szCs w:val="26"/>
        </w:rPr>
        <w:t xml:space="preserve">la data de 08 august 2025 </w:t>
      </w:r>
      <w:r w:rsidR="00956818">
        <w:rPr>
          <w:rFonts w:asciiTheme="minorHAnsi" w:hAnsiTheme="minorHAnsi" w:cstheme="minorHAnsi"/>
          <w:sz w:val="26"/>
          <w:szCs w:val="26"/>
        </w:rPr>
        <w:t>au fost p</w:t>
      </w:r>
      <w:r w:rsidRPr="007B2D20">
        <w:rPr>
          <w:rFonts w:asciiTheme="minorHAnsi" w:hAnsiTheme="minorHAnsi" w:cstheme="minorHAnsi"/>
          <w:sz w:val="26"/>
          <w:szCs w:val="26"/>
        </w:rPr>
        <w:t>ublicate decretele de numire în funcţie, începând cu data de 01 septembrie 2025.</w:t>
      </w:r>
    </w:p>
    <w:p w14:paraId="38C4985A" w14:textId="0D77C132" w:rsidR="00CF2B03" w:rsidRPr="000F0D8B" w:rsidRDefault="00CF2B03" w:rsidP="009E3AD8">
      <w:pPr>
        <w:spacing w:line="276" w:lineRule="auto"/>
        <w:ind w:firstLine="708"/>
        <w:jc w:val="both"/>
        <w:rPr>
          <w:rFonts w:asciiTheme="minorHAnsi" w:hAnsiTheme="minorHAnsi" w:cstheme="minorHAnsi"/>
          <w:bCs/>
          <w:sz w:val="26"/>
          <w:szCs w:val="26"/>
        </w:rPr>
      </w:pPr>
      <w:r w:rsidRPr="000F0D8B">
        <w:rPr>
          <w:rFonts w:asciiTheme="minorHAnsi" w:hAnsiTheme="minorHAnsi" w:cstheme="minorHAnsi"/>
          <w:bCs/>
          <w:sz w:val="26"/>
          <w:szCs w:val="26"/>
        </w:rPr>
        <w:t>Prin Hotărârea Secției pentru procurori</w:t>
      </w:r>
      <w:r w:rsidR="00253C31">
        <w:rPr>
          <w:rFonts w:asciiTheme="minorHAnsi" w:hAnsiTheme="minorHAnsi" w:cstheme="minorHAnsi"/>
          <w:bCs/>
          <w:sz w:val="26"/>
          <w:szCs w:val="26"/>
        </w:rPr>
        <w:t xml:space="preserve"> </w:t>
      </w:r>
      <w:r w:rsidRPr="000F0D8B">
        <w:rPr>
          <w:rFonts w:asciiTheme="minorHAnsi" w:hAnsiTheme="minorHAnsi" w:cstheme="minorHAnsi"/>
          <w:bCs/>
          <w:sz w:val="26"/>
          <w:szCs w:val="26"/>
        </w:rPr>
        <w:t xml:space="preserve">nr. 1672/10.12.2024, s-a decis declanșarea unei proceduri de reîncadrare în funcția de procuror. </w:t>
      </w:r>
      <w:r w:rsidR="00956818">
        <w:rPr>
          <w:rFonts w:asciiTheme="minorHAnsi" w:hAnsiTheme="minorHAnsi" w:cstheme="minorHAnsi"/>
          <w:bCs/>
          <w:sz w:val="26"/>
          <w:szCs w:val="26"/>
        </w:rPr>
        <w:t xml:space="preserve">Procedura </w:t>
      </w:r>
      <w:r w:rsidRPr="000F0D8B">
        <w:rPr>
          <w:rFonts w:asciiTheme="minorHAnsi" w:hAnsiTheme="minorHAnsi" w:cstheme="minorHAnsi"/>
          <w:bCs/>
          <w:sz w:val="26"/>
          <w:szCs w:val="26"/>
        </w:rPr>
        <w:t>a debutat la data de 11 decembrie 2024 și s-a finalizat în cursul lunii martie 2025</w:t>
      </w:r>
      <w:r w:rsidR="00956818">
        <w:rPr>
          <w:rFonts w:asciiTheme="minorHAnsi" w:hAnsiTheme="minorHAnsi" w:cstheme="minorHAnsi"/>
          <w:bCs/>
          <w:sz w:val="26"/>
          <w:szCs w:val="26"/>
        </w:rPr>
        <w:t xml:space="preserve">, în urma finalizării acesteia fiind </w:t>
      </w:r>
      <w:r w:rsidRPr="000F0D8B">
        <w:rPr>
          <w:rFonts w:asciiTheme="minorHAnsi" w:hAnsiTheme="minorHAnsi" w:cstheme="minorHAnsi"/>
          <w:bCs/>
          <w:sz w:val="26"/>
          <w:szCs w:val="26"/>
        </w:rPr>
        <w:t xml:space="preserve">reîncadrate în funcția de procuror 4 persoane. </w:t>
      </w:r>
    </w:p>
    <w:p w14:paraId="65284BCB" w14:textId="53B50A21" w:rsidR="009E108E" w:rsidRPr="000F0D8B" w:rsidRDefault="009E108E" w:rsidP="009E3AD8">
      <w:pPr>
        <w:spacing w:line="276" w:lineRule="auto"/>
        <w:ind w:firstLine="720"/>
        <w:jc w:val="both"/>
        <w:rPr>
          <w:rFonts w:asciiTheme="minorHAnsi" w:hAnsiTheme="minorHAnsi" w:cstheme="minorHAnsi"/>
          <w:b/>
          <w:bCs/>
          <w:sz w:val="26"/>
          <w:szCs w:val="26"/>
        </w:rPr>
      </w:pPr>
      <w:r w:rsidRPr="000F0D8B">
        <w:rPr>
          <w:rFonts w:asciiTheme="minorHAnsi" w:hAnsiTheme="minorHAnsi" w:cstheme="minorHAnsi"/>
          <w:b/>
          <w:bCs/>
          <w:sz w:val="26"/>
          <w:szCs w:val="26"/>
        </w:rPr>
        <w:t>Desemnarea procurorilor în vederea efectuării urmăririi penale în cauzele prevăzute art.</w:t>
      </w:r>
      <w:r w:rsidR="00956818">
        <w:rPr>
          <w:rFonts w:asciiTheme="minorHAnsi" w:hAnsiTheme="minorHAnsi" w:cstheme="minorHAnsi"/>
          <w:b/>
          <w:bCs/>
          <w:sz w:val="26"/>
          <w:szCs w:val="26"/>
        </w:rPr>
        <w:t xml:space="preserve"> </w:t>
      </w:r>
      <w:r w:rsidRPr="000F0D8B">
        <w:rPr>
          <w:rFonts w:asciiTheme="minorHAnsi" w:hAnsiTheme="minorHAnsi" w:cstheme="minorHAnsi"/>
          <w:b/>
          <w:bCs/>
          <w:sz w:val="26"/>
          <w:szCs w:val="26"/>
        </w:rPr>
        <w:t xml:space="preserve">3 alin. (1) şi alin. (2) din Legea nr. 49/2022 privind desfiinţarea Secţiei pentru investigarea infracţiunilor din justiţie, precum şi pentru modificarea Legii nr. 135/2010 privind Codul de procedură penală </w:t>
      </w:r>
    </w:p>
    <w:p w14:paraId="55F09CB6" w14:textId="24E0B709" w:rsidR="009E108E" w:rsidRPr="000F0D8B" w:rsidRDefault="009E108E" w:rsidP="009E3AD8">
      <w:pPr>
        <w:spacing w:line="276" w:lineRule="auto"/>
        <w:ind w:firstLine="720"/>
        <w:jc w:val="both"/>
        <w:rPr>
          <w:rFonts w:asciiTheme="minorHAnsi" w:hAnsiTheme="minorHAnsi" w:cstheme="minorHAnsi"/>
          <w:sz w:val="26"/>
          <w:szCs w:val="26"/>
        </w:rPr>
      </w:pPr>
      <w:r w:rsidRPr="000F0D8B">
        <w:rPr>
          <w:rFonts w:asciiTheme="minorHAnsi" w:hAnsiTheme="minorHAnsi" w:cstheme="minorHAnsi"/>
          <w:sz w:val="26"/>
          <w:szCs w:val="26"/>
        </w:rPr>
        <w:t>În acord cu dispoziţiile art. 3 alin. (3) din Legea nr.</w:t>
      </w:r>
      <w:r w:rsidRPr="000F0D8B">
        <w:rPr>
          <w:rFonts w:asciiTheme="minorHAnsi" w:hAnsiTheme="minorHAnsi" w:cstheme="minorHAnsi"/>
          <w:b/>
          <w:bCs/>
          <w:sz w:val="26"/>
          <w:szCs w:val="26"/>
        </w:rPr>
        <w:t xml:space="preserve"> </w:t>
      </w:r>
      <w:r w:rsidRPr="00701847">
        <w:rPr>
          <w:rFonts w:asciiTheme="minorHAnsi" w:hAnsiTheme="minorHAnsi" w:cstheme="minorHAnsi"/>
          <w:sz w:val="26"/>
          <w:szCs w:val="26"/>
        </w:rPr>
        <w:t xml:space="preserve">49/2022,  </w:t>
      </w:r>
      <w:r w:rsidRPr="000F0D8B">
        <w:rPr>
          <w:rFonts w:asciiTheme="minorHAnsi" w:hAnsiTheme="minorHAnsi" w:cstheme="minorHAnsi"/>
          <w:sz w:val="26"/>
          <w:szCs w:val="26"/>
        </w:rPr>
        <w:t>Plenul Consiliului Superior al Magistraturii formulează propuneri pentru desemnarea de către procurorul general al Parchetului de pe lângă Înalta Curte de Cas</w:t>
      </w:r>
      <w:r w:rsidR="00005BD8">
        <w:rPr>
          <w:rFonts w:asciiTheme="minorHAnsi" w:hAnsiTheme="minorHAnsi" w:cstheme="minorHAnsi"/>
          <w:sz w:val="26"/>
          <w:szCs w:val="26"/>
        </w:rPr>
        <w:t>a</w:t>
      </w:r>
      <w:r w:rsidRPr="000F0D8B">
        <w:rPr>
          <w:rFonts w:asciiTheme="minorHAnsi" w:hAnsiTheme="minorHAnsi" w:cstheme="minorHAnsi"/>
          <w:sz w:val="26"/>
          <w:szCs w:val="26"/>
        </w:rPr>
        <w:t>ție și Justiție a procurorilor care vor efectua urmărirea penală în cauzele expres prevăzute la art. 3 alin. (1) şi alin. (2) din Legea nr. 49/2022.</w:t>
      </w:r>
    </w:p>
    <w:p w14:paraId="0AB8D686" w14:textId="635266A2" w:rsidR="009E108E" w:rsidRPr="000F0D8B" w:rsidRDefault="009E108E" w:rsidP="009E3AD8">
      <w:pPr>
        <w:spacing w:line="276" w:lineRule="auto"/>
        <w:ind w:firstLine="720"/>
        <w:jc w:val="both"/>
        <w:rPr>
          <w:rFonts w:asciiTheme="minorHAnsi" w:hAnsiTheme="minorHAnsi" w:cstheme="minorHAnsi"/>
          <w:sz w:val="26"/>
          <w:szCs w:val="26"/>
        </w:rPr>
      </w:pPr>
      <w:r w:rsidRPr="000F0D8B">
        <w:rPr>
          <w:rFonts w:asciiTheme="minorHAnsi" w:hAnsiTheme="minorHAnsi" w:cstheme="minorHAnsi"/>
          <w:sz w:val="26"/>
          <w:szCs w:val="26"/>
        </w:rPr>
        <w:t>Potrivit art. 10 din același act normativ</w:t>
      </w:r>
      <w:r w:rsidR="00956818">
        <w:rPr>
          <w:rFonts w:asciiTheme="minorHAnsi" w:hAnsiTheme="minorHAnsi" w:cstheme="minorHAnsi"/>
          <w:sz w:val="26"/>
          <w:szCs w:val="26"/>
        </w:rPr>
        <w:t>,</w:t>
      </w:r>
      <w:r w:rsidRPr="000F0D8B">
        <w:rPr>
          <w:rFonts w:asciiTheme="minorHAnsi" w:hAnsiTheme="minorHAnsi" w:cstheme="minorHAnsi"/>
          <w:sz w:val="26"/>
          <w:szCs w:val="26"/>
        </w:rPr>
        <w:t xml:space="preserve"> numărul maxim de procurori din cadrul Secţiei de urmărire penală şi criminalistică desemnaţi este de 14, iar numărul maxim al procurorilor din cadrul parchetelor de pe lângă curţile de apel desemnaţi este de 3 pentru fiecare dintre acestea.</w:t>
      </w:r>
    </w:p>
    <w:p w14:paraId="700A9570" w14:textId="6CF72276" w:rsidR="009E108E" w:rsidRPr="000F0D8B" w:rsidRDefault="009E108E" w:rsidP="009E3AD8">
      <w:pPr>
        <w:spacing w:line="276" w:lineRule="auto"/>
        <w:ind w:firstLine="720"/>
        <w:jc w:val="both"/>
        <w:rPr>
          <w:rFonts w:asciiTheme="minorHAnsi" w:hAnsiTheme="minorHAnsi" w:cstheme="minorHAnsi"/>
          <w:sz w:val="26"/>
          <w:szCs w:val="26"/>
        </w:rPr>
      </w:pPr>
      <w:r w:rsidRPr="000F0D8B">
        <w:rPr>
          <w:rFonts w:asciiTheme="minorHAnsi" w:hAnsiTheme="minorHAnsi" w:cstheme="minorHAnsi"/>
          <w:sz w:val="26"/>
          <w:szCs w:val="26"/>
        </w:rPr>
        <w:t>În consecință, în cursul anului de referință, prin Hotărârile Plenului Consiliului Superior al Magistraturii nr. 17,</w:t>
      </w:r>
      <w:r w:rsidR="00956818">
        <w:rPr>
          <w:rFonts w:asciiTheme="minorHAnsi" w:hAnsiTheme="minorHAnsi" w:cstheme="minorHAnsi"/>
          <w:sz w:val="26"/>
          <w:szCs w:val="26"/>
        </w:rPr>
        <w:t xml:space="preserve"> nr. </w:t>
      </w:r>
      <w:r w:rsidRPr="000F0D8B">
        <w:rPr>
          <w:rFonts w:asciiTheme="minorHAnsi" w:hAnsiTheme="minorHAnsi" w:cstheme="minorHAnsi"/>
          <w:sz w:val="26"/>
          <w:szCs w:val="26"/>
        </w:rPr>
        <w:t>18,</w:t>
      </w:r>
      <w:r w:rsidR="00956818">
        <w:rPr>
          <w:rFonts w:asciiTheme="minorHAnsi" w:hAnsiTheme="minorHAnsi" w:cstheme="minorHAnsi"/>
          <w:sz w:val="26"/>
          <w:szCs w:val="26"/>
        </w:rPr>
        <w:t xml:space="preserve"> nr. </w:t>
      </w:r>
      <w:r w:rsidRPr="000F0D8B">
        <w:rPr>
          <w:rFonts w:asciiTheme="minorHAnsi" w:hAnsiTheme="minorHAnsi" w:cstheme="minorHAnsi"/>
          <w:sz w:val="26"/>
          <w:szCs w:val="26"/>
        </w:rPr>
        <w:t>19/25.02.2025, nr. 68/15.05.2025</w:t>
      </w:r>
      <w:r w:rsidR="00956818">
        <w:rPr>
          <w:rFonts w:asciiTheme="minorHAnsi" w:hAnsiTheme="minorHAnsi" w:cstheme="minorHAnsi"/>
          <w:sz w:val="26"/>
          <w:szCs w:val="26"/>
        </w:rPr>
        <w:t xml:space="preserve">, </w:t>
      </w:r>
      <w:r w:rsidRPr="000F0D8B">
        <w:rPr>
          <w:rFonts w:asciiTheme="minorHAnsi" w:hAnsiTheme="minorHAnsi" w:cstheme="minorHAnsi"/>
          <w:sz w:val="26"/>
          <w:szCs w:val="26"/>
        </w:rPr>
        <w:t>nr. 132,</w:t>
      </w:r>
      <w:r w:rsidR="00956818">
        <w:rPr>
          <w:rFonts w:asciiTheme="minorHAnsi" w:hAnsiTheme="minorHAnsi" w:cstheme="minorHAnsi"/>
          <w:sz w:val="26"/>
          <w:szCs w:val="26"/>
        </w:rPr>
        <w:t xml:space="preserve"> nr. </w:t>
      </w:r>
      <w:r w:rsidRPr="000F0D8B">
        <w:rPr>
          <w:rFonts w:asciiTheme="minorHAnsi" w:hAnsiTheme="minorHAnsi" w:cstheme="minorHAnsi"/>
          <w:sz w:val="26"/>
          <w:szCs w:val="26"/>
        </w:rPr>
        <w:t>133</w:t>
      </w:r>
      <w:r w:rsidR="00956818">
        <w:rPr>
          <w:rFonts w:asciiTheme="minorHAnsi" w:hAnsiTheme="minorHAnsi" w:cstheme="minorHAnsi"/>
          <w:sz w:val="26"/>
          <w:szCs w:val="26"/>
        </w:rPr>
        <w:t xml:space="preserve"> şi nr. </w:t>
      </w:r>
      <w:r w:rsidRPr="000F0D8B">
        <w:rPr>
          <w:rFonts w:asciiTheme="minorHAnsi" w:hAnsiTheme="minorHAnsi" w:cstheme="minorHAnsi"/>
          <w:sz w:val="26"/>
          <w:szCs w:val="26"/>
        </w:rPr>
        <w:t>134/09.10.2025 au fost propuși în vederea desemnării de către procurorul general al Parchetului de pe lângă Înalta Curte de Casație și Justiție un număr de 7 procurori care să efectueze urmărirea penală în cauzele prev</w:t>
      </w:r>
      <w:r w:rsidR="00FC1B71" w:rsidRPr="000F0D8B">
        <w:rPr>
          <w:rFonts w:asciiTheme="minorHAnsi" w:hAnsiTheme="minorHAnsi" w:cstheme="minorHAnsi"/>
          <w:sz w:val="26"/>
          <w:szCs w:val="26"/>
        </w:rPr>
        <w:t>ăzute</w:t>
      </w:r>
      <w:r w:rsidRPr="000F0D8B">
        <w:rPr>
          <w:rFonts w:asciiTheme="minorHAnsi" w:hAnsiTheme="minorHAnsi" w:cstheme="minorHAnsi"/>
          <w:sz w:val="26"/>
          <w:szCs w:val="26"/>
        </w:rPr>
        <w:t xml:space="preserve"> de art. 3 alin. (1) și (2) din Legea nr. 49/2022.</w:t>
      </w:r>
    </w:p>
    <w:p w14:paraId="5317CC20" w14:textId="77777777" w:rsidR="009E108E" w:rsidRPr="000F0D8B" w:rsidRDefault="009E108E" w:rsidP="009E3AD8">
      <w:pPr>
        <w:spacing w:line="276" w:lineRule="auto"/>
        <w:ind w:firstLine="720"/>
        <w:jc w:val="both"/>
        <w:rPr>
          <w:rFonts w:asciiTheme="minorHAnsi" w:hAnsiTheme="minorHAnsi" w:cstheme="minorHAnsi"/>
          <w:b/>
          <w:sz w:val="26"/>
          <w:szCs w:val="26"/>
        </w:rPr>
      </w:pPr>
      <w:r w:rsidRPr="000F0D8B">
        <w:rPr>
          <w:rFonts w:asciiTheme="minorHAnsi" w:hAnsiTheme="minorHAnsi" w:cstheme="minorHAnsi"/>
          <w:b/>
          <w:sz w:val="26"/>
          <w:szCs w:val="26"/>
        </w:rPr>
        <w:t>C. Numirea judecătorilor şi procurorilor în funcţii de conducere</w:t>
      </w:r>
      <w:r w:rsidRPr="000F0D8B">
        <w:rPr>
          <w:rFonts w:asciiTheme="minorHAnsi" w:hAnsiTheme="minorHAnsi" w:cstheme="minorHAnsi"/>
          <w:b/>
          <w:i/>
          <w:sz w:val="26"/>
          <w:szCs w:val="26"/>
        </w:rPr>
        <w:tab/>
      </w:r>
    </w:p>
    <w:p w14:paraId="5847A0B0" w14:textId="30471ACB" w:rsidR="002E346E" w:rsidRPr="004A72CD" w:rsidRDefault="002E346E" w:rsidP="009E3AD8">
      <w:pPr>
        <w:spacing w:line="276" w:lineRule="auto"/>
        <w:ind w:firstLine="720"/>
        <w:jc w:val="both"/>
        <w:rPr>
          <w:rFonts w:asciiTheme="minorHAnsi" w:hAnsiTheme="minorHAnsi" w:cstheme="minorHAnsi"/>
          <w:b/>
          <w:sz w:val="26"/>
          <w:szCs w:val="26"/>
        </w:rPr>
      </w:pPr>
      <w:r w:rsidRPr="004A72CD">
        <w:rPr>
          <w:rFonts w:asciiTheme="minorHAnsi" w:hAnsiTheme="minorHAnsi" w:cstheme="minorHAnsi"/>
          <w:b/>
          <w:sz w:val="26"/>
          <w:szCs w:val="26"/>
        </w:rPr>
        <w:t>C.1. Numirea judecătorilor în funcţiile de conducere de preşedinte la curţi de apel, tribunale, tribunale specializate şi judecătorii</w:t>
      </w:r>
    </w:p>
    <w:p w14:paraId="4EEC6E28" w14:textId="77777777" w:rsidR="002E346E" w:rsidRPr="004A72CD" w:rsidRDefault="002E346E" w:rsidP="009E3AD8">
      <w:pPr>
        <w:shd w:val="clear" w:color="auto" w:fill="FFFFFF"/>
        <w:spacing w:line="276" w:lineRule="auto"/>
        <w:ind w:firstLine="720"/>
        <w:jc w:val="both"/>
        <w:rPr>
          <w:rFonts w:asciiTheme="minorHAnsi" w:hAnsiTheme="minorHAnsi" w:cstheme="minorHAnsi"/>
          <w:b/>
          <w:sz w:val="26"/>
          <w:szCs w:val="26"/>
          <w:lang w:eastAsia="ro-RO"/>
        </w:rPr>
      </w:pPr>
      <w:r w:rsidRPr="004A72CD">
        <w:rPr>
          <w:rFonts w:asciiTheme="minorHAnsi" w:hAnsiTheme="minorHAnsi" w:cstheme="minorHAnsi"/>
          <w:sz w:val="26"/>
          <w:szCs w:val="26"/>
          <w:lang w:eastAsia="ro-RO"/>
        </w:rPr>
        <w:t>În prezent, sunt în vigoare prevederile art. 150 din Legea nr. 303/2022 privind statutul judecătorilor şi procurorilor, care reglementează la alin. (1) - (3) că n</w:t>
      </w:r>
      <w:r w:rsidRPr="004A72CD">
        <w:rPr>
          <w:rFonts w:asciiTheme="minorHAnsi" w:hAnsiTheme="minorHAnsi" w:cstheme="minorHAnsi"/>
          <w:sz w:val="26"/>
          <w:szCs w:val="26"/>
          <w:bdr w:val="none" w:sz="0" w:space="0" w:color="auto" w:frame="1"/>
          <w:lang w:eastAsia="ro-RO"/>
        </w:rPr>
        <w:t xml:space="preserve">umirea în funcţiile de preşedinte la judecătorii, tribunale, tribunale specializate şi curţi de apel se face numai prin concurs sau examen organizat, ori de câte ori este necesar, de Consiliul Superior al Magistraturii, </w:t>
      </w:r>
      <w:r w:rsidRPr="004A72CD">
        <w:rPr>
          <w:rFonts w:asciiTheme="minorHAnsi" w:hAnsiTheme="minorHAnsi" w:cstheme="minorHAnsi"/>
          <w:sz w:val="26"/>
          <w:szCs w:val="26"/>
          <w:bdr w:val="none" w:sz="0" w:space="0" w:color="auto" w:frame="1"/>
          <w:lang w:eastAsia="ro-RO"/>
        </w:rPr>
        <w:lastRenderedPageBreak/>
        <w:t xml:space="preserve">cu sprijinul Institutului Naţional al Magistraturii, iar numirea în alte funcţii de conducere din cadrul judecătoriilor, tribunalelor, tribunalelor specializate şi curţilor de apel se face fără concurs sau examen, la propunerea preşedintelui instanţei, potrivit procedurii prevăzute de prezenta lege. </w:t>
      </w:r>
      <w:r w:rsidRPr="004A72CD">
        <w:rPr>
          <w:rFonts w:asciiTheme="minorHAnsi" w:hAnsiTheme="minorHAnsi" w:cstheme="minorHAnsi"/>
          <w:sz w:val="26"/>
          <w:szCs w:val="26"/>
          <w:bdr w:val="none" w:sz="0" w:space="0" w:color="auto" w:frame="1"/>
          <w:lang w:eastAsia="ro-RO"/>
        </w:rPr>
        <w:tab/>
        <w:t>Numirea în funcţii de conducere la judecătorii, tribunale, tribunale specializate şi curţi de apel se face prin hotărâre a Secţiei pentru judecători a Consiliului Superior al Magistraturii, pe o perioadă de 3 ani, cu posibilitatea reînvestirii, o singură dată, în aceleaşi condiţii.</w:t>
      </w:r>
    </w:p>
    <w:p w14:paraId="5F4AD5C9" w14:textId="5115935F" w:rsidR="002E346E" w:rsidRPr="00562612" w:rsidRDefault="002E346E" w:rsidP="009E3AD8">
      <w:pPr>
        <w:tabs>
          <w:tab w:val="right" w:pos="8640"/>
        </w:tabs>
        <w:spacing w:line="276" w:lineRule="auto"/>
        <w:ind w:firstLine="709"/>
        <w:jc w:val="both"/>
        <w:rPr>
          <w:rFonts w:asciiTheme="minorHAnsi" w:hAnsiTheme="minorHAnsi" w:cstheme="minorHAnsi"/>
          <w:sz w:val="26"/>
          <w:szCs w:val="26"/>
        </w:rPr>
      </w:pPr>
      <w:r w:rsidRPr="00562612">
        <w:rPr>
          <w:rFonts w:asciiTheme="minorHAnsi" w:hAnsiTheme="minorHAnsi" w:cstheme="minorHAnsi"/>
          <w:sz w:val="26"/>
          <w:szCs w:val="26"/>
        </w:rPr>
        <w:t>Astfel, prin Hotărârea nr. 1500/24.07.2024, Secţia pentru judecători a aprobat organizarea, cu sprijinul Institutului Naţional al Magistraturii, la Bucureşti, în perioada august – decembrie 2024, a concursului sau examenului pentru numirea în funcţia de preşedinte a judecătorilor la curţile de apel, tribunale, tribunale specializate, judecătorii şi instanţe militare, în condiţiile art. 150 alin. (1) din Legea nr. 303/2022 privind statutul judecătorilor şi procurorilor, precum şi ale Regulamentului privind numirea în funcţii de conducere a judecătorilor aprobat prin Hotărârea Secţiei pentru judecători nr. 266/2023.</w:t>
      </w:r>
    </w:p>
    <w:p w14:paraId="5B08ABA3" w14:textId="5325534A" w:rsidR="002E346E" w:rsidRPr="00AE2843" w:rsidRDefault="002E346E" w:rsidP="00FB2B9C">
      <w:pPr>
        <w:tabs>
          <w:tab w:val="right" w:pos="8640"/>
        </w:tabs>
        <w:spacing w:line="276" w:lineRule="auto"/>
        <w:ind w:firstLine="709"/>
        <w:jc w:val="both"/>
        <w:rPr>
          <w:rFonts w:asciiTheme="minorHAnsi" w:hAnsiTheme="minorHAnsi" w:cstheme="minorHAnsi"/>
          <w:sz w:val="26"/>
          <w:szCs w:val="26"/>
        </w:rPr>
      </w:pPr>
      <w:r w:rsidRPr="00AE2843">
        <w:rPr>
          <w:rFonts w:asciiTheme="minorHAnsi" w:hAnsiTheme="minorHAnsi" w:cstheme="minorHAnsi"/>
          <w:sz w:val="26"/>
          <w:szCs w:val="26"/>
        </w:rPr>
        <w:t>Concursul sau examenul s-a organizat pentru ocuparea unui număr de 127 de funcţii de conducere vacante sau care urmau a se vacanta până la data de 09 ianuarie 2025 la curţile de apel, tribunale, tribunale specializate, judecătorii şi instanţe militare.</w:t>
      </w:r>
      <w:r w:rsidR="00FB2B9C">
        <w:rPr>
          <w:rFonts w:asciiTheme="minorHAnsi" w:hAnsiTheme="minorHAnsi" w:cstheme="minorHAnsi"/>
          <w:sz w:val="26"/>
          <w:szCs w:val="26"/>
        </w:rPr>
        <w:t xml:space="preserve"> </w:t>
      </w:r>
      <w:r w:rsidRPr="00AE2843">
        <w:rPr>
          <w:rFonts w:asciiTheme="minorHAnsi" w:hAnsiTheme="minorHAnsi" w:cstheme="minorHAnsi"/>
          <w:sz w:val="26"/>
          <w:szCs w:val="26"/>
        </w:rPr>
        <w:t>La concurs/examen s-au înscris 38 de candidaţi şi 1 candidat s-a retras, fiind admişi în urma promovării concursului un număr de 24 de candidaţi.</w:t>
      </w:r>
    </w:p>
    <w:p w14:paraId="79024CC9" w14:textId="46462C67" w:rsidR="002E346E" w:rsidRPr="00684A44" w:rsidRDefault="002E346E" w:rsidP="00FB2B9C">
      <w:pPr>
        <w:widowControl w:val="0"/>
        <w:tabs>
          <w:tab w:val="right" w:pos="8640"/>
        </w:tabs>
        <w:spacing w:line="276" w:lineRule="auto"/>
        <w:ind w:firstLine="706"/>
        <w:jc w:val="both"/>
        <w:rPr>
          <w:rFonts w:asciiTheme="minorHAnsi" w:hAnsiTheme="minorHAnsi" w:cstheme="minorHAnsi"/>
          <w:sz w:val="26"/>
          <w:szCs w:val="26"/>
        </w:rPr>
      </w:pPr>
      <w:r w:rsidRPr="00684A44">
        <w:rPr>
          <w:rFonts w:asciiTheme="minorHAnsi" w:hAnsiTheme="minorHAnsi" w:cstheme="minorHAnsi"/>
          <w:sz w:val="26"/>
          <w:szCs w:val="26"/>
        </w:rPr>
        <w:t xml:space="preserve">În şedinţa Secţiei pentru judecători din </w:t>
      </w:r>
      <w:r w:rsidR="005E5535">
        <w:rPr>
          <w:rFonts w:asciiTheme="minorHAnsi" w:hAnsiTheme="minorHAnsi" w:cstheme="minorHAnsi"/>
          <w:sz w:val="26"/>
          <w:szCs w:val="26"/>
        </w:rPr>
        <w:t>0</w:t>
      </w:r>
      <w:r w:rsidRPr="00684A44">
        <w:rPr>
          <w:rFonts w:asciiTheme="minorHAnsi" w:hAnsiTheme="minorHAnsi" w:cstheme="minorHAnsi"/>
          <w:sz w:val="26"/>
          <w:szCs w:val="26"/>
        </w:rPr>
        <w:t>3 decembrie 2024 au fost validate rezultatele concursului/examenului şi s-a dispus numirea în funcţii de conducere a 24 de candidați începând cu data de 9  ianuarie 2025, pentru un mandat de 3 ani.</w:t>
      </w:r>
      <w:r w:rsidR="00FB2B9C">
        <w:rPr>
          <w:rFonts w:asciiTheme="minorHAnsi" w:hAnsiTheme="minorHAnsi" w:cstheme="minorHAnsi"/>
          <w:sz w:val="26"/>
          <w:szCs w:val="26"/>
        </w:rPr>
        <w:t xml:space="preserve"> </w:t>
      </w:r>
      <w:r w:rsidRPr="00684A44">
        <w:rPr>
          <w:rFonts w:asciiTheme="minorHAnsi" w:hAnsiTheme="minorHAnsi" w:cstheme="minorHAnsi"/>
          <w:sz w:val="26"/>
          <w:szCs w:val="26"/>
        </w:rPr>
        <w:t xml:space="preserve">Rezultatele acestui concurs se reflectă în situația funcțiilor de conducere ocupate în cursul anului 2025. </w:t>
      </w:r>
      <w:bookmarkStart w:id="73" w:name="_Hlk150104905"/>
    </w:p>
    <w:bookmarkEnd w:id="73"/>
    <w:p w14:paraId="6848A6D7" w14:textId="0D223E98" w:rsidR="002E346E" w:rsidRPr="00562612" w:rsidRDefault="002E346E" w:rsidP="009E3AD8">
      <w:pPr>
        <w:spacing w:line="276" w:lineRule="auto"/>
        <w:ind w:firstLine="709"/>
        <w:jc w:val="both"/>
        <w:rPr>
          <w:rFonts w:asciiTheme="minorHAnsi" w:hAnsiTheme="minorHAnsi" w:cstheme="minorHAnsi"/>
          <w:sz w:val="26"/>
          <w:szCs w:val="26"/>
        </w:rPr>
      </w:pPr>
      <w:r w:rsidRPr="00562612">
        <w:rPr>
          <w:rFonts w:asciiTheme="minorHAnsi" w:hAnsiTheme="minorHAnsi" w:cstheme="minorHAnsi"/>
          <w:sz w:val="26"/>
          <w:szCs w:val="26"/>
        </w:rPr>
        <w:t xml:space="preserve">Se constată că, deşi cadrul legal s-a modificat semnificativ în ceea ce priveşte ocuparea funcţiilor de conducere, în sensul că doar funcţiile de preşedinte se ocupă prin concurs, gradul de participare/ocupare se situează în continuare la </w:t>
      </w:r>
      <w:r w:rsidRPr="00FA17A0">
        <w:rPr>
          <w:rFonts w:asciiTheme="minorHAnsi" w:hAnsiTheme="minorHAnsi" w:cstheme="minorHAnsi"/>
          <w:sz w:val="26"/>
          <w:szCs w:val="26"/>
        </w:rPr>
        <w:t>aproximativ 40%</w:t>
      </w:r>
      <w:r w:rsidR="00FB2B9C">
        <w:rPr>
          <w:rFonts w:asciiTheme="minorHAnsi" w:hAnsiTheme="minorHAnsi" w:cstheme="minorHAnsi"/>
          <w:sz w:val="26"/>
          <w:szCs w:val="26"/>
        </w:rPr>
        <w:t>,</w:t>
      </w:r>
      <w:r w:rsidRPr="00FA17A0">
        <w:rPr>
          <w:rFonts w:asciiTheme="minorHAnsi" w:hAnsiTheme="minorHAnsi" w:cstheme="minorHAnsi"/>
          <w:sz w:val="26"/>
          <w:szCs w:val="26"/>
        </w:rPr>
        <w:t xml:space="preserve"> </w:t>
      </w:r>
      <w:r w:rsidRPr="00562612">
        <w:rPr>
          <w:rFonts w:asciiTheme="minorHAnsi" w:hAnsiTheme="minorHAnsi" w:cstheme="minorHAnsi"/>
          <w:sz w:val="26"/>
          <w:szCs w:val="26"/>
        </w:rPr>
        <w:t>raportat la situaţia funcţiilor vacante.</w:t>
      </w:r>
    </w:p>
    <w:p w14:paraId="0AE1FF3E" w14:textId="7EFA23E6" w:rsidR="002E346E" w:rsidRDefault="002E346E" w:rsidP="00FB2B9C">
      <w:pPr>
        <w:spacing w:line="276" w:lineRule="auto"/>
        <w:ind w:firstLine="709"/>
        <w:jc w:val="both"/>
        <w:rPr>
          <w:rFonts w:asciiTheme="minorHAnsi" w:hAnsiTheme="minorHAnsi" w:cstheme="minorHAnsi"/>
          <w:sz w:val="26"/>
          <w:szCs w:val="26"/>
        </w:rPr>
      </w:pPr>
      <w:r w:rsidRPr="00562612">
        <w:rPr>
          <w:rFonts w:asciiTheme="minorHAnsi" w:hAnsiTheme="minorHAnsi" w:cstheme="minorHAnsi"/>
          <w:sz w:val="26"/>
          <w:szCs w:val="26"/>
        </w:rPr>
        <w:t xml:space="preserve">De asemenea, în perioada </w:t>
      </w:r>
      <w:r w:rsidRPr="00FA17A0">
        <w:rPr>
          <w:rFonts w:asciiTheme="minorHAnsi" w:hAnsiTheme="minorHAnsi" w:cstheme="minorHAnsi"/>
          <w:sz w:val="26"/>
          <w:szCs w:val="26"/>
        </w:rPr>
        <w:t xml:space="preserve">august – decembrie 2025 este în derulare </w:t>
      </w:r>
      <w:r w:rsidRPr="00562612">
        <w:rPr>
          <w:rFonts w:asciiTheme="minorHAnsi" w:hAnsiTheme="minorHAnsi" w:cstheme="minorHAnsi"/>
          <w:sz w:val="26"/>
          <w:szCs w:val="26"/>
        </w:rPr>
        <w:t>un nou concurs/examen pentru ocuparea unui număr de 150 de funcţii de preşedinte vacante sau care se vor vacanta până la data de 06 ianuarie 2026 la curţi de apel, tribunale, tribunale specializate şi judecătorii, astfel cum s-a aprobat prin Hotărârea Secţiei pentru judecători nr. 1783/</w:t>
      </w:r>
      <w:r w:rsidR="00295D06">
        <w:rPr>
          <w:rFonts w:asciiTheme="minorHAnsi" w:hAnsiTheme="minorHAnsi" w:cstheme="minorHAnsi"/>
          <w:sz w:val="26"/>
          <w:szCs w:val="26"/>
        </w:rPr>
        <w:t>0</w:t>
      </w:r>
      <w:r w:rsidRPr="00562612">
        <w:rPr>
          <w:rFonts w:asciiTheme="minorHAnsi" w:hAnsiTheme="minorHAnsi" w:cstheme="minorHAnsi"/>
          <w:sz w:val="26"/>
          <w:szCs w:val="26"/>
        </w:rPr>
        <w:t>9.07.2025. Pentru acest concurs/examen s-au înscris 66 de candidaţi</w:t>
      </w:r>
      <w:r>
        <w:rPr>
          <w:rFonts w:asciiTheme="minorHAnsi" w:hAnsiTheme="minorHAnsi" w:cstheme="minorHAnsi"/>
          <w:sz w:val="26"/>
          <w:szCs w:val="26"/>
        </w:rPr>
        <w:t>.</w:t>
      </w:r>
      <w:r w:rsidRPr="00562612">
        <w:rPr>
          <w:rFonts w:asciiTheme="minorHAnsi" w:hAnsiTheme="minorHAnsi" w:cstheme="minorHAnsi"/>
          <w:sz w:val="26"/>
          <w:szCs w:val="26"/>
        </w:rPr>
        <w:t xml:space="preserve"> </w:t>
      </w:r>
    </w:p>
    <w:p w14:paraId="1F34FD30" w14:textId="1521D1E1" w:rsidR="00090EC7" w:rsidRPr="00295D06" w:rsidRDefault="00090EC7" w:rsidP="00FB2B9C">
      <w:pPr>
        <w:spacing w:line="276" w:lineRule="auto"/>
        <w:ind w:firstLine="709"/>
        <w:jc w:val="both"/>
        <w:rPr>
          <w:rFonts w:asciiTheme="minorHAnsi" w:hAnsiTheme="minorHAnsi" w:cstheme="minorHAnsi"/>
          <w:sz w:val="26"/>
          <w:szCs w:val="26"/>
        </w:rPr>
      </w:pPr>
      <w:r w:rsidRPr="00295D06">
        <w:rPr>
          <w:rFonts w:asciiTheme="minorHAnsi" w:hAnsiTheme="minorHAnsi" w:cstheme="minorHAnsi"/>
          <w:sz w:val="26"/>
          <w:szCs w:val="26"/>
        </w:rPr>
        <w:t>În şedinţa Secţiei pentru judecători din 10 decembrie 2025 au fost validate rezultatele concursului/examenului, prin Hotărârea Secţiei pentru judecători a Consiliului Superior al Magistraturii nr. 2819/10.12.2025, şi s-a dispus numirea în funcţii de conducere a 34 de candidați începând cu data de 6  ianuarie 2026, pentru un mandat de 3 ani.</w:t>
      </w:r>
    </w:p>
    <w:p w14:paraId="1B099E74" w14:textId="0C5EB2A9" w:rsidR="002E346E" w:rsidRPr="004A72CD" w:rsidRDefault="002E346E" w:rsidP="009E3AD8">
      <w:pPr>
        <w:spacing w:line="276" w:lineRule="auto"/>
        <w:ind w:firstLine="709"/>
        <w:jc w:val="both"/>
        <w:rPr>
          <w:rFonts w:asciiTheme="minorHAnsi" w:hAnsiTheme="minorHAnsi" w:cstheme="minorHAnsi"/>
          <w:b/>
          <w:sz w:val="26"/>
          <w:szCs w:val="26"/>
        </w:rPr>
      </w:pPr>
      <w:r w:rsidRPr="004A72CD">
        <w:rPr>
          <w:rFonts w:asciiTheme="minorHAnsi" w:hAnsiTheme="minorHAnsi" w:cstheme="minorHAnsi"/>
          <w:b/>
          <w:sz w:val="26"/>
          <w:szCs w:val="26"/>
        </w:rPr>
        <w:t>Numirea judecătorilor în alte funcţii de conducere, în temeiul art. 150 alin. (2) din Legea nr. 303/2022</w:t>
      </w:r>
      <w:r w:rsidR="00E47E71">
        <w:rPr>
          <w:rFonts w:asciiTheme="minorHAnsi" w:hAnsiTheme="minorHAnsi" w:cstheme="minorHAnsi"/>
          <w:b/>
          <w:sz w:val="26"/>
          <w:szCs w:val="26"/>
        </w:rPr>
        <w:t xml:space="preserve"> privind statutul judecătorilor şi procurorilor </w:t>
      </w:r>
    </w:p>
    <w:p w14:paraId="5B109311" w14:textId="77777777" w:rsidR="002E346E" w:rsidRPr="00B839DC" w:rsidRDefault="002E346E" w:rsidP="009E3AD8">
      <w:pPr>
        <w:spacing w:line="276" w:lineRule="auto"/>
        <w:ind w:firstLine="709"/>
        <w:jc w:val="both"/>
        <w:rPr>
          <w:rFonts w:asciiTheme="minorHAnsi" w:hAnsiTheme="minorHAnsi" w:cstheme="minorHAnsi"/>
          <w:sz w:val="26"/>
          <w:szCs w:val="26"/>
        </w:rPr>
      </w:pPr>
      <w:r w:rsidRPr="00B839DC">
        <w:rPr>
          <w:rFonts w:asciiTheme="minorHAnsi" w:hAnsiTheme="minorHAnsi" w:cstheme="minorHAnsi"/>
          <w:sz w:val="26"/>
          <w:szCs w:val="26"/>
        </w:rPr>
        <w:t xml:space="preserve">În perioada </w:t>
      </w:r>
      <w:r>
        <w:rPr>
          <w:rFonts w:asciiTheme="minorHAnsi" w:hAnsiTheme="minorHAnsi" w:cstheme="minorHAnsi"/>
          <w:sz w:val="26"/>
          <w:szCs w:val="26"/>
        </w:rPr>
        <w:t>ianuarie-octombrie 2025</w:t>
      </w:r>
      <w:r w:rsidRPr="00B839DC">
        <w:rPr>
          <w:rFonts w:asciiTheme="minorHAnsi" w:hAnsiTheme="minorHAnsi" w:cstheme="minorHAnsi"/>
          <w:sz w:val="26"/>
          <w:szCs w:val="26"/>
        </w:rPr>
        <w:t xml:space="preserve">, Secţia pentru judecători a numit </w:t>
      </w:r>
      <w:r w:rsidRPr="00FA17A0">
        <w:rPr>
          <w:rFonts w:asciiTheme="minorHAnsi" w:hAnsiTheme="minorHAnsi" w:cstheme="minorHAnsi"/>
          <w:sz w:val="26"/>
          <w:szCs w:val="26"/>
        </w:rPr>
        <w:t xml:space="preserve">43 de judecători </w:t>
      </w:r>
      <w:r w:rsidRPr="00B839DC">
        <w:rPr>
          <w:rFonts w:asciiTheme="minorHAnsi" w:hAnsiTheme="minorHAnsi" w:cstheme="minorHAnsi"/>
          <w:sz w:val="26"/>
          <w:szCs w:val="26"/>
        </w:rPr>
        <w:t>în funcţiile vacante de vicepreşedinte şi preşedinte de secţie.</w:t>
      </w:r>
    </w:p>
    <w:p w14:paraId="129E606A" w14:textId="77777777" w:rsidR="009E108E" w:rsidRPr="000F0D8B" w:rsidRDefault="009E108E" w:rsidP="009E3AD8">
      <w:pPr>
        <w:spacing w:line="276" w:lineRule="auto"/>
        <w:ind w:firstLine="720"/>
        <w:jc w:val="both"/>
        <w:rPr>
          <w:rFonts w:asciiTheme="minorHAnsi" w:hAnsiTheme="minorHAnsi" w:cstheme="minorHAnsi"/>
          <w:b/>
          <w:sz w:val="26"/>
          <w:szCs w:val="26"/>
        </w:rPr>
      </w:pPr>
      <w:r w:rsidRPr="000F0D8B">
        <w:rPr>
          <w:rFonts w:asciiTheme="minorHAnsi" w:hAnsiTheme="minorHAnsi" w:cstheme="minorHAnsi"/>
          <w:b/>
          <w:sz w:val="26"/>
          <w:szCs w:val="26"/>
        </w:rPr>
        <w:t>C.2. Numirea procurorilor în funcţiile de conducere de procuror general și prim procuror de la parchetele de pe lângă curţile de apel, tribunale şi judecătorii</w:t>
      </w:r>
    </w:p>
    <w:p w14:paraId="60E5795B" w14:textId="30D28445" w:rsidR="009E108E" w:rsidRDefault="009E108E" w:rsidP="009E3AD8">
      <w:pPr>
        <w:spacing w:line="276" w:lineRule="auto"/>
        <w:ind w:firstLine="720"/>
        <w:jc w:val="both"/>
        <w:rPr>
          <w:rFonts w:asciiTheme="minorHAnsi" w:hAnsiTheme="minorHAnsi" w:cstheme="minorHAnsi"/>
          <w:sz w:val="26"/>
          <w:szCs w:val="26"/>
        </w:rPr>
      </w:pPr>
      <w:r w:rsidRPr="000F0D8B">
        <w:rPr>
          <w:rFonts w:asciiTheme="minorHAnsi" w:hAnsiTheme="minorHAnsi" w:cstheme="minorHAnsi"/>
          <w:sz w:val="26"/>
          <w:szCs w:val="26"/>
        </w:rPr>
        <w:t>Prin Hotărârea nr. 585/2025, Secția pentru procurori a</w:t>
      </w:r>
      <w:r w:rsidR="004F1311">
        <w:rPr>
          <w:rFonts w:asciiTheme="minorHAnsi" w:hAnsiTheme="minorHAnsi" w:cstheme="minorHAnsi"/>
          <w:sz w:val="26"/>
          <w:szCs w:val="26"/>
        </w:rPr>
        <w:t xml:space="preserve"> </w:t>
      </w:r>
      <w:r w:rsidRPr="000F0D8B">
        <w:rPr>
          <w:rFonts w:asciiTheme="minorHAnsi" w:hAnsiTheme="minorHAnsi" w:cstheme="minorHAnsi"/>
          <w:sz w:val="26"/>
          <w:szCs w:val="26"/>
        </w:rPr>
        <w:t>aprobat organizarea, prin intermediul Institutului Național al Magistraturii, la București, în perioada 01</w:t>
      </w:r>
      <w:r w:rsidR="00E47E71">
        <w:rPr>
          <w:rFonts w:asciiTheme="minorHAnsi" w:hAnsiTheme="minorHAnsi" w:cstheme="minorHAnsi"/>
          <w:sz w:val="26"/>
          <w:szCs w:val="26"/>
        </w:rPr>
        <w:t xml:space="preserve"> august </w:t>
      </w:r>
      <w:r w:rsidRPr="000F0D8B">
        <w:rPr>
          <w:rFonts w:asciiTheme="minorHAnsi" w:hAnsiTheme="minorHAnsi" w:cstheme="minorHAnsi"/>
          <w:sz w:val="26"/>
          <w:szCs w:val="26"/>
        </w:rPr>
        <w:t>– 04</w:t>
      </w:r>
      <w:r w:rsidR="00E47E71">
        <w:rPr>
          <w:rFonts w:asciiTheme="minorHAnsi" w:hAnsiTheme="minorHAnsi" w:cstheme="minorHAnsi"/>
          <w:sz w:val="26"/>
          <w:szCs w:val="26"/>
        </w:rPr>
        <w:t xml:space="preserve"> </w:t>
      </w:r>
      <w:r w:rsidR="00E47E71">
        <w:rPr>
          <w:rFonts w:asciiTheme="minorHAnsi" w:hAnsiTheme="minorHAnsi" w:cstheme="minorHAnsi"/>
          <w:sz w:val="26"/>
          <w:szCs w:val="26"/>
        </w:rPr>
        <w:lastRenderedPageBreak/>
        <w:t xml:space="preserve">decembrie </w:t>
      </w:r>
      <w:r w:rsidRPr="000F0D8B">
        <w:rPr>
          <w:rFonts w:asciiTheme="minorHAnsi" w:hAnsiTheme="minorHAnsi" w:cstheme="minorHAnsi"/>
          <w:sz w:val="26"/>
          <w:szCs w:val="26"/>
        </w:rPr>
        <w:t>2025, a concursului/examenului pentru numirea în funcții de conducere a procurorilor la parchetele de pe lângă curți</w:t>
      </w:r>
      <w:r w:rsidR="0066044A">
        <w:rPr>
          <w:rFonts w:asciiTheme="minorHAnsi" w:hAnsiTheme="minorHAnsi" w:cstheme="minorHAnsi"/>
          <w:sz w:val="26"/>
          <w:szCs w:val="26"/>
        </w:rPr>
        <w:t>le</w:t>
      </w:r>
      <w:r w:rsidRPr="000F0D8B">
        <w:rPr>
          <w:rFonts w:asciiTheme="minorHAnsi" w:hAnsiTheme="minorHAnsi" w:cstheme="minorHAnsi"/>
          <w:sz w:val="26"/>
          <w:szCs w:val="26"/>
        </w:rPr>
        <w:t xml:space="preserve"> de apel, tribunale, tribunale specializate și judecătorii, fiind scoase la concurs </w:t>
      </w:r>
      <w:r w:rsidRPr="000F0D8B">
        <w:rPr>
          <w:rFonts w:asciiTheme="minorHAnsi" w:hAnsiTheme="minorHAnsi" w:cstheme="minorHAnsi"/>
          <w:bCs/>
          <w:sz w:val="26"/>
          <w:szCs w:val="26"/>
        </w:rPr>
        <w:t>130</w:t>
      </w:r>
      <w:r w:rsidRPr="000F0D8B">
        <w:rPr>
          <w:rFonts w:asciiTheme="minorHAnsi" w:hAnsiTheme="minorHAnsi" w:cstheme="minorHAnsi"/>
          <w:b/>
          <w:sz w:val="26"/>
          <w:szCs w:val="26"/>
        </w:rPr>
        <w:t xml:space="preserve"> </w:t>
      </w:r>
      <w:r w:rsidR="00E47E71" w:rsidRPr="00E47E71">
        <w:rPr>
          <w:rFonts w:asciiTheme="minorHAnsi" w:hAnsiTheme="minorHAnsi" w:cstheme="minorHAnsi"/>
          <w:bCs/>
          <w:sz w:val="26"/>
          <w:szCs w:val="26"/>
        </w:rPr>
        <w:t>de</w:t>
      </w:r>
      <w:r w:rsidR="00E47E71">
        <w:rPr>
          <w:rFonts w:asciiTheme="minorHAnsi" w:hAnsiTheme="minorHAnsi" w:cstheme="minorHAnsi"/>
          <w:b/>
          <w:sz w:val="26"/>
          <w:szCs w:val="26"/>
        </w:rPr>
        <w:t xml:space="preserve"> </w:t>
      </w:r>
      <w:r w:rsidRPr="000F0D8B">
        <w:rPr>
          <w:rFonts w:asciiTheme="minorHAnsi" w:hAnsiTheme="minorHAnsi" w:cstheme="minorHAnsi"/>
          <w:sz w:val="26"/>
          <w:szCs w:val="26"/>
        </w:rPr>
        <w:t xml:space="preserve">funcţii vacante de procuror general şi prim procuror de la parchetele de pe lângă curţile de apel, tribunale şi judecătorii. </w:t>
      </w:r>
    </w:p>
    <w:p w14:paraId="209F0846" w14:textId="6EC50398" w:rsidR="006046B1" w:rsidRPr="00295D06" w:rsidRDefault="006046B1" w:rsidP="006046B1">
      <w:pPr>
        <w:ind w:firstLine="720"/>
        <w:jc w:val="both"/>
        <w:rPr>
          <w:rFonts w:asciiTheme="minorHAnsi" w:hAnsiTheme="minorHAnsi" w:cstheme="minorHAnsi"/>
          <w:sz w:val="26"/>
          <w:szCs w:val="26"/>
        </w:rPr>
      </w:pPr>
      <w:r w:rsidRPr="00295D06">
        <w:rPr>
          <w:rFonts w:asciiTheme="minorHAnsi" w:hAnsiTheme="minorHAnsi" w:cstheme="minorHAnsi"/>
          <w:sz w:val="26"/>
          <w:szCs w:val="26"/>
        </w:rPr>
        <w:t>În ședința din data de 16</w:t>
      </w:r>
      <w:r w:rsidR="00DB2FAE" w:rsidRPr="00295D06">
        <w:rPr>
          <w:rFonts w:asciiTheme="minorHAnsi" w:hAnsiTheme="minorHAnsi" w:cstheme="minorHAnsi"/>
          <w:sz w:val="26"/>
          <w:szCs w:val="26"/>
        </w:rPr>
        <w:t xml:space="preserve"> decembrie </w:t>
      </w:r>
      <w:r w:rsidRPr="00295D06">
        <w:rPr>
          <w:rFonts w:asciiTheme="minorHAnsi" w:hAnsiTheme="minorHAnsi" w:cstheme="minorHAnsi"/>
          <w:sz w:val="26"/>
          <w:szCs w:val="26"/>
        </w:rPr>
        <w:t>2025 a fost validat acest concurs și au fost numiți în funcții de conducere</w:t>
      </w:r>
      <w:r w:rsidR="00295D06" w:rsidRPr="00295D06">
        <w:rPr>
          <w:rFonts w:asciiTheme="minorHAnsi" w:hAnsiTheme="minorHAnsi" w:cstheme="minorHAnsi"/>
          <w:sz w:val="26"/>
          <w:szCs w:val="26"/>
        </w:rPr>
        <w:t xml:space="preserve"> 36 de procurori</w:t>
      </w:r>
      <w:r w:rsidRPr="00295D06">
        <w:rPr>
          <w:rFonts w:asciiTheme="minorHAnsi" w:hAnsiTheme="minorHAnsi" w:cstheme="minorHAnsi"/>
          <w:sz w:val="26"/>
          <w:szCs w:val="26"/>
        </w:rPr>
        <w:t xml:space="preserve">, începând cu data de </w:t>
      </w:r>
      <w:r w:rsidR="00295D06" w:rsidRPr="00295D06">
        <w:rPr>
          <w:rFonts w:asciiTheme="minorHAnsi" w:hAnsiTheme="minorHAnsi" w:cstheme="minorHAnsi"/>
          <w:sz w:val="26"/>
          <w:szCs w:val="26"/>
        </w:rPr>
        <w:t>0</w:t>
      </w:r>
      <w:r w:rsidRPr="00295D06">
        <w:rPr>
          <w:rFonts w:asciiTheme="minorHAnsi" w:hAnsiTheme="minorHAnsi" w:cstheme="minorHAnsi"/>
          <w:sz w:val="26"/>
          <w:szCs w:val="26"/>
        </w:rPr>
        <w:t>1</w:t>
      </w:r>
      <w:r w:rsidR="00DB2FAE" w:rsidRPr="00295D06">
        <w:rPr>
          <w:rFonts w:asciiTheme="minorHAnsi" w:hAnsiTheme="minorHAnsi" w:cstheme="minorHAnsi"/>
          <w:sz w:val="26"/>
          <w:szCs w:val="26"/>
        </w:rPr>
        <w:t xml:space="preserve"> ianuarie </w:t>
      </w:r>
      <w:r w:rsidRPr="00295D06">
        <w:rPr>
          <w:rFonts w:asciiTheme="minorHAnsi" w:hAnsiTheme="minorHAnsi" w:cstheme="minorHAnsi"/>
          <w:sz w:val="26"/>
          <w:szCs w:val="26"/>
        </w:rPr>
        <w:t>2026.</w:t>
      </w:r>
    </w:p>
    <w:p w14:paraId="21F382A6" w14:textId="77777777" w:rsidR="009E108E" w:rsidRPr="000F0D8B" w:rsidRDefault="009E108E" w:rsidP="009E3AD8">
      <w:pPr>
        <w:spacing w:line="276" w:lineRule="auto"/>
        <w:ind w:firstLine="720"/>
        <w:jc w:val="both"/>
        <w:rPr>
          <w:rFonts w:asciiTheme="minorHAnsi" w:hAnsiTheme="minorHAnsi" w:cstheme="minorHAnsi"/>
          <w:b/>
          <w:sz w:val="26"/>
          <w:szCs w:val="26"/>
        </w:rPr>
      </w:pPr>
      <w:r w:rsidRPr="000F0D8B">
        <w:rPr>
          <w:rFonts w:asciiTheme="minorHAnsi" w:hAnsiTheme="minorHAnsi" w:cstheme="minorHAnsi"/>
          <w:b/>
          <w:sz w:val="26"/>
          <w:szCs w:val="26"/>
        </w:rPr>
        <w:t>Numirea procurorilor în alte funcţii de conducere, în temeiul dispoziţiilor art. 149 și art. 150 alin. (2) și (3) din Legea nr. 303/2022 privind statutul judecătorilor și procurorilor</w:t>
      </w:r>
    </w:p>
    <w:p w14:paraId="15E7E10A" w14:textId="46EAD554" w:rsidR="009E108E" w:rsidRPr="000F0D8B" w:rsidRDefault="009E108E" w:rsidP="009E3AD8">
      <w:pPr>
        <w:spacing w:line="276" w:lineRule="auto"/>
        <w:ind w:firstLine="720"/>
        <w:jc w:val="both"/>
        <w:rPr>
          <w:rFonts w:asciiTheme="minorHAnsi" w:hAnsiTheme="minorHAnsi" w:cstheme="minorHAnsi"/>
          <w:i/>
          <w:sz w:val="26"/>
          <w:szCs w:val="26"/>
        </w:rPr>
      </w:pPr>
      <w:r w:rsidRPr="000F0D8B">
        <w:rPr>
          <w:rFonts w:asciiTheme="minorHAnsi" w:hAnsiTheme="minorHAnsi" w:cstheme="minorHAnsi"/>
          <w:sz w:val="26"/>
          <w:szCs w:val="26"/>
        </w:rPr>
        <w:t xml:space="preserve">În conformitate cu dispoziţiile art. 149 alin. (1) </w:t>
      </w:r>
      <w:r w:rsidR="007C7575">
        <w:rPr>
          <w:rFonts w:asciiTheme="minorHAnsi" w:hAnsiTheme="minorHAnsi" w:cstheme="minorHAnsi"/>
          <w:sz w:val="26"/>
          <w:szCs w:val="26"/>
        </w:rPr>
        <w:t xml:space="preserve">din </w:t>
      </w:r>
      <w:r w:rsidRPr="000F0D8B">
        <w:rPr>
          <w:rFonts w:asciiTheme="minorHAnsi" w:hAnsiTheme="minorHAnsi" w:cstheme="minorHAnsi"/>
          <w:sz w:val="26"/>
          <w:szCs w:val="26"/>
        </w:rPr>
        <w:t>Legea nr. 303/2022 privind statutul judecătorilor și procurorilor „</w:t>
      </w:r>
      <w:r w:rsidR="00633EC9">
        <w:rPr>
          <w:rFonts w:asciiTheme="minorHAnsi" w:hAnsiTheme="minorHAnsi" w:cstheme="minorHAnsi"/>
          <w:sz w:val="26"/>
          <w:szCs w:val="26"/>
          <w:shd w:val="clear" w:color="auto" w:fill="FFFFFF"/>
        </w:rPr>
        <w:t>n</w:t>
      </w:r>
      <w:r w:rsidRPr="000F0D8B">
        <w:rPr>
          <w:rFonts w:asciiTheme="minorHAnsi" w:hAnsiTheme="minorHAnsi" w:cstheme="minorHAnsi"/>
          <w:sz w:val="26"/>
          <w:szCs w:val="26"/>
          <w:shd w:val="clear" w:color="auto" w:fill="FFFFFF"/>
        </w:rPr>
        <w:t>umirea în alte funcţii de conducere decât cele prevăzute la art. 144 alin. (1) în cadrul Parchetului de pe lângă Înalta Curte de Casaţie şi Justiţie, al Direcţiei Naţionale Anticorupţie şi al Direcţiei de Investigare a Infracţiunilor de Criminalitate Organizată şi Terorism se face pe o perioadă de 3 ani, cu posibilitatea reînvestirii o singură dată, în acelaşi mod, de către Secţia pentru procurori a Consiliului Superior al Magistraturii, la propunerea procurorului general al Parchetului de pe lângă Înalta Curte de Casaţie şi Justiţie, a procurorului-şef al Direcţiei Naţionale Anticorupţie sau a procurorului-şef al Direcţiei de Investigare a Infracţiunilor de Criminalitate Organizată şi Terorism, după caz, cu recomandarea conducătorului secţiei din cadrul Parchetului de pe lângă Înalta Curte de Casaţie şi Justiţie, Direcţiei Naţionale Anticorupţie sau Direcţiei de Investigare a Infracţiunilor de Criminalitate Organizată şi Terorism, unde urmează să fie numit procurorul”.</w:t>
      </w:r>
    </w:p>
    <w:p w14:paraId="7BB10217" w14:textId="40C5490A" w:rsidR="009E108E" w:rsidRPr="000F0D8B" w:rsidRDefault="009E108E" w:rsidP="00E47E71">
      <w:pPr>
        <w:spacing w:line="276" w:lineRule="auto"/>
        <w:ind w:right="48" w:firstLine="720"/>
        <w:jc w:val="both"/>
        <w:rPr>
          <w:rFonts w:asciiTheme="minorHAnsi" w:hAnsiTheme="minorHAnsi" w:cstheme="minorHAnsi"/>
          <w:i/>
          <w:sz w:val="26"/>
          <w:szCs w:val="26"/>
        </w:rPr>
      </w:pPr>
      <w:r w:rsidRPr="000F0D8B">
        <w:rPr>
          <w:rFonts w:asciiTheme="minorHAnsi" w:hAnsiTheme="minorHAnsi" w:cstheme="minorHAnsi"/>
          <w:sz w:val="26"/>
          <w:szCs w:val="26"/>
        </w:rPr>
        <w:t>Totodată, în conformitate cu dispoziţiile art. 150 alin. (2) și (3) din Legea nr. 303/2022 privind statutul judecătorilor și procurorilor, „numirea în alte funcţii de conducere decât cele prevăzute la alin. (1) din cadrul judecătoriilor, tribunalelor, tribunalelor specializate şi curţilor de apel şi al parchetelor de pe lângă acestea se face fără concurs sau examen, la propunerea preşedintelui instanţei sau a conducătorului parchetului, potrivit procedurii prevăzute de prezenta lege. Numirea în funcţii de conducere la judecătorii, tribunale, tribunale specializate şi curţi</w:t>
      </w:r>
      <w:r w:rsidR="007C7575">
        <w:rPr>
          <w:rFonts w:asciiTheme="minorHAnsi" w:hAnsiTheme="minorHAnsi" w:cstheme="minorHAnsi"/>
          <w:sz w:val="26"/>
          <w:szCs w:val="26"/>
        </w:rPr>
        <w:t>le</w:t>
      </w:r>
      <w:r w:rsidRPr="000F0D8B">
        <w:rPr>
          <w:rFonts w:asciiTheme="minorHAnsi" w:hAnsiTheme="minorHAnsi" w:cstheme="minorHAnsi"/>
          <w:sz w:val="26"/>
          <w:szCs w:val="26"/>
        </w:rPr>
        <w:t xml:space="preserve"> de apel, precum şi la parchetele de pe lângă acestea se face prin hotărâre a Secţiei pentru judecători, respectiv a Secţiei pentru procurori, pe o perioadă de 3 ani, cu posibilitatea reînvestirii, o singură dată, în condiţiile prevăzute la alin. (1) şi (2).”</w:t>
      </w:r>
    </w:p>
    <w:p w14:paraId="50AA14CE" w14:textId="296990F5" w:rsidR="009E108E" w:rsidRPr="000F0D8B" w:rsidRDefault="009E108E" w:rsidP="00E47E71">
      <w:pPr>
        <w:spacing w:line="276" w:lineRule="auto"/>
        <w:ind w:firstLine="708"/>
        <w:jc w:val="both"/>
        <w:rPr>
          <w:rFonts w:asciiTheme="minorHAnsi" w:hAnsiTheme="minorHAnsi" w:cstheme="minorHAnsi"/>
          <w:sz w:val="26"/>
          <w:szCs w:val="26"/>
        </w:rPr>
      </w:pPr>
      <w:bookmarkStart w:id="74" w:name="_Hlk152922844"/>
      <w:r w:rsidRPr="000F0D8B">
        <w:rPr>
          <w:rFonts w:asciiTheme="minorHAnsi" w:hAnsiTheme="minorHAnsi" w:cstheme="minorHAnsi"/>
          <w:sz w:val="26"/>
          <w:szCs w:val="26"/>
        </w:rPr>
        <w:t>În perioada ianuarie</w:t>
      </w:r>
      <w:r w:rsidR="00A53B50" w:rsidRPr="000F0D8B">
        <w:rPr>
          <w:rFonts w:asciiTheme="minorHAnsi" w:hAnsiTheme="minorHAnsi" w:cstheme="minorHAnsi"/>
          <w:sz w:val="26"/>
          <w:szCs w:val="26"/>
        </w:rPr>
        <w:t xml:space="preserve"> </w:t>
      </w:r>
      <w:r w:rsidR="006B197B">
        <w:rPr>
          <w:rFonts w:asciiTheme="minorHAnsi" w:hAnsiTheme="minorHAnsi" w:cstheme="minorHAnsi"/>
          <w:sz w:val="26"/>
          <w:szCs w:val="26"/>
        </w:rPr>
        <w:t>–</w:t>
      </w:r>
      <w:r w:rsidR="00A53B50" w:rsidRPr="000F0D8B">
        <w:rPr>
          <w:rFonts w:asciiTheme="minorHAnsi" w:hAnsiTheme="minorHAnsi" w:cstheme="minorHAnsi"/>
          <w:sz w:val="26"/>
          <w:szCs w:val="26"/>
        </w:rPr>
        <w:t xml:space="preserve"> </w:t>
      </w:r>
      <w:r w:rsidRPr="000F0D8B">
        <w:rPr>
          <w:rFonts w:asciiTheme="minorHAnsi" w:hAnsiTheme="minorHAnsi" w:cstheme="minorHAnsi"/>
          <w:sz w:val="26"/>
          <w:szCs w:val="26"/>
        </w:rPr>
        <w:t>22</w:t>
      </w:r>
      <w:r w:rsidR="006B197B">
        <w:rPr>
          <w:rFonts w:asciiTheme="minorHAnsi" w:hAnsiTheme="minorHAnsi" w:cstheme="minorHAnsi"/>
          <w:sz w:val="26"/>
          <w:szCs w:val="26"/>
        </w:rPr>
        <w:t xml:space="preserve"> octombrie </w:t>
      </w:r>
      <w:r w:rsidRPr="000F0D8B">
        <w:rPr>
          <w:rFonts w:asciiTheme="minorHAnsi" w:hAnsiTheme="minorHAnsi" w:cstheme="minorHAnsi"/>
          <w:sz w:val="26"/>
          <w:szCs w:val="26"/>
        </w:rPr>
        <w:t xml:space="preserve">2025, în temeiul dispoziţiilor art. 149 și art. 150 alin. </w:t>
      </w:r>
      <w:r w:rsidR="00E833EB">
        <w:rPr>
          <w:rFonts w:asciiTheme="minorHAnsi" w:hAnsiTheme="minorHAnsi" w:cstheme="minorHAnsi"/>
          <w:sz w:val="26"/>
          <w:szCs w:val="26"/>
        </w:rPr>
        <w:t>(</w:t>
      </w:r>
      <w:r w:rsidRPr="000F0D8B">
        <w:rPr>
          <w:rFonts w:asciiTheme="minorHAnsi" w:hAnsiTheme="minorHAnsi" w:cstheme="minorHAnsi"/>
          <w:sz w:val="26"/>
          <w:szCs w:val="26"/>
        </w:rPr>
        <w:t>2</w:t>
      </w:r>
      <w:r w:rsidR="00E833EB">
        <w:rPr>
          <w:rFonts w:asciiTheme="minorHAnsi" w:hAnsiTheme="minorHAnsi" w:cstheme="minorHAnsi"/>
          <w:sz w:val="26"/>
          <w:szCs w:val="26"/>
        </w:rPr>
        <w:t>)</w:t>
      </w:r>
      <w:r w:rsidR="00E164F7" w:rsidRPr="000F0D8B">
        <w:rPr>
          <w:rFonts w:asciiTheme="minorHAnsi" w:hAnsiTheme="minorHAnsi" w:cstheme="minorHAnsi"/>
          <w:sz w:val="26"/>
          <w:szCs w:val="26"/>
        </w:rPr>
        <w:t xml:space="preserve"> și</w:t>
      </w:r>
      <w:r w:rsidRPr="000F0D8B">
        <w:rPr>
          <w:rFonts w:asciiTheme="minorHAnsi" w:hAnsiTheme="minorHAnsi" w:cstheme="minorHAnsi"/>
          <w:sz w:val="26"/>
          <w:szCs w:val="26"/>
        </w:rPr>
        <w:t xml:space="preserve"> </w:t>
      </w:r>
      <w:r w:rsidR="00E833EB">
        <w:rPr>
          <w:rFonts w:asciiTheme="minorHAnsi" w:hAnsiTheme="minorHAnsi" w:cstheme="minorHAnsi"/>
          <w:sz w:val="26"/>
          <w:szCs w:val="26"/>
        </w:rPr>
        <w:t>(</w:t>
      </w:r>
      <w:r w:rsidRPr="000F0D8B">
        <w:rPr>
          <w:rFonts w:asciiTheme="minorHAnsi" w:hAnsiTheme="minorHAnsi" w:cstheme="minorHAnsi"/>
          <w:sz w:val="26"/>
          <w:szCs w:val="26"/>
        </w:rPr>
        <w:t>3</w:t>
      </w:r>
      <w:r w:rsidR="00E833EB">
        <w:rPr>
          <w:rFonts w:asciiTheme="minorHAnsi" w:hAnsiTheme="minorHAnsi" w:cstheme="minorHAnsi"/>
          <w:sz w:val="26"/>
          <w:szCs w:val="26"/>
        </w:rPr>
        <w:t>)</w:t>
      </w:r>
      <w:r w:rsidRPr="000F0D8B">
        <w:rPr>
          <w:rFonts w:asciiTheme="minorHAnsi" w:hAnsiTheme="minorHAnsi" w:cstheme="minorHAnsi"/>
          <w:sz w:val="26"/>
          <w:szCs w:val="26"/>
        </w:rPr>
        <w:t xml:space="preserve"> din Legea nr. 303/2022, Secţia pentru procurori a Consiliului Superior al Magistraturii a numit 101 procurori în funcţii de conducere.</w:t>
      </w:r>
    </w:p>
    <w:bookmarkEnd w:id="74"/>
    <w:p w14:paraId="4FC83AE5" w14:textId="77777777" w:rsidR="00715B32" w:rsidRPr="004A72CD" w:rsidRDefault="00715B32" w:rsidP="009E3AD8">
      <w:pPr>
        <w:spacing w:line="276" w:lineRule="auto"/>
        <w:ind w:firstLine="709"/>
        <w:jc w:val="both"/>
        <w:rPr>
          <w:rFonts w:asciiTheme="minorHAnsi" w:hAnsiTheme="minorHAnsi" w:cstheme="minorHAnsi"/>
          <w:b/>
          <w:sz w:val="26"/>
          <w:szCs w:val="26"/>
        </w:rPr>
      </w:pPr>
      <w:r w:rsidRPr="004A72CD">
        <w:rPr>
          <w:rFonts w:asciiTheme="minorHAnsi" w:hAnsiTheme="minorHAnsi" w:cstheme="minorHAnsi"/>
          <w:b/>
          <w:sz w:val="26"/>
          <w:szCs w:val="26"/>
        </w:rPr>
        <w:t>D.</w:t>
      </w:r>
      <w:r w:rsidRPr="004A72CD">
        <w:rPr>
          <w:rFonts w:asciiTheme="minorHAnsi" w:hAnsiTheme="minorHAnsi" w:cstheme="minorHAnsi"/>
          <w:sz w:val="26"/>
          <w:szCs w:val="26"/>
        </w:rPr>
        <w:t xml:space="preserve"> </w:t>
      </w:r>
      <w:r w:rsidRPr="004A72CD">
        <w:rPr>
          <w:rFonts w:asciiTheme="minorHAnsi" w:hAnsiTheme="minorHAnsi" w:cstheme="minorHAnsi"/>
          <w:b/>
          <w:sz w:val="26"/>
          <w:szCs w:val="26"/>
        </w:rPr>
        <w:t>Promovarea judecătorilor şi procurorilor în funcţii de execuţie</w:t>
      </w:r>
    </w:p>
    <w:p w14:paraId="4F883DDB" w14:textId="77777777" w:rsidR="00715B32" w:rsidRPr="00D26281" w:rsidRDefault="00715B32" w:rsidP="009E3AD8">
      <w:pPr>
        <w:keepNext/>
        <w:keepLines/>
        <w:spacing w:line="276" w:lineRule="auto"/>
        <w:ind w:firstLine="709"/>
        <w:jc w:val="both"/>
        <w:rPr>
          <w:rFonts w:asciiTheme="minorHAnsi" w:hAnsiTheme="minorHAnsi" w:cstheme="minorHAnsi"/>
          <w:b/>
          <w:color w:val="000000" w:themeColor="text1"/>
          <w:sz w:val="26"/>
          <w:szCs w:val="26"/>
        </w:rPr>
      </w:pPr>
      <w:r w:rsidRPr="00D26281">
        <w:rPr>
          <w:rFonts w:asciiTheme="minorHAnsi" w:hAnsiTheme="minorHAnsi" w:cstheme="minorHAnsi"/>
          <w:b/>
          <w:color w:val="000000" w:themeColor="text1"/>
          <w:sz w:val="26"/>
          <w:szCs w:val="26"/>
        </w:rPr>
        <w:t>D.1.</w:t>
      </w:r>
      <w:r w:rsidRPr="00D26281">
        <w:rPr>
          <w:rFonts w:asciiTheme="minorHAnsi" w:hAnsiTheme="minorHAnsi" w:cstheme="minorHAnsi"/>
          <w:color w:val="000000" w:themeColor="text1"/>
          <w:sz w:val="26"/>
          <w:szCs w:val="26"/>
        </w:rPr>
        <w:t xml:space="preserve"> </w:t>
      </w:r>
      <w:r w:rsidRPr="00D26281">
        <w:rPr>
          <w:rFonts w:asciiTheme="minorHAnsi" w:hAnsiTheme="minorHAnsi" w:cstheme="minorHAnsi"/>
          <w:b/>
          <w:color w:val="000000" w:themeColor="text1"/>
          <w:sz w:val="26"/>
          <w:szCs w:val="26"/>
        </w:rPr>
        <w:t xml:space="preserve">Promovarea judecătorilor </w:t>
      </w:r>
    </w:p>
    <w:p w14:paraId="38B9CC28" w14:textId="79DB7921" w:rsidR="00715B32" w:rsidRPr="00D26281" w:rsidRDefault="00715B32" w:rsidP="009E3AD8">
      <w:pPr>
        <w:spacing w:line="276" w:lineRule="auto"/>
        <w:ind w:firstLine="709"/>
        <w:jc w:val="both"/>
        <w:rPr>
          <w:rFonts w:asciiTheme="minorHAnsi" w:hAnsiTheme="minorHAnsi" w:cstheme="minorHAnsi"/>
          <w:color w:val="000000" w:themeColor="text1"/>
          <w:sz w:val="26"/>
          <w:szCs w:val="26"/>
        </w:rPr>
      </w:pPr>
      <w:r w:rsidRPr="00D26281">
        <w:rPr>
          <w:rFonts w:asciiTheme="minorHAnsi" w:hAnsiTheme="minorHAnsi" w:cstheme="minorHAnsi"/>
          <w:color w:val="000000" w:themeColor="text1"/>
          <w:sz w:val="26"/>
          <w:szCs w:val="26"/>
        </w:rPr>
        <w:t xml:space="preserve">În cursul anului 2025 a fost finalizat concursul de promovare efectivă în funcţii de execuţie în condiţiile art. 139 </w:t>
      </w:r>
      <w:r w:rsidR="00FD3A22">
        <w:rPr>
          <w:rFonts w:asciiTheme="minorHAnsi" w:hAnsiTheme="minorHAnsi" w:cstheme="minorHAnsi"/>
          <w:color w:val="000000" w:themeColor="text1"/>
          <w:sz w:val="26"/>
          <w:szCs w:val="26"/>
        </w:rPr>
        <w:t>–</w:t>
      </w:r>
      <w:r w:rsidRPr="00D26281">
        <w:rPr>
          <w:rFonts w:asciiTheme="minorHAnsi" w:hAnsiTheme="minorHAnsi" w:cstheme="minorHAnsi"/>
          <w:color w:val="000000" w:themeColor="text1"/>
          <w:sz w:val="26"/>
          <w:szCs w:val="26"/>
        </w:rPr>
        <w:t xml:space="preserve"> </w:t>
      </w:r>
      <w:r w:rsidR="00FD3A22">
        <w:rPr>
          <w:rFonts w:asciiTheme="minorHAnsi" w:hAnsiTheme="minorHAnsi" w:cstheme="minorHAnsi"/>
          <w:color w:val="000000" w:themeColor="text1"/>
          <w:sz w:val="26"/>
          <w:szCs w:val="26"/>
        </w:rPr>
        <w:t xml:space="preserve">art. </w:t>
      </w:r>
      <w:r w:rsidRPr="00D26281">
        <w:rPr>
          <w:rFonts w:asciiTheme="minorHAnsi" w:hAnsiTheme="minorHAnsi" w:cstheme="minorHAnsi"/>
          <w:color w:val="000000" w:themeColor="text1"/>
          <w:sz w:val="26"/>
          <w:szCs w:val="26"/>
        </w:rPr>
        <w:t>141 din Legea nr. 303/2022 privind statutul judecătorilor şi procurorilor organizat în perioada septembrie 2024 – februarie 2025, concurs aprobat prin Hotărârea Secţiei pentru judecători nr. 1554/05.09.2024 şi pentru care au fost alocate 30 de posturi la curţile de apel şi 412 posturi la tribunale.</w:t>
      </w:r>
    </w:p>
    <w:p w14:paraId="4AD9ECF4" w14:textId="03EC940A" w:rsidR="00715B32" w:rsidRPr="00D26281" w:rsidRDefault="00715B32" w:rsidP="009E3AD8">
      <w:pPr>
        <w:spacing w:line="276" w:lineRule="auto"/>
        <w:ind w:firstLine="709"/>
        <w:jc w:val="both"/>
        <w:rPr>
          <w:rFonts w:asciiTheme="minorHAnsi" w:hAnsiTheme="minorHAnsi" w:cstheme="minorHAnsi"/>
          <w:color w:val="000000" w:themeColor="text1"/>
          <w:sz w:val="26"/>
          <w:szCs w:val="26"/>
        </w:rPr>
      </w:pPr>
      <w:r w:rsidRPr="00D26281">
        <w:rPr>
          <w:rFonts w:asciiTheme="minorHAnsi" w:hAnsiTheme="minorHAnsi" w:cstheme="minorHAnsi"/>
          <w:color w:val="000000" w:themeColor="text1"/>
          <w:sz w:val="26"/>
          <w:szCs w:val="26"/>
        </w:rPr>
        <w:t xml:space="preserve">În urma acestui concurs au promovat 157 de judecători la tribunale şi 29 de judecători la curţile de apel, alţi 49 de judecători </w:t>
      </w:r>
      <w:r w:rsidR="00FD3A22">
        <w:rPr>
          <w:rFonts w:asciiTheme="minorHAnsi" w:hAnsiTheme="minorHAnsi" w:cstheme="minorHAnsi"/>
          <w:color w:val="000000" w:themeColor="text1"/>
          <w:sz w:val="26"/>
          <w:szCs w:val="26"/>
        </w:rPr>
        <w:t xml:space="preserve">promovând </w:t>
      </w:r>
      <w:r w:rsidRPr="00D26281">
        <w:rPr>
          <w:rFonts w:asciiTheme="minorHAnsi" w:hAnsiTheme="minorHAnsi" w:cstheme="minorHAnsi"/>
          <w:color w:val="000000" w:themeColor="text1"/>
          <w:sz w:val="26"/>
          <w:szCs w:val="26"/>
        </w:rPr>
        <w:t>ca urmare a valorificării rezultatelor acestui concurs (25 la tribunale şi 24 la curţile de apel).</w:t>
      </w:r>
    </w:p>
    <w:p w14:paraId="25641EFD" w14:textId="626F1734" w:rsidR="00715B32" w:rsidRPr="00132694" w:rsidRDefault="00715B32" w:rsidP="009E3AD8">
      <w:pPr>
        <w:spacing w:line="276" w:lineRule="auto"/>
        <w:ind w:firstLine="709"/>
        <w:jc w:val="both"/>
        <w:rPr>
          <w:rFonts w:asciiTheme="minorHAnsi" w:hAnsiTheme="minorHAnsi" w:cstheme="minorHAnsi"/>
          <w:sz w:val="26"/>
          <w:szCs w:val="26"/>
        </w:rPr>
      </w:pPr>
      <w:r w:rsidRPr="00D26281">
        <w:rPr>
          <w:rFonts w:asciiTheme="minorHAnsi" w:hAnsiTheme="minorHAnsi" w:cstheme="minorHAnsi"/>
          <w:color w:val="000000" w:themeColor="text1"/>
          <w:sz w:val="26"/>
          <w:szCs w:val="26"/>
        </w:rPr>
        <w:lastRenderedPageBreak/>
        <w:t xml:space="preserve">De asemenea, în perioada februarie – iunie 2025 s-a organizat concursul de promovare efectivă în funcţii de execuţie în condiţiile art. 139 </w:t>
      </w:r>
      <w:r w:rsidR="00FD3A22">
        <w:rPr>
          <w:rFonts w:asciiTheme="minorHAnsi" w:hAnsiTheme="minorHAnsi" w:cstheme="minorHAnsi"/>
          <w:color w:val="000000" w:themeColor="text1"/>
          <w:sz w:val="26"/>
          <w:szCs w:val="26"/>
        </w:rPr>
        <w:t>–</w:t>
      </w:r>
      <w:r w:rsidRPr="00D26281">
        <w:rPr>
          <w:rFonts w:asciiTheme="minorHAnsi" w:hAnsiTheme="minorHAnsi" w:cstheme="minorHAnsi"/>
          <w:color w:val="000000" w:themeColor="text1"/>
          <w:sz w:val="26"/>
          <w:szCs w:val="26"/>
        </w:rPr>
        <w:t xml:space="preserve"> </w:t>
      </w:r>
      <w:r w:rsidR="00FD3A22">
        <w:rPr>
          <w:rFonts w:asciiTheme="minorHAnsi" w:hAnsiTheme="minorHAnsi" w:cstheme="minorHAnsi"/>
          <w:color w:val="000000" w:themeColor="text1"/>
          <w:sz w:val="26"/>
          <w:szCs w:val="26"/>
        </w:rPr>
        <w:t xml:space="preserve">art. </w:t>
      </w:r>
      <w:r w:rsidRPr="00D26281">
        <w:rPr>
          <w:rFonts w:asciiTheme="minorHAnsi" w:hAnsiTheme="minorHAnsi" w:cstheme="minorHAnsi"/>
          <w:color w:val="000000" w:themeColor="text1"/>
          <w:sz w:val="26"/>
          <w:szCs w:val="26"/>
        </w:rPr>
        <w:t xml:space="preserve">141 din Legea nr. 303/2022 privind statutul judecătorilor şi procurorilor, aprobat prin Hotărârea Secţiei pentru judecători nr. 275/18.02.2025. La acest concurs au fost alocate 67 de posturi la nivelul tribunalelor, fiind ocupate 43 de posturi. De asemenea, </w:t>
      </w:r>
      <w:r w:rsidRPr="00132694">
        <w:rPr>
          <w:rFonts w:asciiTheme="minorHAnsi" w:hAnsiTheme="minorHAnsi" w:cstheme="minorHAnsi"/>
          <w:sz w:val="26"/>
          <w:szCs w:val="26"/>
        </w:rPr>
        <w:t xml:space="preserve">alţi </w:t>
      </w:r>
      <w:r w:rsidR="00543080" w:rsidRPr="00132694">
        <w:rPr>
          <w:rFonts w:asciiTheme="minorHAnsi" w:hAnsiTheme="minorHAnsi" w:cstheme="minorHAnsi"/>
          <w:sz w:val="26"/>
          <w:szCs w:val="26"/>
        </w:rPr>
        <w:t>11</w:t>
      </w:r>
      <w:r w:rsidRPr="00132694">
        <w:rPr>
          <w:rFonts w:asciiTheme="minorHAnsi" w:hAnsiTheme="minorHAnsi" w:cstheme="minorHAnsi"/>
          <w:sz w:val="26"/>
          <w:szCs w:val="26"/>
        </w:rPr>
        <w:t xml:space="preserve"> judecători au promovat în temeiul art. 141 alin. (6) din Legea nr. 303/2022, în prezent fiind încă în termen de valorificare a rezultatelor acestui concurs.</w:t>
      </w:r>
    </w:p>
    <w:p w14:paraId="0D059B4B" w14:textId="38C221E4" w:rsidR="00715B32" w:rsidRPr="00132694" w:rsidRDefault="00715B32" w:rsidP="009E3AD8">
      <w:pPr>
        <w:spacing w:line="276" w:lineRule="auto"/>
        <w:ind w:firstLine="709"/>
        <w:jc w:val="both"/>
        <w:rPr>
          <w:rFonts w:asciiTheme="minorHAnsi" w:hAnsiTheme="minorHAnsi" w:cstheme="minorHAnsi"/>
          <w:sz w:val="26"/>
          <w:szCs w:val="26"/>
        </w:rPr>
      </w:pPr>
      <w:r w:rsidRPr="00132694">
        <w:rPr>
          <w:rFonts w:asciiTheme="minorHAnsi" w:hAnsiTheme="minorHAnsi" w:cstheme="minorHAnsi"/>
          <w:sz w:val="26"/>
          <w:szCs w:val="26"/>
        </w:rPr>
        <w:t xml:space="preserve">La data de 11 septembrie 2025 a fost anunţat un nou concurs de promovare efectivă în funcţii de execuţie pentru ocuparea a </w:t>
      </w:r>
      <w:r w:rsidR="00F44871" w:rsidRPr="00132694">
        <w:rPr>
          <w:rFonts w:asciiTheme="minorHAnsi" w:hAnsiTheme="minorHAnsi" w:cstheme="minorHAnsi"/>
          <w:sz w:val="26"/>
          <w:szCs w:val="26"/>
        </w:rPr>
        <w:t>43</w:t>
      </w:r>
      <w:r w:rsidRPr="00132694">
        <w:rPr>
          <w:rFonts w:asciiTheme="minorHAnsi" w:hAnsiTheme="minorHAnsi" w:cstheme="minorHAnsi"/>
          <w:sz w:val="26"/>
          <w:szCs w:val="26"/>
        </w:rPr>
        <w:t xml:space="preserve"> de posturi la nivelul curţilor de apel, concurs aprobat prin Hotătârea Secţiei pentru judecători nr. 1939/10.09.2025</w:t>
      </w:r>
      <w:r w:rsidR="00F44871" w:rsidRPr="00132694">
        <w:rPr>
          <w:rFonts w:asciiTheme="minorHAnsi" w:hAnsiTheme="minorHAnsi" w:cstheme="minorHAnsi"/>
          <w:sz w:val="26"/>
          <w:szCs w:val="26"/>
        </w:rPr>
        <w:t>,</w:t>
      </w:r>
      <w:r w:rsidR="00F44871" w:rsidRPr="00132694">
        <w:t xml:space="preserve"> </w:t>
      </w:r>
      <w:r w:rsidR="00F44871" w:rsidRPr="00132694">
        <w:rPr>
          <w:rFonts w:asciiTheme="minorHAnsi" w:hAnsiTheme="minorHAnsi" w:cstheme="minorHAnsi"/>
          <w:sz w:val="26"/>
          <w:szCs w:val="26"/>
        </w:rPr>
        <w:t>în urma căruia au fost promovaţi 37 de judecători, în prezent aflându-ne în termen de valorificare a rezultatelor acestui concurs</w:t>
      </w:r>
      <w:r w:rsidR="00132694" w:rsidRPr="00132694">
        <w:rPr>
          <w:rFonts w:asciiTheme="minorHAnsi" w:hAnsiTheme="minorHAnsi" w:cstheme="minorHAnsi"/>
          <w:sz w:val="26"/>
          <w:szCs w:val="26"/>
        </w:rPr>
        <w:t>.</w:t>
      </w:r>
    </w:p>
    <w:p w14:paraId="61A4300E" w14:textId="533192E4" w:rsidR="00C55610" w:rsidRPr="00132694" w:rsidRDefault="00C55610" w:rsidP="00C55610">
      <w:pPr>
        <w:spacing w:line="276" w:lineRule="auto"/>
        <w:ind w:firstLine="709"/>
        <w:jc w:val="both"/>
        <w:rPr>
          <w:rFonts w:asciiTheme="minorHAnsi" w:hAnsiTheme="minorHAnsi" w:cstheme="minorHAnsi"/>
          <w:sz w:val="26"/>
          <w:szCs w:val="26"/>
        </w:rPr>
      </w:pPr>
      <w:r w:rsidRPr="00132694">
        <w:rPr>
          <w:rFonts w:asciiTheme="minorHAnsi" w:hAnsiTheme="minorHAnsi" w:cstheme="minorHAnsi"/>
          <w:sz w:val="26"/>
          <w:szCs w:val="26"/>
        </w:rPr>
        <w:t>Totodată, la data de 12 decembrie 2025 a fost declanţat un concurs de promovare efectivă în funcţii de execuţie la nivelul tribunalelor, concurs pentru care au fost alocate 394</w:t>
      </w:r>
      <w:r w:rsidR="004C4D02" w:rsidRPr="00132694">
        <w:rPr>
          <w:rFonts w:asciiTheme="minorHAnsi" w:hAnsiTheme="minorHAnsi" w:cstheme="minorHAnsi"/>
          <w:sz w:val="26"/>
          <w:szCs w:val="26"/>
        </w:rPr>
        <w:t xml:space="preserve"> de</w:t>
      </w:r>
      <w:r w:rsidRPr="00132694">
        <w:rPr>
          <w:rFonts w:asciiTheme="minorHAnsi" w:hAnsiTheme="minorHAnsi" w:cstheme="minorHAnsi"/>
          <w:sz w:val="26"/>
          <w:szCs w:val="26"/>
        </w:rPr>
        <w:t xml:space="preserve"> posturi de judecător, perioada de înscriere expirând la data de 29 decembrie 2025.</w:t>
      </w:r>
    </w:p>
    <w:p w14:paraId="709F1537" w14:textId="77777777" w:rsidR="00715B32" w:rsidRPr="004A72CD" w:rsidRDefault="00715B32" w:rsidP="009E3AD8">
      <w:pPr>
        <w:widowControl w:val="0"/>
        <w:spacing w:line="276" w:lineRule="auto"/>
        <w:ind w:firstLine="709"/>
        <w:jc w:val="both"/>
        <w:rPr>
          <w:rFonts w:asciiTheme="minorHAnsi" w:hAnsiTheme="minorHAnsi" w:cstheme="minorHAnsi"/>
          <w:b/>
          <w:sz w:val="26"/>
          <w:szCs w:val="26"/>
        </w:rPr>
      </w:pPr>
      <w:r w:rsidRPr="004A72CD">
        <w:rPr>
          <w:rFonts w:asciiTheme="minorHAnsi" w:hAnsiTheme="minorHAnsi" w:cstheme="minorHAnsi"/>
          <w:b/>
          <w:sz w:val="26"/>
          <w:szCs w:val="26"/>
        </w:rPr>
        <w:t>D.2. Promovarea în funcţia de judecător la Înalta Curte de Casaţie şi Justiţie</w:t>
      </w:r>
    </w:p>
    <w:p w14:paraId="21FDC63C" w14:textId="362A1317" w:rsidR="00715B32" w:rsidRPr="00955728" w:rsidRDefault="00715B32" w:rsidP="009E3AD8">
      <w:pPr>
        <w:widowControl w:val="0"/>
        <w:spacing w:line="276" w:lineRule="auto"/>
        <w:ind w:firstLine="709"/>
        <w:jc w:val="both"/>
        <w:rPr>
          <w:rFonts w:asciiTheme="minorHAnsi" w:hAnsiTheme="minorHAnsi" w:cstheme="minorHAnsi"/>
          <w:sz w:val="26"/>
          <w:szCs w:val="26"/>
        </w:rPr>
      </w:pPr>
      <w:r w:rsidRPr="00955728">
        <w:rPr>
          <w:rFonts w:asciiTheme="minorHAnsi" w:hAnsiTheme="minorHAnsi" w:cstheme="minorHAnsi"/>
          <w:sz w:val="26"/>
          <w:szCs w:val="26"/>
        </w:rPr>
        <w:t xml:space="preserve">Secţia pentru judecători a dispus în şedinţa din data de 21 ianuarie 2025  promovarea a 11 judecători la instanţa supremă, începând cu data de </w:t>
      </w:r>
      <w:r w:rsidR="005A6BE0">
        <w:rPr>
          <w:rFonts w:asciiTheme="minorHAnsi" w:hAnsiTheme="minorHAnsi" w:cstheme="minorHAnsi"/>
          <w:sz w:val="26"/>
          <w:szCs w:val="26"/>
        </w:rPr>
        <w:t>0</w:t>
      </w:r>
      <w:r w:rsidRPr="00955728">
        <w:rPr>
          <w:rFonts w:asciiTheme="minorHAnsi" w:hAnsiTheme="minorHAnsi" w:cstheme="minorHAnsi"/>
          <w:sz w:val="26"/>
          <w:szCs w:val="26"/>
        </w:rPr>
        <w:t>1 februarie 2025, ca urmare a finalizării concursului desfăşurat în perioada septembrie 2024 - ianuarie 2025, fiind ocupate</w:t>
      </w:r>
      <w:r w:rsidRPr="00955728">
        <w:rPr>
          <w:rFonts w:asciiTheme="minorHAnsi" w:hAnsiTheme="minorHAnsi" w:cstheme="minorHAnsi"/>
          <w:bCs/>
          <w:sz w:val="26"/>
          <w:szCs w:val="26"/>
        </w:rPr>
        <w:t xml:space="preserve"> 2 posturi la Secţia I civilă, 2 posturi la Secţia a II-a civilă, 6 posturi la Secţia de contencios administrativ şi fiscal  și 1 post la Secţia penală</w:t>
      </w:r>
      <w:r w:rsidRPr="00955728">
        <w:rPr>
          <w:rFonts w:asciiTheme="minorHAnsi" w:hAnsiTheme="minorHAnsi" w:cstheme="minorHAnsi"/>
          <w:sz w:val="26"/>
          <w:szCs w:val="26"/>
        </w:rPr>
        <w:t>.</w:t>
      </w:r>
    </w:p>
    <w:p w14:paraId="1FAAB65A" w14:textId="64670527" w:rsidR="00715B32" w:rsidRPr="00AE0A39" w:rsidRDefault="00715B32" w:rsidP="00D56174">
      <w:pPr>
        <w:widowControl w:val="0"/>
        <w:spacing w:line="276" w:lineRule="auto"/>
        <w:ind w:firstLine="709"/>
        <w:jc w:val="both"/>
        <w:rPr>
          <w:rFonts w:asciiTheme="minorHAnsi" w:hAnsiTheme="minorHAnsi" w:cstheme="minorHAnsi"/>
          <w:sz w:val="26"/>
          <w:szCs w:val="26"/>
        </w:rPr>
      </w:pPr>
      <w:r w:rsidRPr="00AE0A39">
        <w:rPr>
          <w:rFonts w:asciiTheme="minorHAnsi" w:hAnsiTheme="minorHAnsi" w:cstheme="minorHAnsi"/>
          <w:sz w:val="26"/>
          <w:szCs w:val="26"/>
        </w:rPr>
        <w:t>În</w:t>
      </w:r>
      <w:r w:rsidR="002F6DF0" w:rsidRPr="00AE0A39">
        <w:rPr>
          <w:rFonts w:asciiTheme="minorHAnsi" w:hAnsiTheme="minorHAnsi" w:cstheme="minorHAnsi"/>
          <w:sz w:val="26"/>
          <w:szCs w:val="26"/>
        </w:rPr>
        <w:t xml:space="preserve"> perioada august – noiembrie 2025 s-a derulat </w:t>
      </w:r>
      <w:r w:rsidRPr="00AE0A39">
        <w:rPr>
          <w:rFonts w:asciiTheme="minorHAnsi" w:hAnsiTheme="minorHAnsi" w:cstheme="minorHAnsi"/>
          <w:sz w:val="26"/>
          <w:szCs w:val="26"/>
        </w:rPr>
        <w:t>un nou concurs de promovare în funcția de judecător la Înalta Curte de Casaţie şi Justiţie, aprobat prin Hotărârea</w:t>
      </w:r>
      <w:r w:rsidR="00A30125" w:rsidRPr="00AE0A39">
        <w:rPr>
          <w:rFonts w:asciiTheme="minorHAnsi" w:hAnsiTheme="minorHAnsi" w:cstheme="minorHAnsi"/>
          <w:sz w:val="26"/>
          <w:szCs w:val="26"/>
        </w:rPr>
        <w:t xml:space="preserve"> n</w:t>
      </w:r>
      <w:r w:rsidRPr="00AE0A39">
        <w:rPr>
          <w:rFonts w:asciiTheme="minorHAnsi" w:hAnsiTheme="minorHAnsi" w:cstheme="minorHAnsi"/>
          <w:sz w:val="26"/>
          <w:szCs w:val="26"/>
        </w:rPr>
        <w:t>r. 1878/21.08.2025</w:t>
      </w:r>
      <w:r w:rsidR="00FD3A22" w:rsidRPr="00AE0A39">
        <w:rPr>
          <w:rFonts w:asciiTheme="minorHAnsi" w:hAnsiTheme="minorHAnsi" w:cstheme="minorHAnsi"/>
          <w:sz w:val="26"/>
          <w:szCs w:val="26"/>
        </w:rPr>
        <w:t xml:space="preserve"> </w:t>
      </w:r>
      <w:r w:rsidR="00A30125" w:rsidRPr="00AE0A39">
        <w:rPr>
          <w:rFonts w:asciiTheme="minorHAnsi" w:hAnsiTheme="minorHAnsi" w:cstheme="minorHAnsi"/>
          <w:sz w:val="26"/>
          <w:szCs w:val="26"/>
        </w:rPr>
        <w:t>a Secţiei pentru judecători</w:t>
      </w:r>
      <w:r w:rsidRPr="00AE0A39">
        <w:rPr>
          <w:rFonts w:asciiTheme="minorHAnsi" w:hAnsiTheme="minorHAnsi" w:cstheme="minorHAnsi"/>
          <w:sz w:val="26"/>
          <w:szCs w:val="26"/>
        </w:rPr>
        <w:t xml:space="preserve">. Prin aceeași hotărâre, Secția pentru judecători a stabilit alocarea unui număr de 15 posturi de judecător pentru concurs, inclusiv cu repartizarea pe secții a </w:t>
      </w:r>
      <w:r w:rsidR="00FD3A22" w:rsidRPr="00AE0A39">
        <w:rPr>
          <w:rFonts w:asciiTheme="minorHAnsi" w:hAnsiTheme="minorHAnsi" w:cstheme="minorHAnsi"/>
          <w:sz w:val="26"/>
          <w:szCs w:val="26"/>
        </w:rPr>
        <w:t>posturilor</w:t>
      </w:r>
      <w:r w:rsidRPr="00AE0A39">
        <w:rPr>
          <w:rFonts w:asciiTheme="minorHAnsi" w:hAnsiTheme="minorHAnsi" w:cstheme="minorHAnsi"/>
          <w:sz w:val="26"/>
          <w:szCs w:val="26"/>
        </w:rPr>
        <w:t xml:space="preserve">, cu precizarea specializărilor la care se poate susține concursul, în funcție de secțiile instanței supreme, conform art. 108 alin. (3) și art. 109 alin. (2) din Legea nr. 303/2022 privind statutul judecătorilor și procurorilor, cu modificările şi completările ulterioare, după cum urmează: la Secția I civilă (specializarea civil) - 2 posturi, la Secția penală (specializarea penal) - 8 posturi și la Secția de contencios administrativ și fiscal (specializarea contencios administrativ și fiscal) - 5 posturi. </w:t>
      </w:r>
      <w:r w:rsidR="002F6DF0" w:rsidRPr="00AE0A39">
        <w:rPr>
          <w:rFonts w:asciiTheme="minorHAnsi" w:hAnsiTheme="minorHAnsi" w:cstheme="minorHAnsi"/>
          <w:sz w:val="26"/>
          <w:szCs w:val="26"/>
        </w:rPr>
        <w:t>În urma validării rezultatelor concursului prin Hotărârea nr. 2683/20.11.2025</w:t>
      </w:r>
      <w:r w:rsidR="00D56174" w:rsidRPr="00AE0A39">
        <w:rPr>
          <w:rFonts w:asciiTheme="minorHAnsi" w:hAnsiTheme="minorHAnsi" w:cstheme="minorHAnsi"/>
          <w:sz w:val="26"/>
          <w:szCs w:val="26"/>
        </w:rPr>
        <w:t xml:space="preserve"> a Secţiei pentru judecători</w:t>
      </w:r>
      <w:r w:rsidR="002F6DF0" w:rsidRPr="00AE0A39">
        <w:rPr>
          <w:rFonts w:asciiTheme="minorHAnsi" w:hAnsiTheme="minorHAnsi" w:cstheme="minorHAnsi"/>
          <w:sz w:val="26"/>
          <w:szCs w:val="26"/>
        </w:rPr>
        <w:t>, au promovat 13 judecători la Înalta Curte de Casaţie şi Justiţie,</w:t>
      </w:r>
      <w:r w:rsidR="00D56174" w:rsidRPr="00AE0A39">
        <w:rPr>
          <w:rFonts w:asciiTheme="minorHAnsi" w:hAnsiTheme="minorHAnsi" w:cstheme="minorHAnsi"/>
          <w:sz w:val="26"/>
          <w:szCs w:val="26"/>
        </w:rPr>
        <w:t xml:space="preserve"> începând cu data de 01 decembrie 2025,</w:t>
      </w:r>
      <w:r w:rsidR="002F6DF0" w:rsidRPr="00AE0A39">
        <w:rPr>
          <w:rFonts w:asciiTheme="minorHAnsi" w:hAnsiTheme="minorHAnsi" w:cstheme="minorHAnsi"/>
          <w:sz w:val="26"/>
          <w:szCs w:val="26"/>
        </w:rPr>
        <w:t xml:space="preserve"> fiind astfel ocupate 7 posturi la Secţia penală, 4 posturi la Secţia de contencios adminsitrativ şi fiscal şi 1 post la Secţia civilă</w:t>
      </w:r>
      <w:r w:rsidR="00D56174" w:rsidRPr="00AE0A39">
        <w:rPr>
          <w:rFonts w:asciiTheme="minorHAnsi" w:hAnsiTheme="minorHAnsi" w:cstheme="minorHAnsi"/>
          <w:sz w:val="26"/>
          <w:szCs w:val="26"/>
        </w:rPr>
        <w:t>.</w:t>
      </w:r>
    </w:p>
    <w:p w14:paraId="113A55E7" w14:textId="77777777" w:rsidR="009E108E" w:rsidRPr="000F0D8B" w:rsidRDefault="009E108E" w:rsidP="009E3AD8">
      <w:pPr>
        <w:tabs>
          <w:tab w:val="left" w:pos="709"/>
        </w:tabs>
        <w:spacing w:line="276" w:lineRule="auto"/>
        <w:jc w:val="both"/>
        <w:rPr>
          <w:rFonts w:asciiTheme="minorHAnsi" w:hAnsiTheme="minorHAnsi" w:cstheme="minorHAnsi"/>
          <w:sz w:val="26"/>
          <w:szCs w:val="26"/>
        </w:rPr>
      </w:pPr>
      <w:r w:rsidRPr="000F0D8B">
        <w:rPr>
          <w:rFonts w:asciiTheme="minorHAnsi" w:hAnsiTheme="minorHAnsi" w:cstheme="minorHAnsi"/>
          <w:sz w:val="26"/>
          <w:szCs w:val="26"/>
        </w:rPr>
        <w:tab/>
      </w:r>
      <w:r w:rsidRPr="000F0D8B">
        <w:rPr>
          <w:rFonts w:asciiTheme="minorHAnsi" w:hAnsiTheme="minorHAnsi" w:cstheme="minorHAnsi"/>
          <w:b/>
          <w:sz w:val="26"/>
          <w:szCs w:val="26"/>
        </w:rPr>
        <w:t>D.3</w:t>
      </w:r>
      <w:r w:rsidRPr="000F0D8B">
        <w:rPr>
          <w:rFonts w:asciiTheme="minorHAnsi" w:hAnsiTheme="minorHAnsi" w:cstheme="minorHAnsi"/>
          <w:sz w:val="26"/>
          <w:szCs w:val="26"/>
        </w:rPr>
        <w:t xml:space="preserve">. </w:t>
      </w:r>
      <w:r w:rsidRPr="000F0D8B">
        <w:rPr>
          <w:rFonts w:asciiTheme="minorHAnsi" w:hAnsiTheme="minorHAnsi" w:cstheme="minorHAnsi"/>
          <w:b/>
          <w:sz w:val="26"/>
          <w:szCs w:val="26"/>
        </w:rPr>
        <w:t>Promovarea procurorilor</w:t>
      </w:r>
    </w:p>
    <w:p w14:paraId="2BFBFB60" w14:textId="5E19FA47" w:rsidR="00EC2581" w:rsidRPr="00132694" w:rsidRDefault="009E108E" w:rsidP="00EC2581">
      <w:pPr>
        <w:tabs>
          <w:tab w:val="left" w:pos="709"/>
        </w:tabs>
        <w:jc w:val="both"/>
        <w:rPr>
          <w:rFonts w:asciiTheme="minorHAnsi" w:hAnsiTheme="minorHAnsi" w:cstheme="minorHAnsi"/>
          <w:sz w:val="26"/>
          <w:szCs w:val="26"/>
        </w:rPr>
      </w:pPr>
      <w:r w:rsidRPr="000F0D8B">
        <w:rPr>
          <w:rFonts w:asciiTheme="minorHAnsi" w:hAnsiTheme="minorHAnsi" w:cstheme="minorHAnsi"/>
          <w:sz w:val="26"/>
          <w:szCs w:val="26"/>
        </w:rPr>
        <w:tab/>
        <w:t>În perioada martie</w:t>
      </w:r>
      <w:r w:rsidR="00E9729A" w:rsidRPr="000F0D8B">
        <w:rPr>
          <w:rFonts w:asciiTheme="minorHAnsi" w:hAnsiTheme="minorHAnsi" w:cstheme="minorHAnsi"/>
          <w:sz w:val="26"/>
          <w:szCs w:val="26"/>
        </w:rPr>
        <w:t xml:space="preserve"> </w:t>
      </w:r>
      <w:r w:rsidRPr="000F0D8B">
        <w:rPr>
          <w:rFonts w:asciiTheme="minorHAnsi" w:hAnsiTheme="minorHAnsi" w:cstheme="minorHAnsi"/>
          <w:sz w:val="26"/>
          <w:szCs w:val="26"/>
        </w:rPr>
        <w:t>-</w:t>
      </w:r>
      <w:r w:rsidR="00E9729A" w:rsidRPr="000F0D8B">
        <w:rPr>
          <w:rFonts w:asciiTheme="minorHAnsi" w:hAnsiTheme="minorHAnsi" w:cstheme="minorHAnsi"/>
          <w:sz w:val="26"/>
          <w:szCs w:val="26"/>
        </w:rPr>
        <w:t xml:space="preserve"> </w:t>
      </w:r>
      <w:r w:rsidRPr="000F0D8B">
        <w:rPr>
          <w:rFonts w:asciiTheme="minorHAnsi" w:hAnsiTheme="minorHAnsi" w:cstheme="minorHAnsi"/>
          <w:sz w:val="26"/>
          <w:szCs w:val="26"/>
        </w:rPr>
        <w:t xml:space="preserve">septembrie 2025 s-a desfășurat concursul de promovare </w:t>
      </w:r>
      <w:r w:rsidR="00FD3A22">
        <w:rPr>
          <w:rFonts w:asciiTheme="minorHAnsi" w:hAnsiTheme="minorHAnsi" w:cstheme="minorHAnsi"/>
          <w:sz w:val="26"/>
          <w:szCs w:val="26"/>
        </w:rPr>
        <w:t xml:space="preserve">efectivă </w:t>
      </w:r>
      <w:r w:rsidRPr="000F0D8B">
        <w:rPr>
          <w:rFonts w:asciiTheme="minorHAnsi" w:hAnsiTheme="minorHAnsi" w:cstheme="minorHAnsi"/>
          <w:sz w:val="26"/>
          <w:szCs w:val="26"/>
        </w:rPr>
        <w:t>în funcţii de execuţie a procurorilor.</w:t>
      </w:r>
      <w:r w:rsidR="004F1311">
        <w:rPr>
          <w:rFonts w:asciiTheme="minorHAnsi" w:hAnsiTheme="minorHAnsi" w:cstheme="minorHAnsi"/>
          <w:sz w:val="26"/>
          <w:szCs w:val="26"/>
        </w:rPr>
        <w:t xml:space="preserve"> </w:t>
      </w:r>
      <w:r w:rsidRPr="000F0D8B">
        <w:rPr>
          <w:rFonts w:asciiTheme="minorHAnsi" w:hAnsiTheme="minorHAnsi" w:cstheme="minorHAnsi"/>
          <w:sz w:val="26"/>
          <w:szCs w:val="26"/>
        </w:rPr>
        <w:t>Astfel,</w:t>
      </w:r>
      <w:r w:rsidR="004F1311">
        <w:rPr>
          <w:rFonts w:asciiTheme="minorHAnsi" w:hAnsiTheme="minorHAnsi" w:cstheme="minorHAnsi"/>
          <w:sz w:val="26"/>
          <w:szCs w:val="26"/>
        </w:rPr>
        <w:t xml:space="preserve"> </w:t>
      </w:r>
      <w:r w:rsidRPr="000F0D8B">
        <w:rPr>
          <w:rFonts w:asciiTheme="minorHAnsi" w:hAnsiTheme="minorHAnsi" w:cstheme="minorHAnsi"/>
          <w:sz w:val="26"/>
          <w:szCs w:val="26"/>
        </w:rPr>
        <w:t>prin Hotărârea Secției pentru procurori nr. 207/26.03.2025</w:t>
      </w:r>
      <w:r w:rsidR="00FD3A22">
        <w:rPr>
          <w:rFonts w:asciiTheme="minorHAnsi" w:hAnsiTheme="minorHAnsi" w:cstheme="minorHAnsi"/>
          <w:sz w:val="26"/>
          <w:szCs w:val="26"/>
        </w:rPr>
        <w:t xml:space="preserve"> </w:t>
      </w:r>
      <w:r w:rsidRPr="000F0D8B">
        <w:rPr>
          <w:rFonts w:asciiTheme="minorHAnsi" w:hAnsiTheme="minorHAnsi" w:cstheme="minorHAnsi"/>
          <w:sz w:val="26"/>
          <w:szCs w:val="26"/>
        </w:rPr>
        <w:t>a fost aprobată organizarea concursului de promovare efectivă în funcții de execuție a procurorilor pentru un număr de 131 de posturi. În urma finalizării acestui concurs au promovat efectiv la unitățile de parchet superioare 63 de procurori.</w:t>
      </w:r>
      <w:r w:rsidR="00EC2581" w:rsidRPr="00EC2581">
        <w:rPr>
          <w:rFonts w:asciiTheme="minorHAnsi" w:hAnsiTheme="minorHAnsi" w:cstheme="minorHAnsi"/>
          <w:color w:val="EE0000"/>
          <w:sz w:val="26"/>
          <w:szCs w:val="26"/>
        </w:rPr>
        <w:t xml:space="preserve"> </w:t>
      </w:r>
      <w:r w:rsidR="00EC2581" w:rsidRPr="00132694">
        <w:rPr>
          <w:rFonts w:asciiTheme="minorHAnsi" w:hAnsiTheme="minorHAnsi" w:cstheme="minorHAnsi"/>
          <w:sz w:val="26"/>
          <w:szCs w:val="26"/>
        </w:rPr>
        <w:t>Totodată, în ședința din data de 16</w:t>
      </w:r>
      <w:r w:rsidR="00504360" w:rsidRPr="00132694">
        <w:rPr>
          <w:rFonts w:asciiTheme="minorHAnsi" w:hAnsiTheme="minorHAnsi" w:cstheme="minorHAnsi"/>
          <w:sz w:val="26"/>
          <w:szCs w:val="26"/>
        </w:rPr>
        <w:t xml:space="preserve"> decembrie </w:t>
      </w:r>
      <w:r w:rsidR="00EC2581" w:rsidRPr="00132694">
        <w:rPr>
          <w:rFonts w:asciiTheme="minorHAnsi" w:hAnsiTheme="minorHAnsi" w:cstheme="minorHAnsi"/>
          <w:sz w:val="26"/>
          <w:szCs w:val="26"/>
        </w:rPr>
        <w:t xml:space="preserve">2025, Secția pentru procurori a decis promovarea efectivă a 13 procurori, prin valorificarea rezultatelor obținute la concurs. </w:t>
      </w:r>
    </w:p>
    <w:p w14:paraId="2DE655D3" w14:textId="1BF51C0D" w:rsidR="009E108E" w:rsidRPr="000F0D8B" w:rsidRDefault="009E108E" w:rsidP="009E3AD8">
      <w:pPr>
        <w:tabs>
          <w:tab w:val="left" w:pos="709"/>
        </w:tabs>
        <w:spacing w:line="276" w:lineRule="auto"/>
        <w:jc w:val="both"/>
        <w:rPr>
          <w:rFonts w:asciiTheme="minorHAnsi" w:hAnsiTheme="minorHAnsi" w:cstheme="minorHAnsi"/>
          <w:b/>
          <w:sz w:val="26"/>
          <w:szCs w:val="26"/>
        </w:rPr>
      </w:pPr>
      <w:r w:rsidRPr="000F0D8B">
        <w:rPr>
          <w:rFonts w:asciiTheme="minorHAnsi" w:hAnsiTheme="minorHAnsi" w:cstheme="minorHAnsi"/>
          <w:sz w:val="26"/>
          <w:szCs w:val="26"/>
        </w:rPr>
        <w:tab/>
      </w:r>
      <w:r w:rsidRPr="000F0D8B">
        <w:rPr>
          <w:rFonts w:asciiTheme="minorHAnsi" w:hAnsiTheme="minorHAnsi" w:cstheme="minorHAnsi"/>
          <w:b/>
          <w:sz w:val="26"/>
          <w:szCs w:val="26"/>
        </w:rPr>
        <w:t>E. Eliberări din funcţia de judecător şi procuror</w:t>
      </w:r>
    </w:p>
    <w:p w14:paraId="3E35445A" w14:textId="77777777" w:rsidR="00272F80" w:rsidRPr="004A72CD" w:rsidRDefault="00272F80" w:rsidP="009E3AD8">
      <w:pPr>
        <w:keepNext/>
        <w:keepLines/>
        <w:spacing w:line="276" w:lineRule="auto"/>
        <w:ind w:firstLine="709"/>
        <w:jc w:val="both"/>
        <w:rPr>
          <w:rFonts w:asciiTheme="minorHAnsi" w:hAnsiTheme="minorHAnsi" w:cstheme="minorHAnsi"/>
          <w:b/>
          <w:sz w:val="26"/>
          <w:szCs w:val="26"/>
        </w:rPr>
      </w:pPr>
      <w:r w:rsidRPr="004A72CD">
        <w:rPr>
          <w:rFonts w:asciiTheme="minorHAnsi" w:hAnsiTheme="minorHAnsi" w:cstheme="minorHAnsi"/>
          <w:b/>
          <w:sz w:val="26"/>
          <w:szCs w:val="26"/>
        </w:rPr>
        <w:lastRenderedPageBreak/>
        <w:t>E.1. Judecători</w:t>
      </w:r>
    </w:p>
    <w:p w14:paraId="1C8C01EC" w14:textId="0E51D838" w:rsidR="00272F80" w:rsidRPr="00132694" w:rsidRDefault="00272F80" w:rsidP="009E3AD8">
      <w:pPr>
        <w:keepNext/>
        <w:keepLines/>
        <w:tabs>
          <w:tab w:val="left" w:pos="709"/>
        </w:tabs>
        <w:spacing w:line="276" w:lineRule="auto"/>
        <w:ind w:firstLine="709"/>
        <w:jc w:val="both"/>
        <w:rPr>
          <w:rFonts w:asciiTheme="minorHAnsi" w:hAnsiTheme="minorHAnsi" w:cstheme="minorHAnsi"/>
          <w:sz w:val="26"/>
          <w:szCs w:val="26"/>
        </w:rPr>
      </w:pPr>
      <w:r w:rsidRPr="00132694">
        <w:rPr>
          <w:rFonts w:asciiTheme="minorHAnsi" w:hAnsiTheme="minorHAnsi" w:cstheme="minorHAnsi"/>
          <w:sz w:val="26"/>
          <w:szCs w:val="26"/>
        </w:rPr>
        <w:t>Prin decrete ale preşedintelui României</w:t>
      </w:r>
      <w:r w:rsidR="00674FD6" w:rsidRPr="00132694">
        <w:rPr>
          <w:rFonts w:asciiTheme="minorHAnsi" w:hAnsiTheme="minorHAnsi" w:cstheme="minorHAnsi"/>
          <w:sz w:val="26"/>
          <w:szCs w:val="26"/>
        </w:rPr>
        <w:t>,</w:t>
      </w:r>
      <w:r w:rsidRPr="00132694">
        <w:rPr>
          <w:rFonts w:asciiTheme="minorHAnsi" w:hAnsiTheme="minorHAnsi" w:cstheme="minorHAnsi"/>
          <w:sz w:val="26"/>
          <w:szCs w:val="26"/>
        </w:rPr>
        <w:t xml:space="preserve"> publicate în perioada de referinţă, până la data de </w:t>
      </w:r>
      <w:r w:rsidR="003B627E" w:rsidRPr="00132694">
        <w:rPr>
          <w:rFonts w:asciiTheme="minorHAnsi" w:hAnsiTheme="minorHAnsi" w:cstheme="minorHAnsi"/>
          <w:sz w:val="26"/>
          <w:szCs w:val="26"/>
        </w:rPr>
        <w:t>31 decembrie</w:t>
      </w:r>
      <w:r w:rsidRPr="00132694">
        <w:rPr>
          <w:rFonts w:asciiTheme="minorHAnsi" w:hAnsiTheme="minorHAnsi" w:cstheme="minorHAnsi"/>
          <w:sz w:val="26"/>
          <w:szCs w:val="26"/>
        </w:rPr>
        <w:t xml:space="preserve"> 2025, au fost eliberate din funcţia de judecător 145 de persoane, după cum urmează: </w:t>
      </w:r>
    </w:p>
    <w:p w14:paraId="42326A50" w14:textId="20555207" w:rsidR="00272F80" w:rsidRPr="00132694" w:rsidRDefault="001E0AC2" w:rsidP="00281400">
      <w:pPr>
        <w:numPr>
          <w:ilvl w:val="0"/>
          <w:numId w:val="12"/>
        </w:numPr>
        <w:tabs>
          <w:tab w:val="left" w:pos="851"/>
        </w:tabs>
        <w:spacing w:line="276" w:lineRule="auto"/>
        <w:ind w:left="720"/>
        <w:jc w:val="both"/>
        <w:rPr>
          <w:rFonts w:asciiTheme="minorHAnsi" w:hAnsiTheme="minorHAnsi" w:cstheme="minorHAnsi"/>
          <w:sz w:val="26"/>
          <w:szCs w:val="26"/>
        </w:rPr>
      </w:pPr>
      <w:r w:rsidRPr="00132694">
        <w:rPr>
          <w:rFonts w:asciiTheme="minorHAnsi" w:hAnsiTheme="minorHAnsi" w:cstheme="minorHAnsi"/>
          <w:sz w:val="26"/>
          <w:szCs w:val="26"/>
        </w:rPr>
        <w:t>20</w:t>
      </w:r>
      <w:r w:rsidR="00C15142" w:rsidRPr="00132694">
        <w:rPr>
          <w:rFonts w:asciiTheme="minorHAnsi" w:hAnsiTheme="minorHAnsi" w:cstheme="minorHAnsi"/>
          <w:sz w:val="26"/>
          <w:szCs w:val="26"/>
        </w:rPr>
        <w:t>1</w:t>
      </w:r>
      <w:r w:rsidR="00272F80" w:rsidRPr="00132694">
        <w:rPr>
          <w:rFonts w:asciiTheme="minorHAnsi" w:hAnsiTheme="minorHAnsi" w:cstheme="minorHAnsi"/>
          <w:sz w:val="26"/>
          <w:szCs w:val="26"/>
        </w:rPr>
        <w:t xml:space="preserve"> </w:t>
      </w:r>
      <w:r w:rsidR="00351BB1" w:rsidRPr="00132694">
        <w:rPr>
          <w:rFonts w:asciiTheme="minorHAnsi" w:hAnsiTheme="minorHAnsi" w:cstheme="minorHAnsi"/>
          <w:sz w:val="26"/>
          <w:szCs w:val="26"/>
        </w:rPr>
        <w:t xml:space="preserve">de </w:t>
      </w:r>
      <w:r w:rsidR="00272F80" w:rsidRPr="00132694">
        <w:rPr>
          <w:rFonts w:asciiTheme="minorHAnsi" w:hAnsiTheme="minorHAnsi" w:cstheme="minorHAnsi"/>
          <w:sz w:val="26"/>
          <w:szCs w:val="26"/>
        </w:rPr>
        <w:t>persoane, prin pensionare;</w:t>
      </w:r>
    </w:p>
    <w:p w14:paraId="23256604" w14:textId="08083402" w:rsidR="00272F80" w:rsidRPr="00132694" w:rsidRDefault="00C15142" w:rsidP="00281400">
      <w:pPr>
        <w:numPr>
          <w:ilvl w:val="0"/>
          <w:numId w:val="12"/>
        </w:numPr>
        <w:tabs>
          <w:tab w:val="left" w:pos="851"/>
        </w:tabs>
        <w:spacing w:line="276" w:lineRule="auto"/>
        <w:ind w:left="720"/>
        <w:jc w:val="both"/>
        <w:rPr>
          <w:rFonts w:asciiTheme="minorHAnsi" w:hAnsiTheme="minorHAnsi" w:cstheme="minorHAnsi"/>
          <w:sz w:val="26"/>
          <w:szCs w:val="26"/>
        </w:rPr>
      </w:pPr>
      <w:r w:rsidRPr="00132694">
        <w:rPr>
          <w:rFonts w:asciiTheme="minorHAnsi" w:hAnsiTheme="minorHAnsi" w:cstheme="minorHAnsi"/>
          <w:sz w:val="26"/>
          <w:szCs w:val="26"/>
        </w:rPr>
        <w:t>4</w:t>
      </w:r>
      <w:r w:rsidR="00272F80" w:rsidRPr="00132694">
        <w:rPr>
          <w:rFonts w:asciiTheme="minorHAnsi" w:hAnsiTheme="minorHAnsi" w:cstheme="minorHAnsi"/>
          <w:sz w:val="26"/>
          <w:szCs w:val="26"/>
        </w:rPr>
        <w:t xml:space="preserve"> persoane, ca urmare a demisiei;</w:t>
      </w:r>
    </w:p>
    <w:p w14:paraId="6CC770F5" w14:textId="77777777" w:rsidR="00272F80" w:rsidRPr="003D625B" w:rsidRDefault="00272F80" w:rsidP="00281400">
      <w:pPr>
        <w:numPr>
          <w:ilvl w:val="0"/>
          <w:numId w:val="12"/>
        </w:numPr>
        <w:tabs>
          <w:tab w:val="left" w:pos="851"/>
        </w:tabs>
        <w:spacing w:line="276" w:lineRule="auto"/>
        <w:ind w:left="720"/>
        <w:jc w:val="both"/>
        <w:rPr>
          <w:rFonts w:asciiTheme="minorHAnsi" w:hAnsiTheme="minorHAnsi" w:cstheme="minorHAnsi"/>
          <w:color w:val="000000" w:themeColor="text1"/>
          <w:sz w:val="26"/>
          <w:szCs w:val="26"/>
        </w:rPr>
      </w:pPr>
      <w:r w:rsidRPr="00674FD6">
        <w:rPr>
          <w:rFonts w:asciiTheme="minorHAnsi" w:hAnsiTheme="minorHAnsi" w:cstheme="minorHAnsi"/>
          <w:color w:val="000000" w:themeColor="text1"/>
          <w:sz w:val="26"/>
          <w:szCs w:val="26"/>
        </w:rPr>
        <w:t>3</w:t>
      </w:r>
      <w:r w:rsidRPr="003D625B">
        <w:rPr>
          <w:rFonts w:asciiTheme="minorHAnsi" w:hAnsiTheme="minorHAnsi" w:cstheme="minorHAnsi"/>
          <w:color w:val="000000" w:themeColor="text1"/>
          <w:sz w:val="26"/>
          <w:szCs w:val="26"/>
        </w:rPr>
        <w:t xml:space="preserve"> persoane, ca urmare a numirii în funcţia de procuror</w:t>
      </w:r>
      <w:r w:rsidRPr="003D625B">
        <w:rPr>
          <w:rFonts w:asciiTheme="minorHAnsi" w:hAnsiTheme="minorHAnsi" w:cstheme="minorHAnsi"/>
          <w:color w:val="000000" w:themeColor="text1"/>
          <w:sz w:val="26"/>
          <w:szCs w:val="26"/>
          <w:shd w:val="clear" w:color="auto" w:fill="FFFFFF"/>
        </w:rPr>
        <w:t>;</w:t>
      </w:r>
    </w:p>
    <w:p w14:paraId="3A45481D" w14:textId="77777777" w:rsidR="00272F80" w:rsidRPr="003D625B" w:rsidRDefault="00272F80" w:rsidP="00281400">
      <w:pPr>
        <w:numPr>
          <w:ilvl w:val="0"/>
          <w:numId w:val="12"/>
        </w:numPr>
        <w:tabs>
          <w:tab w:val="left" w:pos="851"/>
        </w:tabs>
        <w:spacing w:line="276" w:lineRule="auto"/>
        <w:ind w:left="720"/>
        <w:jc w:val="both"/>
        <w:rPr>
          <w:rFonts w:asciiTheme="minorHAnsi" w:hAnsiTheme="minorHAnsi" w:cstheme="minorHAnsi"/>
          <w:color w:val="000000" w:themeColor="text1"/>
          <w:sz w:val="26"/>
          <w:szCs w:val="26"/>
        </w:rPr>
      </w:pPr>
      <w:r w:rsidRPr="00674FD6">
        <w:rPr>
          <w:rFonts w:asciiTheme="minorHAnsi" w:hAnsiTheme="minorHAnsi" w:cstheme="minorHAnsi"/>
          <w:color w:val="000000" w:themeColor="text1"/>
          <w:sz w:val="26"/>
          <w:szCs w:val="26"/>
        </w:rPr>
        <w:t xml:space="preserve">1 </w:t>
      </w:r>
      <w:r w:rsidRPr="003D625B">
        <w:rPr>
          <w:rFonts w:asciiTheme="minorHAnsi" w:hAnsiTheme="minorHAnsi" w:cstheme="minorHAnsi"/>
          <w:color w:val="000000" w:themeColor="text1"/>
          <w:sz w:val="26"/>
          <w:szCs w:val="26"/>
        </w:rPr>
        <w:t>persoană, ca urmare a aplicării sancţiunii disciplinare a excluderii din magistratură;</w:t>
      </w:r>
    </w:p>
    <w:p w14:paraId="0EEC4399" w14:textId="77777777" w:rsidR="00272F80" w:rsidRPr="003D625B" w:rsidRDefault="00272F80" w:rsidP="00281400">
      <w:pPr>
        <w:numPr>
          <w:ilvl w:val="0"/>
          <w:numId w:val="12"/>
        </w:numPr>
        <w:tabs>
          <w:tab w:val="left" w:pos="851"/>
        </w:tabs>
        <w:spacing w:line="276" w:lineRule="auto"/>
        <w:ind w:left="720"/>
        <w:jc w:val="both"/>
        <w:rPr>
          <w:rFonts w:asciiTheme="minorHAnsi" w:hAnsiTheme="minorHAnsi" w:cstheme="minorHAnsi"/>
          <w:color w:val="000000" w:themeColor="text1"/>
          <w:sz w:val="26"/>
          <w:szCs w:val="26"/>
        </w:rPr>
      </w:pPr>
      <w:r w:rsidRPr="00674FD6">
        <w:rPr>
          <w:rFonts w:asciiTheme="minorHAnsi" w:hAnsiTheme="minorHAnsi" w:cstheme="minorHAnsi"/>
          <w:color w:val="000000" w:themeColor="text1"/>
          <w:sz w:val="26"/>
          <w:szCs w:val="26"/>
        </w:rPr>
        <w:t>1</w:t>
      </w:r>
      <w:r w:rsidRPr="003D625B">
        <w:rPr>
          <w:rFonts w:asciiTheme="minorHAnsi" w:hAnsiTheme="minorHAnsi" w:cstheme="minorHAnsi"/>
          <w:color w:val="000000" w:themeColor="text1"/>
          <w:sz w:val="26"/>
          <w:szCs w:val="26"/>
        </w:rPr>
        <w:t xml:space="preserve"> persoană, ca urmare a</w:t>
      </w:r>
      <w:r w:rsidRPr="003D625B">
        <w:rPr>
          <w:color w:val="000000" w:themeColor="text1"/>
        </w:rPr>
        <w:t xml:space="preserve"> </w:t>
      </w:r>
      <w:r w:rsidRPr="003D625B">
        <w:rPr>
          <w:rFonts w:asciiTheme="minorHAnsi" w:hAnsiTheme="minorHAnsi" w:cstheme="minorHAnsi"/>
          <w:color w:val="000000" w:themeColor="text1"/>
          <w:sz w:val="26"/>
          <w:szCs w:val="26"/>
        </w:rPr>
        <w:t>neprezentătii, în mod nejustificat, la expertiza de specialitate.</w:t>
      </w:r>
    </w:p>
    <w:p w14:paraId="18EA0DDD" w14:textId="07E85F06" w:rsidR="00272F80" w:rsidRPr="003D625B" w:rsidRDefault="00272F80" w:rsidP="009E3AD8">
      <w:pPr>
        <w:spacing w:line="276" w:lineRule="auto"/>
        <w:ind w:firstLine="709"/>
        <w:jc w:val="both"/>
        <w:rPr>
          <w:rFonts w:asciiTheme="minorHAnsi" w:hAnsiTheme="minorHAnsi" w:cstheme="minorHAnsi"/>
          <w:color w:val="000000" w:themeColor="text1"/>
          <w:sz w:val="26"/>
          <w:szCs w:val="26"/>
        </w:rPr>
      </w:pPr>
      <w:r w:rsidRPr="003D625B">
        <w:rPr>
          <w:rFonts w:asciiTheme="minorHAnsi" w:hAnsiTheme="minorHAnsi" w:cstheme="minorHAnsi"/>
          <w:color w:val="000000" w:themeColor="text1"/>
          <w:sz w:val="26"/>
          <w:szCs w:val="26"/>
        </w:rPr>
        <w:t xml:space="preserve">Totodată, în cursul </w:t>
      </w:r>
      <w:r w:rsidR="004F1311">
        <w:rPr>
          <w:rFonts w:asciiTheme="minorHAnsi" w:hAnsiTheme="minorHAnsi" w:cstheme="minorHAnsi"/>
          <w:color w:val="000000" w:themeColor="text1"/>
          <w:sz w:val="26"/>
          <w:szCs w:val="26"/>
        </w:rPr>
        <w:t>anului 2025</w:t>
      </w:r>
      <w:r w:rsidRPr="003D625B">
        <w:rPr>
          <w:rFonts w:asciiTheme="minorHAnsi" w:hAnsiTheme="minorHAnsi" w:cstheme="minorHAnsi"/>
          <w:color w:val="000000" w:themeColor="text1"/>
          <w:sz w:val="26"/>
          <w:szCs w:val="26"/>
        </w:rPr>
        <w:t xml:space="preserve"> s-au vacantat 2 posturi de judecător, ca urmare a decesului.</w:t>
      </w:r>
    </w:p>
    <w:p w14:paraId="6622A37C" w14:textId="1031E328" w:rsidR="00272F80" w:rsidRPr="00674FD6" w:rsidRDefault="00272F80" w:rsidP="009E3AD8">
      <w:pPr>
        <w:spacing w:line="276" w:lineRule="auto"/>
        <w:ind w:right="48" w:firstLine="709"/>
        <w:jc w:val="both"/>
        <w:rPr>
          <w:rFonts w:asciiTheme="minorHAnsi" w:hAnsiTheme="minorHAnsi" w:cstheme="minorHAnsi"/>
          <w:color w:val="000000" w:themeColor="text1"/>
          <w:sz w:val="26"/>
          <w:szCs w:val="26"/>
        </w:rPr>
      </w:pPr>
      <w:r w:rsidRPr="003D625B">
        <w:rPr>
          <w:rFonts w:asciiTheme="minorHAnsi" w:hAnsiTheme="minorHAnsi" w:cstheme="minorHAnsi"/>
          <w:color w:val="000000" w:themeColor="text1"/>
          <w:sz w:val="26"/>
          <w:szCs w:val="26"/>
        </w:rPr>
        <w:t xml:space="preserve">Situaţia posturilor de judecător pe grade de jurisdicţie, comparativ cu sfârşitul anului 2024, </w:t>
      </w:r>
      <w:r w:rsidRPr="00132694">
        <w:rPr>
          <w:rFonts w:asciiTheme="minorHAnsi" w:hAnsiTheme="minorHAnsi" w:cstheme="minorHAnsi"/>
          <w:sz w:val="26"/>
          <w:szCs w:val="26"/>
        </w:rPr>
        <w:t xml:space="preserve">cu luarea în considerare a măsurilor dispuse începând cu data de 01 ianuarie 2025 şi până la data de </w:t>
      </w:r>
      <w:r w:rsidR="001E0AC2" w:rsidRPr="00132694">
        <w:rPr>
          <w:rFonts w:asciiTheme="minorHAnsi" w:hAnsiTheme="minorHAnsi" w:cstheme="minorHAnsi"/>
          <w:sz w:val="26"/>
          <w:szCs w:val="26"/>
        </w:rPr>
        <w:t>31 decembrie</w:t>
      </w:r>
      <w:r w:rsidRPr="00132694">
        <w:rPr>
          <w:rFonts w:asciiTheme="minorHAnsi" w:hAnsiTheme="minorHAnsi" w:cstheme="minorHAnsi"/>
          <w:sz w:val="26"/>
          <w:szCs w:val="26"/>
        </w:rPr>
        <w:t xml:space="preserve"> 2025, </w:t>
      </w:r>
      <w:r w:rsidR="00674FD6">
        <w:rPr>
          <w:rFonts w:asciiTheme="minorHAnsi" w:hAnsiTheme="minorHAnsi" w:cstheme="minorHAnsi"/>
          <w:color w:val="000000" w:themeColor="text1"/>
          <w:sz w:val="26"/>
          <w:szCs w:val="26"/>
        </w:rPr>
        <w:t>raportat la</w:t>
      </w:r>
      <w:r w:rsidRPr="00674FD6">
        <w:rPr>
          <w:rFonts w:asciiTheme="minorHAnsi" w:hAnsiTheme="minorHAnsi" w:cstheme="minorHAnsi"/>
          <w:color w:val="000000" w:themeColor="text1"/>
          <w:sz w:val="26"/>
          <w:szCs w:val="26"/>
        </w:rPr>
        <w:t xml:space="preserve"> decretel</w:t>
      </w:r>
      <w:r w:rsidR="00674FD6">
        <w:rPr>
          <w:rFonts w:asciiTheme="minorHAnsi" w:hAnsiTheme="minorHAnsi" w:cstheme="minorHAnsi"/>
          <w:color w:val="000000" w:themeColor="text1"/>
          <w:sz w:val="26"/>
          <w:szCs w:val="26"/>
        </w:rPr>
        <w:t>e</w:t>
      </w:r>
      <w:r w:rsidRPr="00674FD6">
        <w:rPr>
          <w:rFonts w:asciiTheme="minorHAnsi" w:hAnsiTheme="minorHAnsi" w:cstheme="minorHAnsi"/>
          <w:color w:val="000000" w:themeColor="text1"/>
          <w:sz w:val="26"/>
          <w:szCs w:val="26"/>
        </w:rPr>
        <w:t xml:space="preserve"> publicate se prezintă astfel:</w:t>
      </w:r>
    </w:p>
    <w:tbl>
      <w:tblPr>
        <w:tblW w:w="10225" w:type="dxa"/>
        <w:jc w:val="center"/>
        <w:tblCellMar>
          <w:left w:w="10" w:type="dxa"/>
          <w:right w:w="10" w:type="dxa"/>
        </w:tblCellMar>
        <w:tblLook w:val="04A0" w:firstRow="1" w:lastRow="0" w:firstColumn="1" w:lastColumn="0" w:noHBand="0" w:noVBand="1"/>
      </w:tblPr>
      <w:tblGrid>
        <w:gridCol w:w="1420"/>
        <w:gridCol w:w="1016"/>
        <w:gridCol w:w="998"/>
        <w:gridCol w:w="993"/>
        <w:gridCol w:w="995"/>
        <w:gridCol w:w="988"/>
        <w:gridCol w:w="991"/>
        <w:gridCol w:w="8"/>
        <w:gridCol w:w="987"/>
        <w:gridCol w:w="988"/>
        <w:gridCol w:w="992"/>
      </w:tblGrid>
      <w:tr w:rsidR="00272F80" w:rsidRPr="003D625B" w14:paraId="7099DEA8" w14:textId="77777777" w:rsidTr="00504360">
        <w:trPr>
          <w:jc w:val="center"/>
        </w:trPr>
        <w:tc>
          <w:tcPr>
            <w:tcW w:w="142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9E6C1D5" w14:textId="77777777" w:rsidR="00272F80" w:rsidRPr="003D625B" w:rsidRDefault="00272F80" w:rsidP="009E3AD8">
            <w:pPr>
              <w:spacing w:line="276" w:lineRule="auto"/>
              <w:jc w:val="center"/>
              <w:rPr>
                <w:rFonts w:asciiTheme="minorHAnsi" w:hAnsiTheme="minorHAnsi" w:cstheme="minorHAnsi"/>
                <w:color w:val="000000" w:themeColor="text1"/>
                <w:sz w:val="26"/>
                <w:szCs w:val="26"/>
              </w:rPr>
            </w:pPr>
            <w:r w:rsidRPr="003D625B">
              <w:rPr>
                <w:rFonts w:asciiTheme="minorHAnsi" w:hAnsiTheme="minorHAnsi" w:cstheme="minorHAnsi"/>
                <w:b/>
                <w:color w:val="000000" w:themeColor="text1"/>
                <w:sz w:val="26"/>
                <w:szCs w:val="26"/>
              </w:rPr>
              <w:t>Categoria</w:t>
            </w:r>
          </w:p>
        </w:tc>
        <w:tc>
          <w:tcPr>
            <w:tcW w:w="300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04A6F6E7" w14:textId="77777777" w:rsidR="00272F80" w:rsidRPr="003D625B" w:rsidRDefault="00272F80" w:rsidP="009E3AD8">
            <w:pPr>
              <w:spacing w:line="276" w:lineRule="auto"/>
              <w:jc w:val="center"/>
              <w:rPr>
                <w:rFonts w:asciiTheme="minorHAnsi" w:hAnsiTheme="minorHAnsi" w:cstheme="minorHAnsi"/>
                <w:color w:val="000000" w:themeColor="text1"/>
                <w:sz w:val="20"/>
              </w:rPr>
            </w:pPr>
            <w:r w:rsidRPr="003D625B">
              <w:rPr>
                <w:rFonts w:asciiTheme="minorHAnsi" w:hAnsiTheme="minorHAnsi" w:cstheme="minorHAnsi"/>
                <w:b/>
                <w:color w:val="000000" w:themeColor="text1"/>
                <w:sz w:val="20"/>
              </w:rPr>
              <w:t>Posturi de judecător prevăzute în schemă</w:t>
            </w:r>
          </w:p>
        </w:tc>
        <w:tc>
          <w:tcPr>
            <w:tcW w:w="2805"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45AAC53" w14:textId="77777777" w:rsidR="00272F80" w:rsidRPr="003D625B" w:rsidRDefault="00272F80" w:rsidP="009E3AD8">
            <w:pPr>
              <w:spacing w:line="276" w:lineRule="auto"/>
              <w:jc w:val="center"/>
              <w:rPr>
                <w:rFonts w:asciiTheme="minorHAnsi" w:hAnsiTheme="minorHAnsi" w:cstheme="minorHAnsi"/>
                <w:color w:val="000000" w:themeColor="text1"/>
                <w:sz w:val="20"/>
              </w:rPr>
            </w:pPr>
            <w:r w:rsidRPr="003D625B">
              <w:rPr>
                <w:rFonts w:asciiTheme="minorHAnsi" w:hAnsiTheme="minorHAnsi" w:cstheme="minorHAnsi"/>
                <w:b/>
                <w:color w:val="000000" w:themeColor="text1"/>
                <w:sz w:val="20"/>
              </w:rPr>
              <w:t>Posturi de judecător ocupate</w:t>
            </w:r>
          </w:p>
        </w:tc>
        <w:tc>
          <w:tcPr>
            <w:tcW w:w="2992"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591ACAA" w14:textId="77777777" w:rsidR="00272F80" w:rsidRPr="003D625B" w:rsidRDefault="00272F80" w:rsidP="009E3AD8">
            <w:pPr>
              <w:spacing w:line="276" w:lineRule="auto"/>
              <w:jc w:val="center"/>
              <w:rPr>
                <w:rFonts w:asciiTheme="minorHAnsi" w:hAnsiTheme="minorHAnsi" w:cstheme="minorHAnsi"/>
                <w:color w:val="000000" w:themeColor="text1"/>
                <w:sz w:val="20"/>
              </w:rPr>
            </w:pPr>
            <w:r w:rsidRPr="003D625B">
              <w:rPr>
                <w:rFonts w:asciiTheme="minorHAnsi" w:hAnsiTheme="minorHAnsi" w:cstheme="minorHAnsi"/>
                <w:b/>
                <w:color w:val="000000" w:themeColor="text1"/>
                <w:sz w:val="20"/>
              </w:rPr>
              <w:t>Posturi de judecător vacante</w:t>
            </w:r>
          </w:p>
        </w:tc>
      </w:tr>
      <w:tr w:rsidR="00272F80" w:rsidRPr="003D625B" w14:paraId="6F5984B5" w14:textId="77777777" w:rsidTr="00504360">
        <w:trPr>
          <w:jc w:val="center"/>
        </w:trPr>
        <w:tc>
          <w:tcPr>
            <w:tcW w:w="142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9FFB842" w14:textId="77777777" w:rsidR="00272F80" w:rsidRPr="003D625B" w:rsidRDefault="00272F80" w:rsidP="009E3AD8">
            <w:pPr>
              <w:spacing w:line="276" w:lineRule="auto"/>
              <w:jc w:val="center"/>
              <w:rPr>
                <w:rFonts w:asciiTheme="minorHAnsi" w:eastAsia="Calibri" w:hAnsiTheme="minorHAnsi" w:cstheme="minorHAnsi"/>
                <w:color w:val="000000" w:themeColor="text1"/>
                <w:sz w:val="26"/>
                <w:szCs w:val="26"/>
              </w:rPr>
            </w:pPr>
          </w:p>
        </w:tc>
        <w:tc>
          <w:tcPr>
            <w:tcW w:w="101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24CA51A" w14:textId="77777777" w:rsidR="00272F80" w:rsidRPr="003D625B" w:rsidRDefault="00272F80" w:rsidP="009E3AD8">
            <w:pPr>
              <w:spacing w:line="276" w:lineRule="auto"/>
              <w:ind w:left="-118" w:right="-102"/>
              <w:jc w:val="center"/>
              <w:rPr>
                <w:rFonts w:asciiTheme="minorHAnsi" w:hAnsiTheme="minorHAnsi" w:cstheme="minorHAnsi"/>
                <w:color w:val="000000" w:themeColor="text1"/>
                <w:sz w:val="20"/>
              </w:rPr>
            </w:pPr>
            <w:r w:rsidRPr="003D625B">
              <w:rPr>
                <w:rFonts w:asciiTheme="minorHAnsi" w:hAnsiTheme="minorHAnsi" w:cstheme="minorHAnsi"/>
                <w:b/>
                <w:color w:val="000000" w:themeColor="text1"/>
                <w:sz w:val="20"/>
              </w:rPr>
              <w:t>31.12.2024</w:t>
            </w:r>
          </w:p>
        </w:tc>
        <w:tc>
          <w:tcPr>
            <w:tcW w:w="9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166AA38" w14:textId="77777777" w:rsidR="00272F80" w:rsidRPr="00504360" w:rsidRDefault="00272F80" w:rsidP="009E3AD8">
            <w:pPr>
              <w:spacing w:line="276" w:lineRule="auto"/>
              <w:ind w:left="-136" w:right="-73"/>
              <w:jc w:val="center"/>
              <w:rPr>
                <w:rFonts w:asciiTheme="minorHAnsi" w:hAnsiTheme="minorHAnsi" w:cstheme="minorHAnsi"/>
                <w:color w:val="000000" w:themeColor="text1"/>
                <w:sz w:val="20"/>
                <w:highlight w:val="lightGray"/>
              </w:rPr>
            </w:pPr>
            <w:r w:rsidRPr="00504360">
              <w:rPr>
                <w:rFonts w:asciiTheme="minorHAnsi" w:hAnsiTheme="minorHAnsi" w:cstheme="minorHAnsi"/>
                <w:b/>
                <w:color w:val="000000" w:themeColor="text1"/>
                <w:sz w:val="20"/>
                <w:highlight w:val="lightGray"/>
              </w:rPr>
              <w:t>01.01.2025</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2A9CDCAB" w14:textId="70DD4C9A" w:rsidR="00272F80" w:rsidRPr="00504360" w:rsidRDefault="001E0AC2" w:rsidP="009E3AD8">
            <w:pPr>
              <w:spacing w:line="276" w:lineRule="auto"/>
              <w:ind w:left="-141" w:right="-79"/>
              <w:jc w:val="center"/>
              <w:rPr>
                <w:rFonts w:asciiTheme="minorHAnsi" w:hAnsiTheme="minorHAnsi" w:cstheme="minorHAnsi"/>
                <w:sz w:val="20"/>
                <w:highlight w:val="lightGray"/>
              </w:rPr>
            </w:pPr>
            <w:r w:rsidRPr="00504360">
              <w:rPr>
                <w:rFonts w:asciiTheme="minorHAnsi" w:hAnsiTheme="minorHAnsi" w:cstheme="minorHAnsi"/>
                <w:b/>
                <w:sz w:val="20"/>
                <w:highlight w:val="lightGray"/>
              </w:rPr>
              <w:t>31.12</w:t>
            </w:r>
            <w:r w:rsidR="00272F80" w:rsidRPr="00504360">
              <w:rPr>
                <w:rFonts w:asciiTheme="minorHAnsi" w:hAnsiTheme="minorHAnsi" w:cstheme="minorHAnsi"/>
                <w:b/>
                <w:sz w:val="20"/>
                <w:highlight w:val="lightGray"/>
              </w:rPr>
              <w:t>.2025</w:t>
            </w:r>
          </w:p>
        </w:tc>
        <w:tc>
          <w:tcPr>
            <w:tcW w:w="8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5ECA5A0C" w14:textId="77777777" w:rsidR="00272F80" w:rsidRPr="00504360" w:rsidRDefault="00272F80" w:rsidP="009E3AD8">
            <w:pPr>
              <w:spacing w:line="276" w:lineRule="auto"/>
              <w:ind w:left="-139" w:right="-81"/>
              <w:jc w:val="center"/>
              <w:rPr>
                <w:rFonts w:asciiTheme="minorHAnsi" w:hAnsiTheme="minorHAnsi" w:cstheme="minorHAnsi"/>
                <w:sz w:val="20"/>
                <w:highlight w:val="lightGray"/>
              </w:rPr>
            </w:pPr>
            <w:r w:rsidRPr="00504360">
              <w:rPr>
                <w:rFonts w:asciiTheme="minorHAnsi" w:hAnsiTheme="minorHAnsi" w:cstheme="minorHAnsi"/>
                <w:b/>
                <w:sz w:val="20"/>
                <w:highlight w:val="lightGray"/>
              </w:rPr>
              <w:t>31.12.2024</w:t>
            </w:r>
          </w:p>
        </w:tc>
        <w:tc>
          <w:tcPr>
            <w:tcW w:w="9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13ED549B" w14:textId="77777777" w:rsidR="00272F80" w:rsidRPr="00504360" w:rsidRDefault="00272F80" w:rsidP="009E3AD8">
            <w:pPr>
              <w:spacing w:line="276" w:lineRule="auto"/>
              <w:ind w:left="-146" w:right="-106"/>
              <w:jc w:val="center"/>
              <w:rPr>
                <w:rFonts w:asciiTheme="minorHAnsi" w:hAnsiTheme="minorHAnsi" w:cstheme="minorHAnsi"/>
                <w:color w:val="000000" w:themeColor="text1"/>
                <w:sz w:val="20"/>
                <w:highlight w:val="lightGray"/>
              </w:rPr>
            </w:pPr>
            <w:r w:rsidRPr="00504360">
              <w:rPr>
                <w:rFonts w:asciiTheme="minorHAnsi" w:hAnsiTheme="minorHAnsi" w:cstheme="minorHAnsi"/>
                <w:b/>
                <w:color w:val="000000" w:themeColor="text1"/>
                <w:sz w:val="20"/>
                <w:highlight w:val="lightGray"/>
              </w:rPr>
              <w:t>01.01.2025</w:t>
            </w:r>
          </w:p>
        </w:tc>
        <w:tc>
          <w:tcPr>
            <w:tcW w:w="99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2D37469" w14:textId="335463AD" w:rsidR="00272F80" w:rsidRPr="003D625B" w:rsidRDefault="001E0AC2" w:rsidP="009E3AD8">
            <w:pPr>
              <w:spacing w:line="276" w:lineRule="auto"/>
              <w:ind w:left="-143" w:right="-109"/>
              <w:jc w:val="center"/>
              <w:rPr>
                <w:rFonts w:asciiTheme="minorHAnsi" w:hAnsiTheme="minorHAnsi" w:cstheme="minorHAnsi"/>
                <w:color w:val="000000" w:themeColor="text1"/>
                <w:sz w:val="20"/>
              </w:rPr>
            </w:pPr>
            <w:r>
              <w:rPr>
                <w:rFonts w:asciiTheme="minorHAnsi" w:hAnsiTheme="minorHAnsi" w:cstheme="minorHAnsi"/>
                <w:b/>
                <w:color w:val="000000" w:themeColor="text1"/>
                <w:sz w:val="20"/>
              </w:rPr>
              <w:t>31.12</w:t>
            </w:r>
            <w:r w:rsidR="00272F80" w:rsidRPr="003D625B">
              <w:rPr>
                <w:rFonts w:asciiTheme="minorHAnsi" w:hAnsiTheme="minorHAnsi" w:cstheme="minorHAnsi"/>
                <w:b/>
                <w:color w:val="000000" w:themeColor="text1"/>
                <w:sz w:val="20"/>
              </w:rPr>
              <w:t>.2025</w:t>
            </w:r>
          </w:p>
        </w:tc>
        <w:tc>
          <w:tcPr>
            <w:tcW w:w="99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525992A" w14:textId="77777777" w:rsidR="00272F80" w:rsidRPr="003D625B" w:rsidRDefault="00272F80" w:rsidP="009E3AD8">
            <w:pPr>
              <w:spacing w:line="276" w:lineRule="auto"/>
              <w:ind w:left="-139" w:right="-112"/>
              <w:jc w:val="center"/>
              <w:rPr>
                <w:rFonts w:asciiTheme="minorHAnsi" w:hAnsiTheme="minorHAnsi" w:cstheme="minorHAnsi"/>
                <w:color w:val="000000" w:themeColor="text1"/>
                <w:sz w:val="20"/>
              </w:rPr>
            </w:pPr>
            <w:r w:rsidRPr="003D625B">
              <w:rPr>
                <w:rFonts w:asciiTheme="minorHAnsi" w:hAnsiTheme="minorHAnsi" w:cstheme="minorHAnsi"/>
                <w:b/>
                <w:color w:val="000000" w:themeColor="text1"/>
                <w:sz w:val="20"/>
              </w:rPr>
              <w:t>31.12.2024</w:t>
            </w:r>
          </w:p>
        </w:tc>
        <w:tc>
          <w:tcPr>
            <w:tcW w:w="9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E71C2DE" w14:textId="77777777" w:rsidR="00272F80" w:rsidRPr="003D625B" w:rsidRDefault="00272F80" w:rsidP="009E3AD8">
            <w:pPr>
              <w:spacing w:line="276" w:lineRule="auto"/>
              <w:ind w:left="-146" w:right="-106"/>
              <w:jc w:val="center"/>
              <w:rPr>
                <w:rFonts w:asciiTheme="minorHAnsi" w:hAnsiTheme="minorHAnsi" w:cstheme="minorHAnsi"/>
                <w:color w:val="000000" w:themeColor="text1"/>
                <w:sz w:val="20"/>
              </w:rPr>
            </w:pPr>
            <w:r w:rsidRPr="003D625B">
              <w:rPr>
                <w:rFonts w:asciiTheme="minorHAnsi" w:hAnsiTheme="minorHAnsi" w:cstheme="minorHAnsi"/>
                <w:b/>
                <w:color w:val="000000" w:themeColor="text1"/>
                <w:sz w:val="20"/>
              </w:rPr>
              <w:t>01.01.2025</w:t>
            </w:r>
          </w:p>
        </w:tc>
        <w:tc>
          <w:tcPr>
            <w:tcW w:w="100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0D4D73A0" w14:textId="0E442BE4" w:rsidR="00272F80" w:rsidRPr="003D625B" w:rsidRDefault="001E0AC2" w:rsidP="009E3AD8">
            <w:pPr>
              <w:spacing w:line="276" w:lineRule="auto"/>
              <w:ind w:left="-142" w:right="-98"/>
              <w:jc w:val="center"/>
              <w:rPr>
                <w:rFonts w:asciiTheme="minorHAnsi" w:hAnsiTheme="minorHAnsi" w:cstheme="minorHAnsi"/>
                <w:color w:val="000000" w:themeColor="text1"/>
                <w:sz w:val="20"/>
              </w:rPr>
            </w:pPr>
            <w:r>
              <w:rPr>
                <w:rFonts w:asciiTheme="minorHAnsi" w:hAnsiTheme="minorHAnsi" w:cstheme="minorHAnsi"/>
                <w:b/>
                <w:color w:val="000000" w:themeColor="text1"/>
                <w:sz w:val="20"/>
              </w:rPr>
              <w:t>31.12</w:t>
            </w:r>
            <w:r w:rsidR="00272F80" w:rsidRPr="003D625B">
              <w:rPr>
                <w:rFonts w:asciiTheme="minorHAnsi" w:hAnsiTheme="minorHAnsi" w:cstheme="minorHAnsi"/>
                <w:b/>
                <w:color w:val="000000" w:themeColor="text1"/>
                <w:sz w:val="20"/>
              </w:rPr>
              <w:t>.2025</w:t>
            </w:r>
          </w:p>
        </w:tc>
      </w:tr>
      <w:tr w:rsidR="00132694" w:rsidRPr="00132694" w14:paraId="332C63A8" w14:textId="77777777" w:rsidTr="00504360">
        <w:trPr>
          <w:jc w:val="center"/>
        </w:trPr>
        <w:tc>
          <w:tcPr>
            <w:tcW w:w="1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58450DD0" w14:textId="77777777" w:rsidR="00272F80" w:rsidRPr="00132694" w:rsidRDefault="00272F80" w:rsidP="009E3AD8">
            <w:pPr>
              <w:spacing w:line="276" w:lineRule="auto"/>
              <w:jc w:val="center"/>
              <w:rPr>
                <w:rFonts w:asciiTheme="minorHAnsi" w:hAnsiTheme="minorHAnsi" w:cstheme="minorHAnsi"/>
                <w:sz w:val="24"/>
                <w:szCs w:val="24"/>
              </w:rPr>
            </w:pPr>
            <w:r w:rsidRPr="00132694">
              <w:rPr>
                <w:rFonts w:asciiTheme="minorHAnsi" w:hAnsiTheme="minorHAnsi" w:cstheme="minorHAnsi"/>
                <w:sz w:val="24"/>
                <w:szCs w:val="24"/>
              </w:rPr>
              <w:t>Înalta Curte de Casaţie şi Justiţie</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6C2FBA5A" w14:textId="77777777" w:rsidR="00272F80" w:rsidRPr="00132694" w:rsidRDefault="00272F80" w:rsidP="009E3AD8">
            <w:pPr>
              <w:spacing w:line="276" w:lineRule="auto"/>
              <w:jc w:val="center"/>
              <w:rPr>
                <w:rFonts w:asciiTheme="minorHAnsi" w:hAnsiTheme="minorHAnsi" w:cstheme="minorHAnsi"/>
                <w:sz w:val="20"/>
              </w:rPr>
            </w:pPr>
            <w:r w:rsidRPr="00132694">
              <w:rPr>
                <w:rFonts w:asciiTheme="minorHAnsi" w:hAnsiTheme="minorHAnsi" w:cstheme="minorHAnsi"/>
                <w:sz w:val="20"/>
              </w:rPr>
              <w:t>122</w:t>
            </w:r>
          </w:p>
        </w:tc>
        <w:tc>
          <w:tcPr>
            <w:tcW w:w="9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7E0D0E12" w14:textId="77777777" w:rsidR="00272F80" w:rsidRPr="00132694" w:rsidRDefault="00272F80" w:rsidP="009E3AD8">
            <w:pPr>
              <w:spacing w:line="276" w:lineRule="auto"/>
              <w:jc w:val="center"/>
              <w:rPr>
                <w:rFonts w:asciiTheme="minorHAnsi" w:hAnsiTheme="minorHAnsi" w:cstheme="minorHAnsi"/>
                <w:sz w:val="20"/>
              </w:rPr>
            </w:pPr>
            <w:r w:rsidRPr="00132694">
              <w:rPr>
                <w:rFonts w:asciiTheme="minorHAnsi" w:hAnsiTheme="minorHAnsi" w:cstheme="minorHAnsi"/>
                <w:sz w:val="20"/>
              </w:rPr>
              <w:t>122</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5E1C0A6" w14:textId="77777777" w:rsidR="00272F80" w:rsidRPr="00132694" w:rsidRDefault="00272F80" w:rsidP="009E3AD8">
            <w:pPr>
              <w:spacing w:line="276" w:lineRule="auto"/>
              <w:jc w:val="center"/>
              <w:rPr>
                <w:rFonts w:asciiTheme="minorHAnsi" w:hAnsiTheme="minorHAnsi" w:cstheme="minorHAnsi"/>
                <w:sz w:val="20"/>
              </w:rPr>
            </w:pPr>
            <w:r w:rsidRPr="00132694">
              <w:rPr>
                <w:rFonts w:asciiTheme="minorHAnsi" w:hAnsiTheme="minorHAnsi" w:cstheme="minorHAnsi"/>
                <w:sz w:val="20"/>
              </w:rPr>
              <w:t>122</w:t>
            </w:r>
          </w:p>
        </w:tc>
        <w:tc>
          <w:tcPr>
            <w:tcW w:w="8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50A880BD" w14:textId="77777777" w:rsidR="00272F80" w:rsidRPr="00132694" w:rsidRDefault="00272F80" w:rsidP="009E3AD8">
            <w:pPr>
              <w:spacing w:line="276" w:lineRule="auto"/>
              <w:jc w:val="center"/>
              <w:rPr>
                <w:rFonts w:asciiTheme="minorHAnsi" w:hAnsiTheme="minorHAnsi" w:cstheme="minorHAnsi"/>
                <w:sz w:val="20"/>
              </w:rPr>
            </w:pPr>
            <w:r w:rsidRPr="00132694">
              <w:rPr>
                <w:rFonts w:asciiTheme="minorHAnsi" w:hAnsiTheme="minorHAnsi" w:cstheme="minorHAnsi"/>
                <w:sz w:val="20"/>
              </w:rPr>
              <w:t>101</w:t>
            </w:r>
          </w:p>
        </w:tc>
        <w:tc>
          <w:tcPr>
            <w:tcW w:w="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6B5FA3BB" w14:textId="77777777" w:rsidR="00272F80" w:rsidRPr="00132694" w:rsidRDefault="00272F80" w:rsidP="009E3AD8">
            <w:pPr>
              <w:spacing w:line="276" w:lineRule="auto"/>
              <w:jc w:val="center"/>
              <w:rPr>
                <w:rFonts w:asciiTheme="minorHAnsi" w:hAnsiTheme="minorHAnsi" w:cstheme="minorHAnsi"/>
                <w:sz w:val="20"/>
              </w:rPr>
            </w:pPr>
            <w:r w:rsidRPr="00132694">
              <w:rPr>
                <w:rFonts w:asciiTheme="minorHAnsi" w:hAnsiTheme="minorHAnsi" w:cstheme="minorHAnsi"/>
                <w:sz w:val="20"/>
              </w:rPr>
              <w:t>101</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F192B4D" w14:textId="1326AC2D" w:rsidR="00272F80" w:rsidRPr="00132694" w:rsidRDefault="00BD4F66" w:rsidP="009E3AD8">
            <w:pPr>
              <w:spacing w:line="276" w:lineRule="auto"/>
              <w:jc w:val="center"/>
              <w:rPr>
                <w:rFonts w:asciiTheme="minorHAnsi" w:hAnsiTheme="minorHAnsi" w:cstheme="minorHAnsi"/>
                <w:sz w:val="20"/>
              </w:rPr>
            </w:pPr>
            <w:r w:rsidRPr="00132694">
              <w:rPr>
                <w:rFonts w:asciiTheme="minorHAnsi" w:hAnsiTheme="minorHAnsi" w:cstheme="minorHAnsi"/>
                <w:sz w:val="20"/>
              </w:rPr>
              <w:t>116</w:t>
            </w:r>
          </w:p>
        </w:tc>
        <w:tc>
          <w:tcPr>
            <w:tcW w:w="99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139F183F" w14:textId="77777777" w:rsidR="00272F80" w:rsidRPr="00132694" w:rsidRDefault="00272F80" w:rsidP="009E3AD8">
            <w:pPr>
              <w:spacing w:line="276" w:lineRule="auto"/>
              <w:jc w:val="center"/>
              <w:rPr>
                <w:rFonts w:asciiTheme="minorHAnsi" w:hAnsiTheme="minorHAnsi" w:cstheme="minorHAnsi"/>
                <w:sz w:val="20"/>
              </w:rPr>
            </w:pPr>
            <w:r w:rsidRPr="00132694">
              <w:rPr>
                <w:rFonts w:asciiTheme="minorHAnsi" w:hAnsiTheme="minorHAnsi" w:cstheme="minorHAnsi"/>
                <w:sz w:val="20"/>
              </w:rPr>
              <w:t>21</w:t>
            </w:r>
          </w:p>
        </w:tc>
        <w:tc>
          <w:tcPr>
            <w:tcW w:w="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5971D23F" w14:textId="77777777" w:rsidR="00272F80" w:rsidRPr="00132694" w:rsidRDefault="00272F80" w:rsidP="009E3AD8">
            <w:pPr>
              <w:spacing w:line="276" w:lineRule="auto"/>
              <w:jc w:val="center"/>
              <w:rPr>
                <w:rFonts w:asciiTheme="minorHAnsi" w:hAnsiTheme="minorHAnsi" w:cstheme="minorHAnsi"/>
                <w:sz w:val="20"/>
              </w:rPr>
            </w:pPr>
            <w:r w:rsidRPr="00132694">
              <w:rPr>
                <w:rFonts w:asciiTheme="minorHAnsi" w:hAnsiTheme="minorHAnsi" w:cstheme="minorHAnsi"/>
                <w:sz w:val="20"/>
              </w:rPr>
              <w:t>21</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E9B9EEA" w14:textId="3D3EF621" w:rsidR="00272F80" w:rsidRPr="00132694" w:rsidRDefault="00BD4F66" w:rsidP="009E3AD8">
            <w:pPr>
              <w:spacing w:line="276" w:lineRule="auto"/>
              <w:jc w:val="center"/>
              <w:rPr>
                <w:rFonts w:asciiTheme="minorHAnsi" w:hAnsiTheme="minorHAnsi" w:cstheme="minorHAnsi"/>
                <w:sz w:val="20"/>
              </w:rPr>
            </w:pPr>
            <w:r w:rsidRPr="00132694">
              <w:rPr>
                <w:rFonts w:asciiTheme="minorHAnsi" w:hAnsiTheme="minorHAnsi" w:cstheme="minorHAnsi"/>
                <w:sz w:val="20"/>
              </w:rPr>
              <w:t>6</w:t>
            </w:r>
          </w:p>
        </w:tc>
      </w:tr>
      <w:tr w:rsidR="00132694" w:rsidRPr="00132694" w14:paraId="725B3A5C" w14:textId="77777777" w:rsidTr="00504360">
        <w:trPr>
          <w:jc w:val="center"/>
        </w:trPr>
        <w:tc>
          <w:tcPr>
            <w:tcW w:w="1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8F7E631" w14:textId="77777777" w:rsidR="00272F80" w:rsidRPr="00132694" w:rsidRDefault="00272F80" w:rsidP="009E3AD8">
            <w:pPr>
              <w:spacing w:line="276" w:lineRule="auto"/>
              <w:jc w:val="center"/>
              <w:rPr>
                <w:rFonts w:asciiTheme="minorHAnsi" w:hAnsiTheme="minorHAnsi" w:cstheme="minorHAnsi"/>
                <w:sz w:val="24"/>
                <w:szCs w:val="24"/>
              </w:rPr>
            </w:pPr>
            <w:r w:rsidRPr="00132694">
              <w:rPr>
                <w:rFonts w:asciiTheme="minorHAnsi" w:hAnsiTheme="minorHAnsi" w:cstheme="minorHAnsi"/>
                <w:sz w:val="24"/>
                <w:szCs w:val="24"/>
              </w:rPr>
              <w:t>Curţi de apel (inclusiv Curtea Militară de Apel)</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6946CE8C" w14:textId="77777777" w:rsidR="00272F80" w:rsidRPr="00132694" w:rsidRDefault="00272F80" w:rsidP="009E3AD8">
            <w:pPr>
              <w:spacing w:line="276" w:lineRule="auto"/>
              <w:jc w:val="center"/>
              <w:rPr>
                <w:rFonts w:asciiTheme="minorHAnsi" w:hAnsiTheme="minorHAnsi" w:cstheme="minorHAnsi"/>
                <w:sz w:val="20"/>
              </w:rPr>
            </w:pPr>
            <w:r w:rsidRPr="00132694">
              <w:rPr>
                <w:rFonts w:asciiTheme="minorHAnsi" w:hAnsiTheme="minorHAnsi" w:cstheme="minorHAnsi"/>
                <w:sz w:val="20"/>
              </w:rPr>
              <w:t>930</w:t>
            </w:r>
          </w:p>
        </w:tc>
        <w:tc>
          <w:tcPr>
            <w:tcW w:w="9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5C6ECE83" w14:textId="77777777" w:rsidR="00272F80" w:rsidRPr="00132694" w:rsidRDefault="00272F80" w:rsidP="009E3AD8">
            <w:pPr>
              <w:spacing w:line="276" w:lineRule="auto"/>
              <w:jc w:val="center"/>
              <w:rPr>
                <w:rFonts w:asciiTheme="minorHAnsi" w:hAnsiTheme="minorHAnsi" w:cstheme="minorHAnsi"/>
                <w:sz w:val="20"/>
              </w:rPr>
            </w:pPr>
            <w:r w:rsidRPr="00132694">
              <w:rPr>
                <w:rFonts w:asciiTheme="minorHAnsi" w:hAnsiTheme="minorHAnsi" w:cstheme="minorHAnsi"/>
                <w:sz w:val="20"/>
              </w:rPr>
              <w:t>930</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1F568E2" w14:textId="4D58359B" w:rsidR="00272F80" w:rsidRPr="00132694" w:rsidRDefault="00BD4F66" w:rsidP="009E3AD8">
            <w:pPr>
              <w:spacing w:line="276" w:lineRule="auto"/>
              <w:jc w:val="center"/>
              <w:rPr>
                <w:rFonts w:asciiTheme="minorHAnsi" w:hAnsiTheme="minorHAnsi" w:cstheme="minorHAnsi"/>
                <w:sz w:val="20"/>
              </w:rPr>
            </w:pPr>
            <w:r w:rsidRPr="00132694">
              <w:rPr>
                <w:rFonts w:asciiTheme="minorHAnsi" w:hAnsiTheme="minorHAnsi" w:cstheme="minorHAnsi"/>
                <w:sz w:val="20"/>
              </w:rPr>
              <w:t>931</w:t>
            </w:r>
          </w:p>
        </w:tc>
        <w:tc>
          <w:tcPr>
            <w:tcW w:w="8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5EC57227" w14:textId="77777777" w:rsidR="00272F80" w:rsidRPr="00132694" w:rsidRDefault="00272F80" w:rsidP="009E3AD8">
            <w:pPr>
              <w:spacing w:line="276" w:lineRule="auto"/>
              <w:jc w:val="center"/>
              <w:rPr>
                <w:rFonts w:asciiTheme="minorHAnsi" w:hAnsiTheme="minorHAnsi" w:cstheme="minorHAnsi"/>
                <w:sz w:val="20"/>
              </w:rPr>
            </w:pPr>
            <w:r w:rsidRPr="00132694">
              <w:rPr>
                <w:rFonts w:asciiTheme="minorHAnsi" w:hAnsiTheme="minorHAnsi" w:cstheme="minorHAnsi"/>
                <w:sz w:val="20"/>
              </w:rPr>
              <w:t>875</w:t>
            </w:r>
          </w:p>
        </w:tc>
        <w:tc>
          <w:tcPr>
            <w:tcW w:w="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57B92A04" w14:textId="77777777" w:rsidR="00272F80" w:rsidRPr="00132694" w:rsidRDefault="00272F80" w:rsidP="009E3AD8">
            <w:pPr>
              <w:spacing w:line="276" w:lineRule="auto"/>
              <w:jc w:val="center"/>
              <w:rPr>
                <w:rFonts w:asciiTheme="minorHAnsi" w:hAnsiTheme="minorHAnsi" w:cstheme="minorHAnsi"/>
                <w:sz w:val="20"/>
              </w:rPr>
            </w:pPr>
            <w:r w:rsidRPr="00132694">
              <w:rPr>
                <w:rFonts w:asciiTheme="minorHAnsi" w:hAnsiTheme="minorHAnsi" w:cstheme="minorHAnsi"/>
                <w:sz w:val="20"/>
              </w:rPr>
              <w:t>875</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58DD236" w14:textId="5B268790" w:rsidR="00272F80" w:rsidRPr="00132694" w:rsidRDefault="00BD4F66" w:rsidP="009E3AD8">
            <w:pPr>
              <w:spacing w:line="276" w:lineRule="auto"/>
              <w:jc w:val="center"/>
              <w:rPr>
                <w:rFonts w:asciiTheme="minorHAnsi" w:hAnsiTheme="minorHAnsi" w:cstheme="minorHAnsi"/>
                <w:sz w:val="20"/>
              </w:rPr>
            </w:pPr>
            <w:r w:rsidRPr="00132694">
              <w:rPr>
                <w:rFonts w:asciiTheme="minorHAnsi" w:hAnsiTheme="minorHAnsi" w:cstheme="minorHAnsi"/>
                <w:sz w:val="20"/>
              </w:rPr>
              <w:t>902</w:t>
            </w:r>
          </w:p>
        </w:tc>
        <w:tc>
          <w:tcPr>
            <w:tcW w:w="99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5CC65DFF" w14:textId="77777777" w:rsidR="00272F80" w:rsidRPr="00132694" w:rsidRDefault="00272F80" w:rsidP="009E3AD8">
            <w:pPr>
              <w:spacing w:line="276" w:lineRule="auto"/>
              <w:jc w:val="center"/>
              <w:rPr>
                <w:rFonts w:asciiTheme="minorHAnsi" w:hAnsiTheme="minorHAnsi" w:cstheme="minorHAnsi"/>
                <w:sz w:val="20"/>
              </w:rPr>
            </w:pPr>
            <w:r w:rsidRPr="00132694">
              <w:rPr>
                <w:rFonts w:asciiTheme="minorHAnsi" w:hAnsiTheme="minorHAnsi" w:cstheme="minorHAnsi"/>
                <w:sz w:val="20"/>
              </w:rPr>
              <w:t>55</w:t>
            </w:r>
          </w:p>
        </w:tc>
        <w:tc>
          <w:tcPr>
            <w:tcW w:w="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110ED8F" w14:textId="77777777" w:rsidR="00272F80" w:rsidRPr="00132694" w:rsidRDefault="00272F80" w:rsidP="009E3AD8">
            <w:pPr>
              <w:spacing w:line="276" w:lineRule="auto"/>
              <w:jc w:val="center"/>
              <w:rPr>
                <w:rFonts w:asciiTheme="minorHAnsi" w:hAnsiTheme="minorHAnsi" w:cstheme="minorHAnsi"/>
                <w:sz w:val="20"/>
              </w:rPr>
            </w:pPr>
            <w:r w:rsidRPr="00132694">
              <w:rPr>
                <w:rFonts w:asciiTheme="minorHAnsi" w:hAnsiTheme="minorHAnsi" w:cstheme="minorHAnsi"/>
                <w:sz w:val="20"/>
              </w:rPr>
              <w:t>55</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1764C55" w14:textId="130731BA" w:rsidR="00272F80" w:rsidRPr="00132694" w:rsidRDefault="00BD4F66" w:rsidP="009E3AD8">
            <w:pPr>
              <w:spacing w:line="276" w:lineRule="auto"/>
              <w:jc w:val="center"/>
              <w:rPr>
                <w:rFonts w:asciiTheme="minorHAnsi" w:hAnsiTheme="minorHAnsi" w:cstheme="minorHAnsi"/>
                <w:sz w:val="20"/>
              </w:rPr>
            </w:pPr>
            <w:r w:rsidRPr="00132694">
              <w:rPr>
                <w:rFonts w:asciiTheme="minorHAnsi" w:hAnsiTheme="minorHAnsi" w:cstheme="minorHAnsi"/>
                <w:sz w:val="20"/>
              </w:rPr>
              <w:t>29</w:t>
            </w:r>
          </w:p>
        </w:tc>
      </w:tr>
      <w:tr w:rsidR="00132694" w:rsidRPr="00132694" w14:paraId="33179674" w14:textId="77777777" w:rsidTr="00504360">
        <w:trPr>
          <w:jc w:val="center"/>
        </w:trPr>
        <w:tc>
          <w:tcPr>
            <w:tcW w:w="1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0DAC153" w14:textId="77777777" w:rsidR="00272F80" w:rsidRPr="00132694" w:rsidRDefault="00272F80" w:rsidP="009E3AD8">
            <w:pPr>
              <w:spacing w:line="276" w:lineRule="auto"/>
              <w:jc w:val="center"/>
              <w:rPr>
                <w:rFonts w:asciiTheme="minorHAnsi" w:hAnsiTheme="minorHAnsi" w:cstheme="minorHAnsi"/>
                <w:sz w:val="24"/>
                <w:szCs w:val="24"/>
              </w:rPr>
            </w:pPr>
            <w:r w:rsidRPr="00132694">
              <w:rPr>
                <w:rFonts w:asciiTheme="minorHAnsi" w:hAnsiTheme="minorHAnsi" w:cstheme="minorHAnsi"/>
                <w:sz w:val="24"/>
                <w:szCs w:val="24"/>
              </w:rPr>
              <w:t>Tribunale (inclusiv instanţele militare şi tribunalele specializate)</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53376830" w14:textId="77777777" w:rsidR="00272F80" w:rsidRPr="00132694" w:rsidRDefault="00272F80" w:rsidP="009E3AD8">
            <w:pPr>
              <w:spacing w:line="276" w:lineRule="auto"/>
              <w:jc w:val="center"/>
              <w:rPr>
                <w:rFonts w:asciiTheme="minorHAnsi" w:hAnsiTheme="minorHAnsi" w:cstheme="minorHAnsi"/>
                <w:sz w:val="20"/>
              </w:rPr>
            </w:pPr>
            <w:r w:rsidRPr="00132694">
              <w:rPr>
                <w:rFonts w:asciiTheme="minorHAnsi" w:hAnsiTheme="minorHAnsi" w:cstheme="minorHAnsi"/>
                <w:sz w:val="20"/>
              </w:rPr>
              <w:t>1701</w:t>
            </w:r>
          </w:p>
        </w:tc>
        <w:tc>
          <w:tcPr>
            <w:tcW w:w="9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FA4EDE1" w14:textId="77777777" w:rsidR="00272F80" w:rsidRPr="00132694" w:rsidRDefault="00272F80" w:rsidP="009E3AD8">
            <w:pPr>
              <w:spacing w:line="276" w:lineRule="auto"/>
              <w:jc w:val="center"/>
              <w:rPr>
                <w:rFonts w:asciiTheme="minorHAnsi" w:hAnsiTheme="minorHAnsi" w:cstheme="minorHAnsi"/>
                <w:sz w:val="20"/>
              </w:rPr>
            </w:pPr>
            <w:r w:rsidRPr="00132694">
              <w:rPr>
                <w:rFonts w:asciiTheme="minorHAnsi" w:hAnsiTheme="minorHAnsi" w:cstheme="minorHAnsi"/>
                <w:sz w:val="20"/>
              </w:rPr>
              <w:t>1701</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5468E8E" w14:textId="77777777" w:rsidR="00272F80" w:rsidRPr="00132694" w:rsidRDefault="00272F80" w:rsidP="009E3AD8">
            <w:pPr>
              <w:spacing w:line="276" w:lineRule="auto"/>
              <w:jc w:val="center"/>
              <w:rPr>
                <w:rFonts w:asciiTheme="minorHAnsi" w:hAnsiTheme="minorHAnsi" w:cstheme="minorHAnsi"/>
                <w:sz w:val="20"/>
              </w:rPr>
            </w:pPr>
            <w:r w:rsidRPr="00132694">
              <w:rPr>
                <w:rFonts w:asciiTheme="minorHAnsi" w:hAnsiTheme="minorHAnsi" w:cstheme="minorHAnsi"/>
                <w:sz w:val="20"/>
              </w:rPr>
              <w:t>1701</w:t>
            </w:r>
          </w:p>
        </w:tc>
        <w:tc>
          <w:tcPr>
            <w:tcW w:w="8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ED7B1CE" w14:textId="77777777" w:rsidR="00272F80" w:rsidRPr="00132694" w:rsidRDefault="00272F80" w:rsidP="009E3AD8">
            <w:pPr>
              <w:spacing w:line="276" w:lineRule="auto"/>
              <w:jc w:val="center"/>
              <w:rPr>
                <w:rFonts w:asciiTheme="minorHAnsi" w:hAnsiTheme="minorHAnsi" w:cstheme="minorHAnsi"/>
                <w:sz w:val="20"/>
              </w:rPr>
            </w:pPr>
            <w:r w:rsidRPr="00132694">
              <w:rPr>
                <w:rFonts w:asciiTheme="minorHAnsi" w:hAnsiTheme="minorHAnsi" w:cstheme="minorHAnsi"/>
                <w:sz w:val="20"/>
              </w:rPr>
              <w:t>1257</w:t>
            </w:r>
          </w:p>
        </w:tc>
        <w:tc>
          <w:tcPr>
            <w:tcW w:w="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73CD0BF7" w14:textId="77777777" w:rsidR="00272F80" w:rsidRPr="00132694" w:rsidRDefault="00272F80" w:rsidP="009E3AD8">
            <w:pPr>
              <w:spacing w:line="276" w:lineRule="auto"/>
              <w:jc w:val="center"/>
              <w:rPr>
                <w:rFonts w:asciiTheme="minorHAnsi" w:hAnsiTheme="minorHAnsi" w:cstheme="minorHAnsi"/>
                <w:sz w:val="20"/>
              </w:rPr>
            </w:pPr>
            <w:r w:rsidRPr="00132694">
              <w:rPr>
                <w:rFonts w:asciiTheme="minorHAnsi" w:hAnsiTheme="minorHAnsi" w:cstheme="minorHAnsi"/>
                <w:sz w:val="20"/>
              </w:rPr>
              <w:t>1257</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C5104A9" w14:textId="00E86020" w:rsidR="00272F80" w:rsidRPr="00132694" w:rsidRDefault="00BD4F66" w:rsidP="009E3AD8">
            <w:pPr>
              <w:spacing w:line="276" w:lineRule="auto"/>
              <w:jc w:val="center"/>
              <w:rPr>
                <w:rFonts w:asciiTheme="minorHAnsi" w:hAnsiTheme="minorHAnsi" w:cstheme="minorHAnsi"/>
                <w:sz w:val="20"/>
              </w:rPr>
            </w:pPr>
            <w:r w:rsidRPr="00132694">
              <w:rPr>
                <w:rFonts w:asciiTheme="minorHAnsi" w:hAnsiTheme="minorHAnsi" w:cstheme="minorHAnsi"/>
                <w:sz w:val="20"/>
              </w:rPr>
              <w:t>1308</w:t>
            </w:r>
          </w:p>
        </w:tc>
        <w:tc>
          <w:tcPr>
            <w:tcW w:w="99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6B2C79AB" w14:textId="77777777" w:rsidR="00272F80" w:rsidRPr="00132694" w:rsidRDefault="00272F80" w:rsidP="009E3AD8">
            <w:pPr>
              <w:spacing w:line="276" w:lineRule="auto"/>
              <w:jc w:val="center"/>
              <w:rPr>
                <w:rFonts w:asciiTheme="minorHAnsi" w:hAnsiTheme="minorHAnsi" w:cstheme="minorHAnsi"/>
                <w:sz w:val="20"/>
              </w:rPr>
            </w:pPr>
            <w:r w:rsidRPr="00132694">
              <w:rPr>
                <w:rFonts w:asciiTheme="minorHAnsi" w:hAnsiTheme="minorHAnsi" w:cstheme="minorHAnsi"/>
                <w:sz w:val="20"/>
              </w:rPr>
              <w:t>444</w:t>
            </w:r>
          </w:p>
        </w:tc>
        <w:tc>
          <w:tcPr>
            <w:tcW w:w="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244490C1" w14:textId="77777777" w:rsidR="00272F80" w:rsidRPr="00132694" w:rsidRDefault="00272F80" w:rsidP="009E3AD8">
            <w:pPr>
              <w:spacing w:line="276" w:lineRule="auto"/>
              <w:jc w:val="center"/>
              <w:rPr>
                <w:rFonts w:asciiTheme="minorHAnsi" w:hAnsiTheme="minorHAnsi" w:cstheme="minorHAnsi"/>
                <w:sz w:val="20"/>
              </w:rPr>
            </w:pPr>
            <w:r w:rsidRPr="00132694">
              <w:rPr>
                <w:rFonts w:asciiTheme="minorHAnsi" w:hAnsiTheme="minorHAnsi" w:cstheme="minorHAnsi"/>
                <w:sz w:val="20"/>
              </w:rPr>
              <w:t>444</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5720ADC" w14:textId="2ADA19C2" w:rsidR="00272F80" w:rsidRPr="00132694" w:rsidRDefault="00BD4F66" w:rsidP="009E3AD8">
            <w:pPr>
              <w:spacing w:line="276" w:lineRule="auto"/>
              <w:jc w:val="center"/>
              <w:rPr>
                <w:rFonts w:asciiTheme="minorHAnsi" w:hAnsiTheme="minorHAnsi" w:cstheme="minorHAnsi"/>
                <w:sz w:val="20"/>
              </w:rPr>
            </w:pPr>
            <w:r w:rsidRPr="00132694">
              <w:rPr>
                <w:rFonts w:asciiTheme="minorHAnsi" w:hAnsiTheme="minorHAnsi" w:cstheme="minorHAnsi"/>
                <w:sz w:val="20"/>
              </w:rPr>
              <w:t>393</w:t>
            </w:r>
          </w:p>
        </w:tc>
      </w:tr>
      <w:tr w:rsidR="00132694" w:rsidRPr="00132694" w14:paraId="69EF3EC0" w14:textId="77777777" w:rsidTr="00504360">
        <w:trPr>
          <w:jc w:val="center"/>
        </w:trPr>
        <w:tc>
          <w:tcPr>
            <w:tcW w:w="14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2AF3B5C9" w14:textId="77777777" w:rsidR="00272F80" w:rsidRPr="00132694" w:rsidRDefault="00272F80" w:rsidP="009E3AD8">
            <w:pPr>
              <w:spacing w:line="276" w:lineRule="auto"/>
              <w:jc w:val="center"/>
              <w:rPr>
                <w:rFonts w:asciiTheme="minorHAnsi" w:hAnsiTheme="minorHAnsi" w:cstheme="minorHAnsi"/>
                <w:sz w:val="24"/>
                <w:szCs w:val="24"/>
              </w:rPr>
            </w:pPr>
            <w:r w:rsidRPr="00132694">
              <w:rPr>
                <w:rFonts w:asciiTheme="minorHAnsi" w:hAnsiTheme="minorHAnsi" w:cstheme="minorHAnsi"/>
                <w:sz w:val="24"/>
                <w:szCs w:val="24"/>
              </w:rPr>
              <w:t>Judecătorii</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6291AB19" w14:textId="77777777" w:rsidR="00272F80" w:rsidRPr="00132694" w:rsidRDefault="00272F80" w:rsidP="009E3AD8">
            <w:pPr>
              <w:spacing w:line="276" w:lineRule="auto"/>
              <w:jc w:val="center"/>
              <w:rPr>
                <w:rFonts w:asciiTheme="minorHAnsi" w:hAnsiTheme="minorHAnsi" w:cstheme="minorHAnsi"/>
                <w:sz w:val="20"/>
              </w:rPr>
            </w:pPr>
            <w:r w:rsidRPr="00132694">
              <w:rPr>
                <w:rFonts w:asciiTheme="minorHAnsi" w:hAnsiTheme="minorHAnsi" w:cstheme="minorHAnsi"/>
                <w:sz w:val="20"/>
              </w:rPr>
              <w:t>2318</w:t>
            </w:r>
          </w:p>
        </w:tc>
        <w:tc>
          <w:tcPr>
            <w:tcW w:w="9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95DB813" w14:textId="77777777" w:rsidR="00272F80" w:rsidRPr="00132694" w:rsidRDefault="00272F80" w:rsidP="009E3AD8">
            <w:pPr>
              <w:spacing w:line="276" w:lineRule="auto"/>
              <w:jc w:val="center"/>
              <w:rPr>
                <w:rFonts w:asciiTheme="minorHAnsi" w:hAnsiTheme="minorHAnsi" w:cstheme="minorHAnsi"/>
                <w:sz w:val="20"/>
              </w:rPr>
            </w:pPr>
            <w:r w:rsidRPr="00132694">
              <w:rPr>
                <w:rFonts w:asciiTheme="minorHAnsi" w:hAnsiTheme="minorHAnsi" w:cstheme="minorHAnsi"/>
                <w:sz w:val="20"/>
              </w:rPr>
              <w:t>2318</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B6B6A25" w14:textId="76491812" w:rsidR="00272F80" w:rsidRPr="00132694" w:rsidRDefault="00BD4F66" w:rsidP="009E3AD8">
            <w:pPr>
              <w:spacing w:line="276" w:lineRule="auto"/>
              <w:jc w:val="center"/>
              <w:rPr>
                <w:rFonts w:asciiTheme="minorHAnsi" w:hAnsiTheme="minorHAnsi" w:cstheme="minorHAnsi"/>
                <w:sz w:val="20"/>
              </w:rPr>
            </w:pPr>
            <w:r w:rsidRPr="00132694">
              <w:rPr>
                <w:rFonts w:asciiTheme="minorHAnsi" w:hAnsiTheme="minorHAnsi" w:cstheme="minorHAnsi"/>
                <w:sz w:val="20"/>
              </w:rPr>
              <w:t>2316</w:t>
            </w:r>
          </w:p>
        </w:tc>
        <w:tc>
          <w:tcPr>
            <w:tcW w:w="8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12D404F5" w14:textId="77777777" w:rsidR="00272F80" w:rsidRPr="00132694" w:rsidRDefault="00272F80" w:rsidP="009E3AD8">
            <w:pPr>
              <w:spacing w:line="276" w:lineRule="auto"/>
              <w:jc w:val="center"/>
              <w:rPr>
                <w:rFonts w:asciiTheme="minorHAnsi" w:hAnsiTheme="minorHAnsi" w:cstheme="minorHAnsi"/>
                <w:sz w:val="20"/>
              </w:rPr>
            </w:pPr>
            <w:r w:rsidRPr="00132694">
              <w:rPr>
                <w:rFonts w:asciiTheme="minorHAnsi" w:hAnsiTheme="minorHAnsi" w:cstheme="minorHAnsi"/>
                <w:sz w:val="20"/>
              </w:rPr>
              <w:t>2018</w:t>
            </w:r>
          </w:p>
        </w:tc>
        <w:tc>
          <w:tcPr>
            <w:tcW w:w="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6ACED3B0" w14:textId="77777777" w:rsidR="00272F80" w:rsidRPr="00132694" w:rsidRDefault="00272F80" w:rsidP="009E3AD8">
            <w:pPr>
              <w:spacing w:line="276" w:lineRule="auto"/>
              <w:jc w:val="center"/>
              <w:rPr>
                <w:rFonts w:asciiTheme="minorHAnsi" w:hAnsiTheme="minorHAnsi" w:cstheme="minorHAnsi"/>
                <w:sz w:val="20"/>
              </w:rPr>
            </w:pPr>
            <w:r w:rsidRPr="00132694">
              <w:rPr>
                <w:rFonts w:asciiTheme="minorHAnsi" w:hAnsiTheme="minorHAnsi" w:cstheme="minorHAnsi"/>
                <w:sz w:val="20"/>
              </w:rPr>
              <w:t>2018</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B9BF8FB" w14:textId="3328E014" w:rsidR="00272F80" w:rsidRPr="00132694" w:rsidRDefault="00E73F48" w:rsidP="009E3AD8">
            <w:pPr>
              <w:spacing w:line="276" w:lineRule="auto"/>
              <w:jc w:val="center"/>
              <w:rPr>
                <w:rFonts w:asciiTheme="minorHAnsi" w:hAnsiTheme="minorHAnsi" w:cstheme="minorHAnsi"/>
                <w:sz w:val="20"/>
              </w:rPr>
            </w:pPr>
            <w:r w:rsidRPr="00132694">
              <w:rPr>
                <w:rFonts w:asciiTheme="minorHAnsi" w:hAnsiTheme="minorHAnsi" w:cstheme="minorHAnsi"/>
                <w:sz w:val="20"/>
              </w:rPr>
              <w:t>1993</w:t>
            </w:r>
          </w:p>
        </w:tc>
        <w:tc>
          <w:tcPr>
            <w:tcW w:w="99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9AB7A58" w14:textId="77777777" w:rsidR="00272F80" w:rsidRPr="00132694" w:rsidRDefault="00272F80" w:rsidP="009E3AD8">
            <w:pPr>
              <w:spacing w:line="276" w:lineRule="auto"/>
              <w:jc w:val="center"/>
              <w:rPr>
                <w:rFonts w:asciiTheme="minorHAnsi" w:hAnsiTheme="minorHAnsi" w:cstheme="minorHAnsi"/>
                <w:sz w:val="20"/>
              </w:rPr>
            </w:pPr>
            <w:r w:rsidRPr="00132694">
              <w:rPr>
                <w:rFonts w:asciiTheme="minorHAnsi" w:hAnsiTheme="minorHAnsi" w:cstheme="minorHAnsi"/>
                <w:sz w:val="20"/>
              </w:rPr>
              <w:t>300</w:t>
            </w:r>
          </w:p>
        </w:tc>
        <w:tc>
          <w:tcPr>
            <w:tcW w:w="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52814E8B" w14:textId="77777777" w:rsidR="00272F80" w:rsidRPr="00132694" w:rsidRDefault="00272F80" w:rsidP="009E3AD8">
            <w:pPr>
              <w:spacing w:line="276" w:lineRule="auto"/>
              <w:jc w:val="center"/>
              <w:rPr>
                <w:rFonts w:asciiTheme="minorHAnsi" w:hAnsiTheme="minorHAnsi" w:cstheme="minorHAnsi"/>
                <w:sz w:val="20"/>
              </w:rPr>
            </w:pPr>
            <w:r w:rsidRPr="00132694">
              <w:rPr>
                <w:rFonts w:asciiTheme="minorHAnsi" w:hAnsiTheme="minorHAnsi" w:cstheme="minorHAnsi"/>
                <w:sz w:val="20"/>
              </w:rPr>
              <w:t>300</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5AF1CC3" w14:textId="2F57A38C" w:rsidR="00272F80" w:rsidRPr="00132694" w:rsidRDefault="00E73F48" w:rsidP="009E3AD8">
            <w:pPr>
              <w:spacing w:line="276" w:lineRule="auto"/>
              <w:jc w:val="center"/>
              <w:rPr>
                <w:rFonts w:asciiTheme="minorHAnsi" w:hAnsiTheme="minorHAnsi" w:cstheme="minorHAnsi"/>
                <w:sz w:val="20"/>
              </w:rPr>
            </w:pPr>
            <w:r w:rsidRPr="00132694">
              <w:rPr>
                <w:rFonts w:asciiTheme="minorHAnsi" w:hAnsiTheme="minorHAnsi" w:cstheme="minorHAnsi"/>
                <w:sz w:val="20"/>
              </w:rPr>
              <w:t>323</w:t>
            </w:r>
          </w:p>
        </w:tc>
      </w:tr>
      <w:tr w:rsidR="00132694" w:rsidRPr="00132694" w14:paraId="62A47DD1" w14:textId="77777777" w:rsidTr="00504360">
        <w:trPr>
          <w:jc w:val="center"/>
        </w:trPr>
        <w:tc>
          <w:tcPr>
            <w:tcW w:w="142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A474AC2" w14:textId="77777777" w:rsidR="00272F80" w:rsidRPr="00132694" w:rsidRDefault="00272F80" w:rsidP="009E3AD8">
            <w:pPr>
              <w:spacing w:line="276" w:lineRule="auto"/>
              <w:jc w:val="center"/>
              <w:rPr>
                <w:rFonts w:asciiTheme="minorHAnsi" w:hAnsiTheme="minorHAnsi" w:cstheme="minorHAnsi"/>
                <w:sz w:val="24"/>
                <w:szCs w:val="24"/>
              </w:rPr>
            </w:pPr>
            <w:r w:rsidRPr="00132694">
              <w:rPr>
                <w:rFonts w:asciiTheme="minorHAnsi" w:hAnsiTheme="minorHAnsi" w:cstheme="minorHAnsi"/>
                <w:b/>
                <w:sz w:val="24"/>
                <w:szCs w:val="24"/>
              </w:rPr>
              <w:t>Total</w:t>
            </w:r>
            <w:r w:rsidRPr="00132694">
              <w:rPr>
                <w:rFonts w:asciiTheme="minorHAnsi" w:hAnsiTheme="minorHAnsi" w:cstheme="minorHAnsi"/>
                <w:b/>
                <w:sz w:val="24"/>
                <w:szCs w:val="24"/>
                <w:vertAlign w:val="superscript"/>
              </w:rPr>
              <w:t>*</w:t>
            </w:r>
          </w:p>
        </w:tc>
        <w:tc>
          <w:tcPr>
            <w:tcW w:w="101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C0BA362" w14:textId="77777777" w:rsidR="00272F80" w:rsidRPr="00132694" w:rsidRDefault="00272F80" w:rsidP="009E3AD8">
            <w:pPr>
              <w:spacing w:line="276" w:lineRule="auto"/>
              <w:jc w:val="center"/>
              <w:rPr>
                <w:rFonts w:asciiTheme="minorHAnsi" w:hAnsiTheme="minorHAnsi" w:cstheme="minorHAnsi"/>
                <w:sz w:val="20"/>
              </w:rPr>
            </w:pPr>
            <w:r w:rsidRPr="00132694">
              <w:rPr>
                <w:rFonts w:asciiTheme="minorHAnsi" w:hAnsiTheme="minorHAnsi" w:cstheme="minorHAnsi"/>
                <w:sz w:val="20"/>
              </w:rPr>
              <w:t>5071</w:t>
            </w:r>
          </w:p>
        </w:tc>
        <w:tc>
          <w:tcPr>
            <w:tcW w:w="9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587B534" w14:textId="77777777" w:rsidR="00272F80" w:rsidRPr="00132694" w:rsidRDefault="00272F80" w:rsidP="009E3AD8">
            <w:pPr>
              <w:spacing w:line="276" w:lineRule="auto"/>
              <w:jc w:val="center"/>
              <w:rPr>
                <w:rFonts w:asciiTheme="minorHAnsi" w:hAnsiTheme="minorHAnsi" w:cstheme="minorHAnsi"/>
                <w:sz w:val="20"/>
              </w:rPr>
            </w:pPr>
            <w:r w:rsidRPr="00132694">
              <w:rPr>
                <w:rFonts w:asciiTheme="minorHAnsi" w:hAnsiTheme="minorHAnsi" w:cstheme="minorHAnsi"/>
                <w:sz w:val="20"/>
              </w:rPr>
              <w:t>5071</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23F541F" w14:textId="2DCF1752" w:rsidR="00272F80" w:rsidRPr="00132694" w:rsidRDefault="00BD4F66" w:rsidP="009E3AD8">
            <w:pPr>
              <w:spacing w:line="276" w:lineRule="auto"/>
              <w:jc w:val="center"/>
              <w:rPr>
                <w:rFonts w:asciiTheme="minorHAnsi" w:hAnsiTheme="minorHAnsi" w:cstheme="minorHAnsi"/>
                <w:sz w:val="20"/>
              </w:rPr>
            </w:pPr>
            <w:r w:rsidRPr="00132694">
              <w:rPr>
                <w:rFonts w:asciiTheme="minorHAnsi" w:hAnsiTheme="minorHAnsi" w:cstheme="minorHAnsi"/>
                <w:sz w:val="20"/>
              </w:rPr>
              <w:t>5070</w:t>
            </w:r>
          </w:p>
        </w:tc>
        <w:tc>
          <w:tcPr>
            <w:tcW w:w="8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28B0700" w14:textId="77777777" w:rsidR="00272F80" w:rsidRPr="00132694" w:rsidRDefault="00272F80" w:rsidP="009E3AD8">
            <w:pPr>
              <w:spacing w:line="276" w:lineRule="auto"/>
              <w:jc w:val="center"/>
              <w:rPr>
                <w:rFonts w:asciiTheme="minorHAnsi" w:hAnsiTheme="minorHAnsi" w:cstheme="minorHAnsi"/>
                <w:sz w:val="20"/>
              </w:rPr>
            </w:pPr>
            <w:r w:rsidRPr="00132694">
              <w:rPr>
                <w:rFonts w:asciiTheme="minorHAnsi" w:hAnsiTheme="minorHAnsi" w:cstheme="minorHAnsi"/>
                <w:sz w:val="20"/>
              </w:rPr>
              <w:t>4251</w:t>
            </w:r>
          </w:p>
        </w:tc>
        <w:tc>
          <w:tcPr>
            <w:tcW w:w="9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A984765" w14:textId="77777777" w:rsidR="00272F80" w:rsidRPr="00132694" w:rsidRDefault="00272F80" w:rsidP="009E3AD8">
            <w:pPr>
              <w:spacing w:line="276" w:lineRule="auto"/>
              <w:jc w:val="center"/>
              <w:rPr>
                <w:rFonts w:asciiTheme="minorHAnsi" w:hAnsiTheme="minorHAnsi" w:cstheme="minorHAnsi"/>
                <w:sz w:val="20"/>
              </w:rPr>
            </w:pPr>
            <w:r w:rsidRPr="00132694">
              <w:rPr>
                <w:rFonts w:asciiTheme="minorHAnsi" w:hAnsiTheme="minorHAnsi" w:cstheme="minorHAnsi"/>
                <w:sz w:val="20"/>
              </w:rPr>
              <w:t>4251</w:t>
            </w:r>
          </w:p>
        </w:tc>
        <w:tc>
          <w:tcPr>
            <w:tcW w:w="99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EF7B09A" w14:textId="41CB22D3" w:rsidR="00272F80" w:rsidRPr="00132694" w:rsidRDefault="00E73F48" w:rsidP="009E3AD8">
            <w:pPr>
              <w:spacing w:line="276" w:lineRule="auto"/>
              <w:jc w:val="center"/>
              <w:rPr>
                <w:rFonts w:asciiTheme="minorHAnsi" w:hAnsiTheme="minorHAnsi" w:cstheme="minorHAnsi"/>
                <w:sz w:val="20"/>
              </w:rPr>
            </w:pPr>
            <w:r w:rsidRPr="00132694">
              <w:rPr>
                <w:rFonts w:asciiTheme="minorHAnsi" w:hAnsiTheme="minorHAnsi" w:cstheme="minorHAnsi"/>
                <w:sz w:val="20"/>
              </w:rPr>
              <w:t>4319</w:t>
            </w:r>
          </w:p>
        </w:tc>
        <w:tc>
          <w:tcPr>
            <w:tcW w:w="99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F3EE5A6" w14:textId="77777777" w:rsidR="00272F80" w:rsidRPr="00132694" w:rsidRDefault="00272F80" w:rsidP="009E3AD8">
            <w:pPr>
              <w:spacing w:line="276" w:lineRule="auto"/>
              <w:jc w:val="center"/>
              <w:rPr>
                <w:rFonts w:asciiTheme="minorHAnsi" w:hAnsiTheme="minorHAnsi" w:cstheme="minorHAnsi"/>
                <w:sz w:val="20"/>
              </w:rPr>
            </w:pPr>
            <w:r w:rsidRPr="00132694">
              <w:rPr>
                <w:rFonts w:asciiTheme="minorHAnsi" w:hAnsiTheme="minorHAnsi" w:cstheme="minorHAnsi"/>
                <w:sz w:val="20"/>
              </w:rPr>
              <w:t>820</w:t>
            </w:r>
          </w:p>
        </w:tc>
        <w:tc>
          <w:tcPr>
            <w:tcW w:w="9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0AFD0C1E" w14:textId="77777777" w:rsidR="00272F80" w:rsidRPr="00132694" w:rsidRDefault="00272F80" w:rsidP="009E3AD8">
            <w:pPr>
              <w:spacing w:line="276" w:lineRule="auto"/>
              <w:jc w:val="center"/>
              <w:rPr>
                <w:rFonts w:asciiTheme="minorHAnsi" w:hAnsiTheme="minorHAnsi" w:cstheme="minorHAnsi"/>
                <w:sz w:val="20"/>
              </w:rPr>
            </w:pPr>
            <w:r w:rsidRPr="00132694">
              <w:rPr>
                <w:rFonts w:asciiTheme="minorHAnsi" w:hAnsiTheme="minorHAnsi" w:cstheme="minorHAnsi"/>
                <w:sz w:val="20"/>
              </w:rPr>
              <w:t>820</w:t>
            </w:r>
          </w:p>
        </w:tc>
        <w:tc>
          <w:tcPr>
            <w:tcW w:w="100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8C68336" w14:textId="615960CE" w:rsidR="00272F80" w:rsidRPr="00132694" w:rsidRDefault="00E73F48" w:rsidP="009E3AD8">
            <w:pPr>
              <w:spacing w:line="276" w:lineRule="auto"/>
              <w:jc w:val="center"/>
              <w:rPr>
                <w:rFonts w:asciiTheme="minorHAnsi" w:hAnsiTheme="minorHAnsi" w:cstheme="minorHAnsi"/>
                <w:sz w:val="20"/>
              </w:rPr>
            </w:pPr>
            <w:r w:rsidRPr="00132694">
              <w:rPr>
                <w:rFonts w:asciiTheme="minorHAnsi" w:hAnsiTheme="minorHAnsi" w:cstheme="minorHAnsi"/>
                <w:sz w:val="20"/>
              </w:rPr>
              <w:t>751</w:t>
            </w:r>
          </w:p>
        </w:tc>
      </w:tr>
    </w:tbl>
    <w:p w14:paraId="5B7B948A" w14:textId="7CBCB7B0" w:rsidR="00272F80" w:rsidRPr="003D625B" w:rsidRDefault="00272F80" w:rsidP="009E3AD8">
      <w:pPr>
        <w:spacing w:line="276" w:lineRule="auto"/>
        <w:ind w:firstLine="708"/>
        <w:jc w:val="both"/>
        <w:rPr>
          <w:rFonts w:asciiTheme="minorHAnsi" w:hAnsiTheme="minorHAnsi" w:cstheme="minorHAnsi"/>
          <w:color w:val="000000" w:themeColor="text1"/>
          <w:sz w:val="26"/>
          <w:szCs w:val="26"/>
        </w:rPr>
      </w:pPr>
      <w:r w:rsidRPr="00132694">
        <w:rPr>
          <w:rFonts w:asciiTheme="minorHAnsi" w:hAnsiTheme="minorHAnsi" w:cstheme="minorHAnsi"/>
          <w:sz w:val="26"/>
          <w:szCs w:val="26"/>
        </w:rPr>
        <w:t xml:space="preserve">*Modificarea numărului de posturi prevăzute în schema instanţelor rezultă din </w:t>
      </w:r>
      <w:r w:rsidRPr="003D625B">
        <w:rPr>
          <w:rFonts w:asciiTheme="minorHAnsi" w:hAnsiTheme="minorHAnsi" w:cstheme="minorHAnsi"/>
          <w:color w:val="000000" w:themeColor="text1"/>
          <w:sz w:val="26"/>
          <w:szCs w:val="26"/>
        </w:rPr>
        <w:t xml:space="preserve">alocarea/restuituirea de posturi </w:t>
      </w:r>
      <w:r w:rsidR="00674FD6">
        <w:rPr>
          <w:rFonts w:asciiTheme="minorHAnsi" w:hAnsiTheme="minorHAnsi" w:cstheme="minorHAnsi"/>
          <w:color w:val="000000" w:themeColor="text1"/>
          <w:sz w:val="26"/>
          <w:szCs w:val="26"/>
        </w:rPr>
        <w:t>di</w:t>
      </w:r>
      <w:r w:rsidRPr="003D625B">
        <w:rPr>
          <w:rFonts w:asciiTheme="minorHAnsi" w:hAnsiTheme="minorHAnsi" w:cstheme="minorHAnsi"/>
          <w:color w:val="000000" w:themeColor="text1"/>
          <w:sz w:val="26"/>
          <w:szCs w:val="26"/>
        </w:rPr>
        <w:t>n fondul de rezervă, în condiţiile art. 147</w:t>
      </w:r>
      <w:r w:rsidRPr="003D625B">
        <w:rPr>
          <w:rFonts w:asciiTheme="minorHAnsi" w:hAnsiTheme="minorHAnsi" w:cstheme="minorHAnsi"/>
          <w:color w:val="000000" w:themeColor="text1"/>
          <w:sz w:val="26"/>
          <w:szCs w:val="26"/>
          <w:vertAlign w:val="superscript"/>
        </w:rPr>
        <w:t xml:space="preserve"> </w:t>
      </w:r>
      <w:r w:rsidRPr="003D625B">
        <w:rPr>
          <w:rFonts w:asciiTheme="minorHAnsi" w:hAnsiTheme="minorHAnsi" w:cstheme="minorHAnsi"/>
          <w:color w:val="000000" w:themeColor="text1"/>
          <w:sz w:val="26"/>
          <w:szCs w:val="26"/>
        </w:rPr>
        <w:t xml:space="preserve">din Legea </w:t>
      </w:r>
      <w:r w:rsidRPr="003D625B">
        <w:rPr>
          <w:rFonts w:asciiTheme="minorHAnsi" w:hAnsiTheme="minorHAnsi" w:cstheme="minorHAnsi"/>
          <w:color w:val="000000" w:themeColor="text1"/>
          <w:sz w:val="26"/>
          <w:szCs w:val="26"/>
        </w:rPr>
        <w:br/>
        <w:t>nr. 304/2022</w:t>
      </w:r>
      <w:r w:rsidRPr="003D625B">
        <w:rPr>
          <w:rFonts w:asciiTheme="minorHAnsi" w:eastAsiaTheme="minorHAnsi" w:hAnsiTheme="minorHAnsi" w:cstheme="minorHAnsi"/>
          <w:color w:val="000000" w:themeColor="text1"/>
          <w:sz w:val="26"/>
          <w:szCs w:val="26"/>
        </w:rPr>
        <w:t xml:space="preserve"> </w:t>
      </w:r>
      <w:r w:rsidRPr="003D625B">
        <w:rPr>
          <w:rFonts w:asciiTheme="minorHAnsi" w:hAnsiTheme="minorHAnsi" w:cstheme="minorHAnsi"/>
          <w:color w:val="000000" w:themeColor="text1"/>
          <w:sz w:val="26"/>
          <w:szCs w:val="26"/>
        </w:rPr>
        <w:t>privind organizarea judiciară.</w:t>
      </w:r>
    </w:p>
    <w:p w14:paraId="2EFE5544" w14:textId="77777777" w:rsidR="00272F80" w:rsidRPr="003D625B" w:rsidRDefault="00272F80" w:rsidP="009E3AD8">
      <w:pPr>
        <w:spacing w:line="276" w:lineRule="auto"/>
        <w:jc w:val="center"/>
        <w:rPr>
          <w:rFonts w:asciiTheme="minorHAnsi" w:hAnsiTheme="minorHAnsi" w:cstheme="minorHAnsi"/>
          <w:color w:val="000000" w:themeColor="text1"/>
          <w:sz w:val="26"/>
          <w:szCs w:val="26"/>
        </w:rPr>
      </w:pPr>
      <w:r w:rsidRPr="003D625B">
        <w:rPr>
          <w:rFonts w:cs="Calibri"/>
          <w:noProof/>
          <w:color w:val="000000" w:themeColor="text1"/>
          <w:sz w:val="26"/>
          <w:szCs w:val="26"/>
          <w:lang w:eastAsia="ro-RO"/>
        </w:rPr>
        <w:lastRenderedPageBreak/>
        <w:drawing>
          <wp:inline distT="0" distB="0" distL="0" distR="0" wp14:anchorId="04AE456F" wp14:editId="7CD49DDA">
            <wp:extent cx="5731510" cy="2790825"/>
            <wp:effectExtent l="0" t="0" r="2540" b="0"/>
            <wp:docPr id="1297625875" name="Chart 129762587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2FC0BBB" w14:textId="37767D52" w:rsidR="004F1311" w:rsidRPr="00132694" w:rsidRDefault="00272F80" w:rsidP="004F1311">
      <w:pPr>
        <w:spacing w:line="276" w:lineRule="auto"/>
        <w:ind w:firstLine="708"/>
        <w:jc w:val="both"/>
        <w:rPr>
          <w:rFonts w:asciiTheme="minorHAnsi" w:hAnsiTheme="minorHAnsi" w:cstheme="minorHAnsi"/>
          <w:bCs/>
          <w:sz w:val="26"/>
          <w:szCs w:val="26"/>
        </w:rPr>
      </w:pPr>
      <w:r w:rsidRPr="00132694">
        <w:rPr>
          <w:rFonts w:asciiTheme="minorHAnsi" w:hAnsiTheme="minorHAnsi" w:cstheme="minorHAnsi"/>
          <w:sz w:val="26"/>
          <w:szCs w:val="26"/>
        </w:rPr>
        <w:t xml:space="preserve">Astfel, la data de </w:t>
      </w:r>
      <w:r w:rsidR="00E73F48" w:rsidRPr="00132694">
        <w:rPr>
          <w:rFonts w:asciiTheme="minorHAnsi" w:hAnsiTheme="minorHAnsi" w:cstheme="minorHAnsi"/>
          <w:sz w:val="26"/>
          <w:szCs w:val="26"/>
        </w:rPr>
        <w:t>31 decembrie</w:t>
      </w:r>
      <w:r w:rsidRPr="00132694">
        <w:rPr>
          <w:rFonts w:asciiTheme="minorHAnsi" w:hAnsiTheme="minorHAnsi" w:cstheme="minorHAnsi"/>
          <w:sz w:val="26"/>
          <w:szCs w:val="26"/>
        </w:rPr>
        <w:t xml:space="preserve"> 2025, din totalul de </w:t>
      </w:r>
      <w:r w:rsidR="0099095D" w:rsidRPr="00132694">
        <w:rPr>
          <w:rFonts w:asciiTheme="minorHAnsi" w:hAnsiTheme="minorHAnsi" w:cstheme="minorHAnsi"/>
          <w:sz w:val="26"/>
          <w:szCs w:val="26"/>
        </w:rPr>
        <w:t>5070</w:t>
      </w:r>
      <w:r w:rsidRPr="00132694">
        <w:rPr>
          <w:rFonts w:asciiTheme="minorHAnsi" w:hAnsiTheme="minorHAnsi" w:cstheme="minorHAnsi"/>
          <w:sz w:val="26"/>
          <w:szCs w:val="26"/>
        </w:rPr>
        <w:t xml:space="preserve"> de posturi (cu luarea în considerare a posturilor alocate din fondul de rezervă în condiţiile art. 147 din Legea nr. 304/2022</w:t>
      </w:r>
      <w:r w:rsidRPr="00132694">
        <w:rPr>
          <w:rFonts w:asciiTheme="minorHAnsi" w:eastAsiaTheme="minorHAnsi" w:hAnsiTheme="minorHAnsi" w:cstheme="minorHAnsi"/>
          <w:sz w:val="26"/>
          <w:szCs w:val="26"/>
        </w:rPr>
        <w:t xml:space="preserve"> </w:t>
      </w:r>
      <w:r w:rsidRPr="00132694">
        <w:rPr>
          <w:rFonts w:asciiTheme="minorHAnsi" w:hAnsiTheme="minorHAnsi" w:cstheme="minorHAnsi"/>
          <w:sz w:val="26"/>
          <w:szCs w:val="26"/>
        </w:rPr>
        <w:t xml:space="preserve">privind organizarea judiciară) </w:t>
      </w:r>
      <w:r w:rsidR="0099095D" w:rsidRPr="00132694">
        <w:rPr>
          <w:rFonts w:asciiTheme="minorHAnsi" w:hAnsiTheme="minorHAnsi" w:cstheme="minorHAnsi"/>
          <w:sz w:val="26"/>
          <w:szCs w:val="26"/>
        </w:rPr>
        <w:t>sunt</w:t>
      </w:r>
      <w:r w:rsidR="004F1311" w:rsidRPr="00132694">
        <w:rPr>
          <w:rFonts w:asciiTheme="minorHAnsi" w:hAnsiTheme="minorHAnsi" w:cstheme="minorHAnsi"/>
          <w:sz w:val="26"/>
          <w:szCs w:val="26"/>
        </w:rPr>
        <w:t xml:space="preserve"> </w:t>
      </w:r>
      <w:r w:rsidRPr="00132694">
        <w:rPr>
          <w:rFonts w:asciiTheme="minorHAnsi" w:hAnsiTheme="minorHAnsi" w:cstheme="minorHAnsi"/>
          <w:bCs/>
          <w:sz w:val="26"/>
          <w:szCs w:val="26"/>
        </w:rPr>
        <w:t xml:space="preserve">ocupate </w:t>
      </w:r>
      <w:r w:rsidR="0099095D" w:rsidRPr="00132694">
        <w:rPr>
          <w:rFonts w:asciiTheme="minorHAnsi" w:hAnsiTheme="minorHAnsi" w:cstheme="minorHAnsi"/>
          <w:bCs/>
          <w:sz w:val="26"/>
          <w:szCs w:val="26"/>
        </w:rPr>
        <w:t>4319</w:t>
      </w:r>
      <w:r w:rsidRPr="00132694">
        <w:rPr>
          <w:rFonts w:asciiTheme="minorHAnsi" w:hAnsiTheme="minorHAnsi" w:cstheme="minorHAnsi"/>
          <w:bCs/>
          <w:sz w:val="26"/>
          <w:szCs w:val="26"/>
        </w:rPr>
        <w:t xml:space="preserve"> de posturi de judecător, iar </w:t>
      </w:r>
      <w:r w:rsidR="0099095D" w:rsidRPr="00132694">
        <w:rPr>
          <w:rFonts w:asciiTheme="minorHAnsi" w:hAnsiTheme="minorHAnsi" w:cstheme="minorHAnsi"/>
          <w:bCs/>
          <w:sz w:val="26"/>
          <w:szCs w:val="26"/>
        </w:rPr>
        <w:t>751</w:t>
      </w:r>
      <w:r w:rsidR="004F1311" w:rsidRPr="00132694">
        <w:rPr>
          <w:rFonts w:asciiTheme="minorHAnsi" w:hAnsiTheme="minorHAnsi" w:cstheme="minorHAnsi"/>
          <w:bCs/>
          <w:sz w:val="26"/>
          <w:szCs w:val="26"/>
        </w:rPr>
        <w:t xml:space="preserve"> </w:t>
      </w:r>
      <w:r w:rsidR="004C4D02" w:rsidRPr="00132694">
        <w:rPr>
          <w:rFonts w:asciiTheme="minorHAnsi" w:hAnsiTheme="minorHAnsi" w:cstheme="minorHAnsi"/>
          <w:bCs/>
          <w:sz w:val="26"/>
          <w:szCs w:val="26"/>
        </w:rPr>
        <w:t xml:space="preserve">de </w:t>
      </w:r>
      <w:r w:rsidR="004F1311" w:rsidRPr="00132694">
        <w:rPr>
          <w:rFonts w:asciiTheme="minorHAnsi" w:hAnsiTheme="minorHAnsi" w:cstheme="minorHAnsi"/>
          <w:bCs/>
          <w:sz w:val="26"/>
          <w:szCs w:val="26"/>
        </w:rPr>
        <w:t>posturi</w:t>
      </w:r>
      <w:r w:rsidRPr="00132694">
        <w:rPr>
          <w:rFonts w:asciiTheme="minorHAnsi" w:hAnsiTheme="minorHAnsi" w:cstheme="minorHAnsi"/>
          <w:bCs/>
          <w:sz w:val="26"/>
          <w:szCs w:val="26"/>
        </w:rPr>
        <w:t xml:space="preserve"> </w:t>
      </w:r>
      <w:r w:rsidR="0099095D" w:rsidRPr="00132694">
        <w:rPr>
          <w:rFonts w:asciiTheme="minorHAnsi" w:hAnsiTheme="minorHAnsi" w:cstheme="minorHAnsi"/>
          <w:bCs/>
          <w:sz w:val="26"/>
          <w:szCs w:val="26"/>
        </w:rPr>
        <w:t>sunt</w:t>
      </w:r>
      <w:r w:rsidRPr="00132694">
        <w:rPr>
          <w:rFonts w:asciiTheme="minorHAnsi" w:hAnsiTheme="minorHAnsi" w:cstheme="minorHAnsi"/>
          <w:bCs/>
          <w:sz w:val="26"/>
          <w:szCs w:val="26"/>
        </w:rPr>
        <w:t xml:space="preserve"> vacante.</w:t>
      </w:r>
      <w:r w:rsidR="004F1311" w:rsidRPr="00132694">
        <w:rPr>
          <w:rFonts w:asciiTheme="minorHAnsi" w:hAnsiTheme="minorHAnsi" w:cstheme="minorHAnsi"/>
          <w:bCs/>
          <w:sz w:val="26"/>
          <w:szCs w:val="26"/>
        </w:rPr>
        <w:t xml:space="preserve"> </w:t>
      </w:r>
    </w:p>
    <w:p w14:paraId="6F7752D1" w14:textId="1C04800C" w:rsidR="00272F80" w:rsidRPr="00132694" w:rsidRDefault="00272F80" w:rsidP="004F1311">
      <w:pPr>
        <w:spacing w:line="276" w:lineRule="auto"/>
        <w:ind w:firstLine="708"/>
        <w:jc w:val="both"/>
        <w:rPr>
          <w:rFonts w:asciiTheme="minorHAnsi" w:hAnsiTheme="minorHAnsi" w:cstheme="minorHAnsi"/>
          <w:bCs/>
          <w:sz w:val="26"/>
          <w:szCs w:val="26"/>
        </w:rPr>
      </w:pPr>
      <w:r w:rsidRPr="00132694">
        <w:rPr>
          <w:rFonts w:asciiTheme="minorHAnsi" w:hAnsiTheme="minorHAnsi" w:cstheme="minorHAnsi"/>
          <w:bCs/>
          <w:sz w:val="26"/>
          <w:szCs w:val="26"/>
        </w:rPr>
        <w:t xml:space="preserve">Potrivit datelor </w:t>
      </w:r>
      <w:r w:rsidR="004F1311" w:rsidRPr="00132694">
        <w:rPr>
          <w:rFonts w:asciiTheme="minorHAnsi" w:hAnsiTheme="minorHAnsi" w:cstheme="minorHAnsi"/>
          <w:bCs/>
          <w:sz w:val="26"/>
          <w:szCs w:val="26"/>
        </w:rPr>
        <w:t>prezentate</w:t>
      </w:r>
      <w:r w:rsidRPr="00132694">
        <w:rPr>
          <w:rFonts w:asciiTheme="minorHAnsi" w:hAnsiTheme="minorHAnsi" w:cstheme="minorHAnsi"/>
          <w:bCs/>
          <w:sz w:val="26"/>
          <w:szCs w:val="26"/>
        </w:rPr>
        <w:t>, se constată o creştere a gradului de ocupare</w:t>
      </w:r>
      <w:r w:rsidR="004F1311" w:rsidRPr="00132694">
        <w:rPr>
          <w:rFonts w:asciiTheme="minorHAnsi" w:hAnsiTheme="minorHAnsi" w:cstheme="minorHAnsi"/>
          <w:bCs/>
          <w:sz w:val="26"/>
          <w:szCs w:val="26"/>
        </w:rPr>
        <w:t xml:space="preserve"> la </w:t>
      </w:r>
      <w:r w:rsidRPr="00132694">
        <w:rPr>
          <w:rFonts w:asciiTheme="minorHAnsi" w:hAnsiTheme="minorHAnsi" w:cstheme="minorHAnsi"/>
          <w:bCs/>
          <w:sz w:val="26"/>
          <w:szCs w:val="26"/>
        </w:rPr>
        <w:t>8</w:t>
      </w:r>
      <w:r w:rsidR="007C13B2" w:rsidRPr="00132694">
        <w:rPr>
          <w:rFonts w:asciiTheme="minorHAnsi" w:hAnsiTheme="minorHAnsi" w:cstheme="minorHAnsi"/>
          <w:bCs/>
          <w:sz w:val="26"/>
          <w:szCs w:val="26"/>
        </w:rPr>
        <w:t>5</w:t>
      </w:r>
      <w:r w:rsidRPr="00132694">
        <w:rPr>
          <w:rFonts w:asciiTheme="minorHAnsi" w:hAnsiTheme="minorHAnsi" w:cstheme="minorHAnsi"/>
          <w:bCs/>
          <w:sz w:val="26"/>
          <w:szCs w:val="26"/>
        </w:rPr>
        <w:t>%,</w:t>
      </w:r>
      <w:r w:rsidR="004F1311" w:rsidRPr="00132694">
        <w:rPr>
          <w:rFonts w:asciiTheme="minorHAnsi" w:hAnsiTheme="minorHAnsi" w:cstheme="minorHAnsi"/>
          <w:bCs/>
          <w:sz w:val="26"/>
          <w:szCs w:val="26"/>
        </w:rPr>
        <w:t xml:space="preserve"> în special la nivelul judecătoriilor, </w:t>
      </w:r>
      <w:r w:rsidRPr="00132694">
        <w:rPr>
          <w:rFonts w:asciiTheme="minorHAnsi" w:hAnsiTheme="minorHAnsi" w:cstheme="minorHAnsi"/>
          <w:bCs/>
          <w:sz w:val="26"/>
          <w:szCs w:val="26"/>
        </w:rPr>
        <w:t>comparativ cu gradul de ocupare înregistrat la începutul anului 202</w:t>
      </w:r>
      <w:r w:rsidR="00AA5C4A" w:rsidRPr="00132694">
        <w:rPr>
          <w:rFonts w:asciiTheme="minorHAnsi" w:hAnsiTheme="minorHAnsi" w:cstheme="minorHAnsi"/>
          <w:bCs/>
          <w:sz w:val="26"/>
          <w:szCs w:val="26"/>
        </w:rPr>
        <w:t>5</w:t>
      </w:r>
      <w:r w:rsidR="004F1311" w:rsidRPr="00132694">
        <w:rPr>
          <w:rFonts w:asciiTheme="minorHAnsi" w:hAnsiTheme="minorHAnsi" w:cstheme="minorHAnsi"/>
          <w:bCs/>
          <w:sz w:val="26"/>
          <w:szCs w:val="26"/>
        </w:rPr>
        <w:t xml:space="preserve"> care era de </w:t>
      </w:r>
      <w:r w:rsidRPr="00132694">
        <w:rPr>
          <w:rFonts w:asciiTheme="minorHAnsi" w:hAnsiTheme="minorHAnsi" w:cstheme="minorHAnsi"/>
          <w:bCs/>
          <w:sz w:val="26"/>
          <w:szCs w:val="26"/>
        </w:rPr>
        <w:t>83%.</w:t>
      </w:r>
    </w:p>
    <w:p w14:paraId="4FB118AE" w14:textId="7E634F9C" w:rsidR="00272F80" w:rsidRPr="00132694" w:rsidRDefault="00272F80" w:rsidP="009E3AD8">
      <w:pPr>
        <w:spacing w:line="276" w:lineRule="auto"/>
        <w:ind w:firstLine="708"/>
        <w:jc w:val="both"/>
        <w:rPr>
          <w:rFonts w:asciiTheme="minorHAnsi" w:hAnsiTheme="minorHAnsi" w:cstheme="minorHAnsi"/>
          <w:sz w:val="26"/>
          <w:szCs w:val="26"/>
        </w:rPr>
      </w:pPr>
      <w:r w:rsidRPr="00132694">
        <w:rPr>
          <w:rFonts w:asciiTheme="minorHAnsi" w:hAnsiTheme="minorHAnsi" w:cstheme="minorHAnsi"/>
          <w:sz w:val="26"/>
          <w:szCs w:val="26"/>
        </w:rPr>
        <w:t xml:space="preserve">Din totalul judecătorilor în funcţie, cu luarea în calcul inclusiv a </w:t>
      </w:r>
      <w:r w:rsidR="004F1311" w:rsidRPr="00132694">
        <w:rPr>
          <w:rFonts w:asciiTheme="minorHAnsi" w:hAnsiTheme="minorHAnsi" w:cstheme="minorHAnsi"/>
          <w:sz w:val="26"/>
          <w:szCs w:val="26"/>
        </w:rPr>
        <w:t>judecătorilor</w:t>
      </w:r>
      <w:r w:rsidRPr="00132694">
        <w:rPr>
          <w:rFonts w:asciiTheme="minorHAnsi" w:hAnsiTheme="minorHAnsi" w:cstheme="minorHAnsi"/>
          <w:sz w:val="26"/>
          <w:szCs w:val="26"/>
        </w:rPr>
        <w:t xml:space="preserve"> care ocupă pe perioadă nedeterminată posturi temporar vacante în condiţiile art. 147 din lege, la data de </w:t>
      </w:r>
      <w:r w:rsidR="007C13B2" w:rsidRPr="00132694">
        <w:rPr>
          <w:rFonts w:asciiTheme="minorHAnsi" w:hAnsiTheme="minorHAnsi" w:cstheme="minorHAnsi"/>
          <w:sz w:val="26"/>
          <w:szCs w:val="26"/>
        </w:rPr>
        <w:t>31 decembrie</w:t>
      </w:r>
      <w:r w:rsidRPr="00132694">
        <w:rPr>
          <w:rFonts w:asciiTheme="minorHAnsi" w:hAnsiTheme="minorHAnsi" w:cstheme="minorHAnsi"/>
          <w:sz w:val="26"/>
          <w:szCs w:val="26"/>
        </w:rPr>
        <w:t xml:space="preserve"> 2025, </w:t>
      </w:r>
      <w:r w:rsidR="007C13B2" w:rsidRPr="00132694">
        <w:rPr>
          <w:rFonts w:asciiTheme="minorHAnsi" w:hAnsiTheme="minorHAnsi" w:cstheme="minorHAnsi"/>
          <w:sz w:val="26"/>
          <w:szCs w:val="26"/>
        </w:rPr>
        <w:t>3275</w:t>
      </w:r>
      <w:r w:rsidRPr="00132694">
        <w:rPr>
          <w:rFonts w:asciiTheme="minorHAnsi" w:hAnsiTheme="minorHAnsi" w:cstheme="minorHAnsi"/>
          <w:sz w:val="26"/>
          <w:szCs w:val="26"/>
        </w:rPr>
        <w:t xml:space="preserve"> </w:t>
      </w:r>
      <w:r w:rsidR="004C4D02" w:rsidRPr="00132694">
        <w:rPr>
          <w:rFonts w:asciiTheme="minorHAnsi" w:hAnsiTheme="minorHAnsi" w:cstheme="minorHAnsi"/>
          <w:sz w:val="26"/>
          <w:szCs w:val="26"/>
        </w:rPr>
        <w:t xml:space="preserve">de </w:t>
      </w:r>
      <w:r w:rsidRPr="00132694">
        <w:rPr>
          <w:rFonts w:asciiTheme="minorHAnsi" w:hAnsiTheme="minorHAnsi" w:cstheme="minorHAnsi"/>
          <w:sz w:val="26"/>
          <w:szCs w:val="26"/>
        </w:rPr>
        <w:t xml:space="preserve">judecători </w:t>
      </w:r>
      <w:r w:rsidR="005F4D0B" w:rsidRPr="00132694">
        <w:rPr>
          <w:rFonts w:asciiTheme="minorHAnsi" w:hAnsiTheme="minorHAnsi" w:cstheme="minorHAnsi"/>
          <w:sz w:val="26"/>
          <w:szCs w:val="26"/>
        </w:rPr>
        <w:t>sunt</w:t>
      </w:r>
      <w:r w:rsidRPr="00132694">
        <w:rPr>
          <w:rFonts w:asciiTheme="minorHAnsi" w:hAnsiTheme="minorHAnsi" w:cstheme="minorHAnsi"/>
          <w:sz w:val="26"/>
          <w:szCs w:val="26"/>
        </w:rPr>
        <w:t xml:space="preserve"> femei și </w:t>
      </w:r>
      <w:r w:rsidR="007C13B2" w:rsidRPr="00132694">
        <w:rPr>
          <w:rFonts w:asciiTheme="minorHAnsi" w:hAnsiTheme="minorHAnsi" w:cstheme="minorHAnsi"/>
          <w:sz w:val="26"/>
          <w:szCs w:val="26"/>
        </w:rPr>
        <w:t>1277</w:t>
      </w:r>
      <w:r w:rsidRPr="00132694">
        <w:rPr>
          <w:rFonts w:asciiTheme="minorHAnsi" w:hAnsiTheme="minorHAnsi" w:cstheme="minorHAnsi"/>
          <w:sz w:val="26"/>
          <w:szCs w:val="26"/>
        </w:rPr>
        <w:t xml:space="preserve"> </w:t>
      </w:r>
      <w:r w:rsidR="008A2883" w:rsidRPr="00132694">
        <w:rPr>
          <w:rFonts w:asciiTheme="minorHAnsi" w:hAnsiTheme="minorHAnsi" w:cstheme="minorHAnsi"/>
          <w:sz w:val="26"/>
          <w:szCs w:val="26"/>
        </w:rPr>
        <w:t xml:space="preserve">de </w:t>
      </w:r>
      <w:r w:rsidRPr="00132694">
        <w:rPr>
          <w:rFonts w:asciiTheme="minorHAnsi" w:hAnsiTheme="minorHAnsi" w:cstheme="minorHAnsi"/>
          <w:sz w:val="26"/>
          <w:szCs w:val="26"/>
        </w:rPr>
        <w:t xml:space="preserve">judecători </w:t>
      </w:r>
      <w:r w:rsidR="007C13B2" w:rsidRPr="00132694">
        <w:rPr>
          <w:rFonts w:asciiTheme="minorHAnsi" w:hAnsiTheme="minorHAnsi" w:cstheme="minorHAnsi"/>
          <w:sz w:val="26"/>
          <w:szCs w:val="26"/>
        </w:rPr>
        <w:t>sunt</w:t>
      </w:r>
      <w:r w:rsidRPr="00132694">
        <w:rPr>
          <w:rFonts w:asciiTheme="minorHAnsi" w:hAnsiTheme="minorHAnsi" w:cstheme="minorHAnsi"/>
          <w:sz w:val="26"/>
          <w:szCs w:val="26"/>
        </w:rPr>
        <w:t xml:space="preserve"> bărbați. </w:t>
      </w:r>
    </w:p>
    <w:p w14:paraId="15100FB1" w14:textId="77777777" w:rsidR="009E108E" w:rsidRPr="00132694" w:rsidRDefault="009E108E" w:rsidP="002D2047">
      <w:pPr>
        <w:keepNext/>
        <w:spacing w:line="276" w:lineRule="auto"/>
        <w:jc w:val="both"/>
        <w:rPr>
          <w:rFonts w:asciiTheme="minorHAnsi" w:hAnsiTheme="minorHAnsi" w:cstheme="minorHAnsi"/>
          <w:b/>
          <w:sz w:val="26"/>
          <w:szCs w:val="26"/>
        </w:rPr>
      </w:pPr>
      <w:r w:rsidRPr="00132694">
        <w:rPr>
          <w:rFonts w:asciiTheme="minorHAnsi" w:hAnsiTheme="minorHAnsi" w:cstheme="minorHAnsi"/>
          <w:sz w:val="26"/>
          <w:szCs w:val="26"/>
        </w:rPr>
        <w:tab/>
      </w:r>
      <w:r w:rsidRPr="00132694">
        <w:rPr>
          <w:rFonts w:asciiTheme="minorHAnsi" w:hAnsiTheme="minorHAnsi" w:cstheme="minorHAnsi"/>
          <w:b/>
          <w:sz w:val="26"/>
          <w:szCs w:val="26"/>
        </w:rPr>
        <w:t>E.2. Procurori</w:t>
      </w:r>
    </w:p>
    <w:p w14:paraId="2436AD14" w14:textId="5C0E7CD8" w:rsidR="009E108E" w:rsidRPr="00132694" w:rsidRDefault="009E108E" w:rsidP="002D2047">
      <w:pPr>
        <w:keepNext/>
        <w:spacing w:line="276" w:lineRule="auto"/>
        <w:jc w:val="both"/>
        <w:rPr>
          <w:rFonts w:asciiTheme="minorHAnsi" w:hAnsiTheme="minorHAnsi" w:cstheme="minorHAnsi"/>
          <w:sz w:val="26"/>
          <w:szCs w:val="26"/>
        </w:rPr>
      </w:pPr>
      <w:r w:rsidRPr="00132694">
        <w:rPr>
          <w:rFonts w:asciiTheme="minorHAnsi" w:hAnsiTheme="minorHAnsi" w:cstheme="minorHAnsi"/>
          <w:b/>
          <w:sz w:val="26"/>
          <w:szCs w:val="26"/>
        </w:rPr>
        <w:tab/>
      </w:r>
      <w:bookmarkStart w:id="75" w:name="_Hlk152922924"/>
      <w:r w:rsidR="00A741A5" w:rsidRPr="00132694">
        <w:rPr>
          <w:rFonts w:asciiTheme="minorHAnsi" w:hAnsiTheme="minorHAnsi" w:cstheme="minorHAnsi"/>
          <w:sz w:val="26"/>
          <w:szCs w:val="26"/>
        </w:rPr>
        <w:t>În anul</w:t>
      </w:r>
      <w:r w:rsidR="003746EC" w:rsidRPr="00132694">
        <w:rPr>
          <w:rFonts w:asciiTheme="minorHAnsi" w:hAnsiTheme="minorHAnsi" w:cstheme="minorHAnsi"/>
          <w:sz w:val="26"/>
          <w:szCs w:val="26"/>
        </w:rPr>
        <w:t xml:space="preserve"> </w:t>
      </w:r>
      <w:r w:rsidRPr="00132694">
        <w:rPr>
          <w:rFonts w:asciiTheme="minorHAnsi" w:hAnsiTheme="minorHAnsi" w:cstheme="minorHAnsi"/>
          <w:sz w:val="26"/>
          <w:szCs w:val="26"/>
        </w:rPr>
        <w:t xml:space="preserve">2025, au fost eliberate </w:t>
      </w:r>
      <w:r w:rsidR="00A741A5" w:rsidRPr="00132694">
        <w:rPr>
          <w:rFonts w:asciiTheme="minorHAnsi" w:hAnsiTheme="minorHAnsi" w:cstheme="minorHAnsi"/>
          <w:sz w:val="26"/>
          <w:szCs w:val="26"/>
        </w:rPr>
        <w:t>100</w:t>
      </w:r>
      <w:r w:rsidR="000466E6" w:rsidRPr="00132694">
        <w:rPr>
          <w:rFonts w:asciiTheme="minorHAnsi" w:hAnsiTheme="minorHAnsi" w:cstheme="minorHAnsi"/>
          <w:sz w:val="26"/>
          <w:szCs w:val="26"/>
        </w:rPr>
        <w:t xml:space="preserve"> de persoane </w:t>
      </w:r>
      <w:r w:rsidRPr="00132694">
        <w:rPr>
          <w:rFonts w:asciiTheme="minorHAnsi" w:hAnsiTheme="minorHAnsi" w:cstheme="minorHAnsi"/>
          <w:sz w:val="26"/>
          <w:szCs w:val="26"/>
        </w:rPr>
        <w:t>din funcția de procuror, prin decrete ale Preşedintelui României, după cum urmează:</w:t>
      </w:r>
    </w:p>
    <w:p w14:paraId="609A9F72" w14:textId="4BADA985" w:rsidR="009E108E" w:rsidRPr="00132694" w:rsidRDefault="00416454" w:rsidP="00281400">
      <w:pPr>
        <w:numPr>
          <w:ilvl w:val="0"/>
          <w:numId w:val="19"/>
        </w:numPr>
        <w:spacing w:line="276" w:lineRule="auto"/>
        <w:contextualSpacing/>
        <w:jc w:val="both"/>
        <w:rPr>
          <w:rFonts w:asciiTheme="minorHAnsi" w:eastAsia="Calibri" w:hAnsiTheme="minorHAnsi" w:cstheme="minorHAnsi"/>
          <w:sz w:val="26"/>
          <w:szCs w:val="26"/>
        </w:rPr>
      </w:pPr>
      <w:r w:rsidRPr="00132694">
        <w:rPr>
          <w:rFonts w:asciiTheme="minorHAnsi" w:eastAsia="Calibri" w:hAnsiTheme="minorHAnsi" w:cstheme="minorHAnsi"/>
          <w:sz w:val="26"/>
          <w:szCs w:val="26"/>
        </w:rPr>
        <w:t>75</w:t>
      </w:r>
      <w:r w:rsidR="009E108E" w:rsidRPr="00132694">
        <w:rPr>
          <w:rFonts w:asciiTheme="minorHAnsi" w:eastAsia="Calibri" w:hAnsiTheme="minorHAnsi" w:cstheme="minorHAnsi"/>
          <w:sz w:val="26"/>
          <w:szCs w:val="26"/>
        </w:rPr>
        <w:t xml:space="preserve"> </w:t>
      </w:r>
      <w:r w:rsidR="00351BB1" w:rsidRPr="00132694">
        <w:rPr>
          <w:rFonts w:asciiTheme="minorHAnsi" w:eastAsia="Calibri" w:hAnsiTheme="minorHAnsi" w:cstheme="minorHAnsi"/>
          <w:sz w:val="26"/>
          <w:szCs w:val="26"/>
        </w:rPr>
        <w:t xml:space="preserve">de </w:t>
      </w:r>
      <w:r w:rsidR="009E108E" w:rsidRPr="00132694">
        <w:rPr>
          <w:rFonts w:asciiTheme="minorHAnsi" w:eastAsia="Calibri" w:hAnsiTheme="minorHAnsi" w:cstheme="minorHAnsi"/>
          <w:sz w:val="26"/>
          <w:szCs w:val="26"/>
        </w:rPr>
        <w:t xml:space="preserve">persoane, </w:t>
      </w:r>
      <w:r w:rsidR="000466E6" w:rsidRPr="00132694">
        <w:rPr>
          <w:rFonts w:asciiTheme="minorHAnsi" w:eastAsia="Calibri" w:hAnsiTheme="minorHAnsi" w:cstheme="minorHAnsi"/>
          <w:sz w:val="26"/>
          <w:szCs w:val="26"/>
        </w:rPr>
        <w:t>prin</w:t>
      </w:r>
      <w:r w:rsidR="009E108E" w:rsidRPr="00132694">
        <w:rPr>
          <w:rFonts w:asciiTheme="minorHAnsi" w:eastAsia="Calibri" w:hAnsiTheme="minorHAnsi" w:cstheme="minorHAnsi"/>
          <w:sz w:val="26"/>
          <w:szCs w:val="26"/>
        </w:rPr>
        <w:t xml:space="preserve"> pension</w:t>
      </w:r>
      <w:r w:rsidR="000466E6" w:rsidRPr="00132694">
        <w:rPr>
          <w:rFonts w:asciiTheme="minorHAnsi" w:eastAsia="Calibri" w:hAnsiTheme="minorHAnsi" w:cstheme="minorHAnsi"/>
          <w:sz w:val="26"/>
          <w:szCs w:val="26"/>
        </w:rPr>
        <w:t>are</w:t>
      </w:r>
      <w:r w:rsidR="009E108E" w:rsidRPr="00132694">
        <w:rPr>
          <w:rFonts w:asciiTheme="minorHAnsi" w:eastAsia="Calibri" w:hAnsiTheme="minorHAnsi" w:cstheme="minorHAnsi"/>
          <w:sz w:val="26"/>
          <w:szCs w:val="26"/>
        </w:rPr>
        <w:t>;</w:t>
      </w:r>
    </w:p>
    <w:p w14:paraId="26E3C7AF" w14:textId="77777777" w:rsidR="009E108E" w:rsidRPr="00132694" w:rsidRDefault="009E108E" w:rsidP="00281400">
      <w:pPr>
        <w:numPr>
          <w:ilvl w:val="0"/>
          <w:numId w:val="19"/>
        </w:numPr>
        <w:spacing w:line="276" w:lineRule="auto"/>
        <w:contextualSpacing/>
        <w:jc w:val="both"/>
        <w:rPr>
          <w:rFonts w:asciiTheme="minorHAnsi" w:eastAsia="Calibri" w:hAnsiTheme="minorHAnsi" w:cstheme="minorHAnsi"/>
          <w:sz w:val="26"/>
          <w:szCs w:val="26"/>
        </w:rPr>
      </w:pPr>
      <w:r w:rsidRPr="00132694">
        <w:rPr>
          <w:rFonts w:asciiTheme="minorHAnsi" w:eastAsia="Calibri" w:hAnsiTheme="minorHAnsi" w:cstheme="minorHAnsi"/>
          <w:sz w:val="26"/>
          <w:szCs w:val="26"/>
        </w:rPr>
        <w:t>2 persoane, ca urmare a demisiei;</w:t>
      </w:r>
    </w:p>
    <w:p w14:paraId="0B70544D" w14:textId="77777777" w:rsidR="009E108E" w:rsidRPr="000466E6" w:rsidRDefault="009E108E" w:rsidP="00281400">
      <w:pPr>
        <w:numPr>
          <w:ilvl w:val="0"/>
          <w:numId w:val="19"/>
        </w:numPr>
        <w:spacing w:line="276" w:lineRule="auto"/>
        <w:contextualSpacing/>
        <w:jc w:val="both"/>
        <w:rPr>
          <w:rFonts w:asciiTheme="minorHAnsi" w:eastAsia="Calibri" w:hAnsiTheme="minorHAnsi" w:cstheme="minorHAnsi"/>
          <w:sz w:val="26"/>
          <w:szCs w:val="26"/>
        </w:rPr>
      </w:pPr>
      <w:r w:rsidRPr="000466E6">
        <w:rPr>
          <w:rFonts w:asciiTheme="minorHAnsi" w:eastAsia="Calibri" w:hAnsiTheme="minorHAnsi" w:cstheme="minorHAnsi"/>
          <w:sz w:val="26"/>
          <w:szCs w:val="26"/>
        </w:rPr>
        <w:t>22 de procurori au fost numiți în funcția de judecător;</w:t>
      </w:r>
    </w:p>
    <w:p w14:paraId="6F5ECBA3" w14:textId="77777777" w:rsidR="009E108E" w:rsidRPr="000466E6" w:rsidRDefault="009E108E" w:rsidP="00281400">
      <w:pPr>
        <w:numPr>
          <w:ilvl w:val="0"/>
          <w:numId w:val="19"/>
        </w:numPr>
        <w:spacing w:line="276" w:lineRule="auto"/>
        <w:ind w:hanging="359"/>
        <w:contextualSpacing/>
        <w:rPr>
          <w:rFonts w:asciiTheme="minorHAnsi" w:hAnsiTheme="minorHAnsi" w:cstheme="minorHAnsi"/>
          <w:sz w:val="26"/>
          <w:szCs w:val="26"/>
        </w:rPr>
      </w:pPr>
      <w:r w:rsidRPr="000466E6">
        <w:rPr>
          <w:rFonts w:asciiTheme="minorHAnsi" w:hAnsiTheme="minorHAnsi" w:cstheme="minorHAnsi"/>
          <w:sz w:val="26"/>
          <w:szCs w:val="26"/>
        </w:rPr>
        <w:t>1 persoană, ca urmare a condamnării definitive.</w:t>
      </w:r>
    </w:p>
    <w:p w14:paraId="65419872" w14:textId="184DA004" w:rsidR="009E108E" w:rsidRPr="000F0D8B" w:rsidRDefault="009E108E" w:rsidP="009E3AD8">
      <w:pPr>
        <w:spacing w:line="276" w:lineRule="auto"/>
        <w:ind w:firstLine="720"/>
        <w:jc w:val="both"/>
        <w:rPr>
          <w:rFonts w:asciiTheme="minorHAnsi" w:hAnsiTheme="minorHAnsi" w:cstheme="minorHAnsi"/>
          <w:b/>
          <w:sz w:val="26"/>
          <w:szCs w:val="26"/>
        </w:rPr>
      </w:pPr>
      <w:bookmarkStart w:id="76" w:name="_Hlk152922956"/>
      <w:bookmarkEnd w:id="75"/>
      <w:r w:rsidRPr="000F0D8B">
        <w:rPr>
          <w:rFonts w:asciiTheme="minorHAnsi" w:hAnsiTheme="minorHAnsi" w:cstheme="minorHAnsi"/>
          <w:b/>
          <w:sz w:val="26"/>
          <w:szCs w:val="26"/>
        </w:rPr>
        <w:t xml:space="preserve">Situaţia posturilor de procuror pe grade de jurisdicţie </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850"/>
        <w:gridCol w:w="851"/>
        <w:gridCol w:w="850"/>
        <w:gridCol w:w="851"/>
        <w:gridCol w:w="850"/>
        <w:gridCol w:w="851"/>
        <w:gridCol w:w="850"/>
        <w:gridCol w:w="850"/>
      </w:tblGrid>
      <w:tr w:rsidR="009E108E" w:rsidRPr="000F0D8B" w14:paraId="5008EC32" w14:textId="77777777" w:rsidTr="002D2047">
        <w:trPr>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3E64C08D" w14:textId="77777777" w:rsidR="009E108E" w:rsidRPr="000F0D8B" w:rsidRDefault="009E108E" w:rsidP="009E3AD8">
            <w:pPr>
              <w:spacing w:line="276" w:lineRule="auto"/>
              <w:jc w:val="center"/>
              <w:rPr>
                <w:rFonts w:asciiTheme="minorHAnsi" w:hAnsiTheme="minorHAnsi" w:cstheme="minorHAnsi"/>
                <w:b/>
                <w:sz w:val="26"/>
                <w:szCs w:val="26"/>
              </w:rPr>
            </w:pPr>
            <w:r w:rsidRPr="000F0D8B">
              <w:rPr>
                <w:rFonts w:asciiTheme="minorHAnsi" w:hAnsiTheme="minorHAnsi" w:cstheme="minorHAnsi"/>
                <w:b/>
                <w:sz w:val="26"/>
                <w:szCs w:val="26"/>
              </w:rPr>
              <w:t>Categoria</w:t>
            </w:r>
          </w:p>
        </w:tc>
        <w:tc>
          <w:tcPr>
            <w:tcW w:w="3402"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3A3BAC27" w14:textId="77777777" w:rsidR="009E108E" w:rsidRPr="000F0D8B" w:rsidRDefault="009E108E" w:rsidP="009E3AD8">
            <w:pPr>
              <w:spacing w:line="276" w:lineRule="auto"/>
              <w:jc w:val="center"/>
              <w:rPr>
                <w:rFonts w:asciiTheme="minorHAnsi" w:hAnsiTheme="minorHAnsi" w:cstheme="minorHAnsi"/>
                <w:sz w:val="26"/>
                <w:szCs w:val="26"/>
              </w:rPr>
            </w:pPr>
            <w:r w:rsidRPr="000F0D8B">
              <w:rPr>
                <w:rFonts w:asciiTheme="minorHAnsi" w:hAnsiTheme="minorHAnsi" w:cstheme="minorHAnsi"/>
                <w:b/>
                <w:sz w:val="26"/>
                <w:szCs w:val="26"/>
              </w:rPr>
              <w:t>Posturi de procuror prevăzute în  schemă</w:t>
            </w:r>
          </w:p>
        </w:tc>
        <w:tc>
          <w:tcPr>
            <w:tcW w:w="3401"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1E482039" w14:textId="77777777" w:rsidR="009E108E" w:rsidRPr="000F0D8B" w:rsidRDefault="009E108E" w:rsidP="009E3AD8">
            <w:pPr>
              <w:spacing w:line="276" w:lineRule="auto"/>
              <w:jc w:val="center"/>
              <w:rPr>
                <w:rFonts w:asciiTheme="minorHAnsi" w:hAnsiTheme="minorHAnsi" w:cstheme="minorHAnsi"/>
                <w:sz w:val="26"/>
                <w:szCs w:val="26"/>
              </w:rPr>
            </w:pPr>
            <w:r w:rsidRPr="000F0D8B">
              <w:rPr>
                <w:rFonts w:asciiTheme="minorHAnsi" w:hAnsiTheme="minorHAnsi" w:cstheme="minorHAnsi"/>
                <w:b/>
                <w:sz w:val="26"/>
                <w:szCs w:val="26"/>
              </w:rPr>
              <w:t>Posturi de procuror vacante</w:t>
            </w:r>
          </w:p>
        </w:tc>
      </w:tr>
      <w:tr w:rsidR="00132694" w:rsidRPr="00132694" w14:paraId="48276534" w14:textId="77777777" w:rsidTr="002D2047">
        <w:trPr>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015A0A91" w14:textId="77777777" w:rsidR="009E108E" w:rsidRPr="000F0D8B" w:rsidRDefault="009E108E" w:rsidP="009E3AD8">
            <w:pPr>
              <w:spacing w:line="276" w:lineRule="auto"/>
              <w:rPr>
                <w:rFonts w:asciiTheme="minorHAnsi" w:hAnsiTheme="minorHAnsi" w:cstheme="minorHAnsi"/>
                <w:b/>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540C54" w14:textId="77777777" w:rsidR="009E108E" w:rsidRPr="00132694" w:rsidRDefault="009E108E" w:rsidP="009E3AD8">
            <w:pPr>
              <w:spacing w:line="276" w:lineRule="auto"/>
              <w:jc w:val="center"/>
              <w:rPr>
                <w:rFonts w:asciiTheme="minorHAnsi" w:hAnsiTheme="minorHAnsi" w:cstheme="minorHAnsi"/>
                <w:b/>
                <w:sz w:val="26"/>
                <w:szCs w:val="26"/>
              </w:rPr>
            </w:pPr>
            <w:r w:rsidRPr="00132694">
              <w:rPr>
                <w:rFonts w:asciiTheme="minorHAnsi" w:hAnsiTheme="minorHAnsi" w:cstheme="minorHAnsi"/>
                <w:b/>
                <w:sz w:val="26"/>
                <w:szCs w:val="26"/>
              </w:rPr>
              <w:t>Total</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169E071" w14:textId="77777777" w:rsidR="009E108E" w:rsidRPr="00132694" w:rsidRDefault="009E108E" w:rsidP="009E3AD8">
            <w:pPr>
              <w:spacing w:line="276" w:lineRule="auto"/>
              <w:jc w:val="center"/>
              <w:rPr>
                <w:rFonts w:asciiTheme="minorHAnsi" w:hAnsiTheme="minorHAnsi" w:cstheme="minorHAnsi"/>
                <w:sz w:val="26"/>
                <w:szCs w:val="26"/>
              </w:rPr>
            </w:pPr>
            <w:r w:rsidRPr="00132694">
              <w:rPr>
                <w:rFonts w:asciiTheme="minorHAnsi" w:hAnsiTheme="minorHAnsi" w:cstheme="minorHAnsi"/>
                <w:sz w:val="26"/>
                <w:szCs w:val="26"/>
              </w:rPr>
              <w:t>Exec.</w:t>
            </w:r>
          </w:p>
        </w:tc>
        <w:tc>
          <w:tcPr>
            <w:tcW w:w="850" w:type="dxa"/>
            <w:tcBorders>
              <w:top w:val="single" w:sz="4" w:space="0" w:color="auto"/>
              <w:left w:val="single" w:sz="4" w:space="0" w:color="auto"/>
              <w:bottom w:val="single" w:sz="4" w:space="0" w:color="auto"/>
              <w:right w:val="single" w:sz="4" w:space="0" w:color="auto"/>
            </w:tcBorders>
            <w:shd w:val="clear" w:color="auto" w:fill="D9D9D9"/>
            <w:hideMark/>
          </w:tcPr>
          <w:p w14:paraId="25D3F9B0" w14:textId="77777777" w:rsidR="009E108E" w:rsidRPr="00132694" w:rsidRDefault="009E108E" w:rsidP="009E3AD8">
            <w:pPr>
              <w:spacing w:line="276" w:lineRule="auto"/>
              <w:jc w:val="center"/>
              <w:rPr>
                <w:rFonts w:asciiTheme="minorHAnsi" w:hAnsiTheme="minorHAnsi" w:cstheme="minorHAnsi"/>
                <w:sz w:val="26"/>
                <w:szCs w:val="26"/>
              </w:rPr>
            </w:pPr>
            <w:r w:rsidRPr="00132694">
              <w:rPr>
                <w:rFonts w:asciiTheme="minorHAnsi" w:hAnsiTheme="minorHAnsi" w:cstheme="minorHAnsi"/>
                <w:sz w:val="26"/>
                <w:szCs w:val="26"/>
              </w:rPr>
              <w:t>art. 147</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01E95F9" w14:textId="77777777" w:rsidR="009E108E" w:rsidRPr="00132694" w:rsidRDefault="009E108E" w:rsidP="009E3AD8">
            <w:pPr>
              <w:spacing w:line="276" w:lineRule="auto"/>
              <w:jc w:val="center"/>
              <w:rPr>
                <w:rFonts w:asciiTheme="minorHAnsi" w:hAnsiTheme="minorHAnsi" w:cstheme="minorHAnsi"/>
                <w:sz w:val="26"/>
                <w:szCs w:val="26"/>
              </w:rPr>
            </w:pPr>
            <w:r w:rsidRPr="00132694">
              <w:rPr>
                <w:rFonts w:asciiTheme="minorHAnsi" w:hAnsiTheme="minorHAnsi" w:cstheme="minorHAnsi"/>
                <w:sz w:val="26"/>
                <w:szCs w:val="26"/>
              </w:rPr>
              <w:t>Cond.</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06C64C6" w14:textId="77777777" w:rsidR="009E108E" w:rsidRPr="00132694" w:rsidRDefault="009E108E" w:rsidP="009E3AD8">
            <w:pPr>
              <w:spacing w:line="276" w:lineRule="auto"/>
              <w:jc w:val="center"/>
              <w:rPr>
                <w:rFonts w:asciiTheme="minorHAnsi" w:hAnsiTheme="minorHAnsi" w:cstheme="minorHAnsi"/>
                <w:b/>
                <w:sz w:val="26"/>
                <w:szCs w:val="26"/>
              </w:rPr>
            </w:pPr>
            <w:r w:rsidRPr="00132694">
              <w:rPr>
                <w:rFonts w:asciiTheme="minorHAnsi" w:hAnsiTheme="minorHAnsi" w:cstheme="minorHAnsi"/>
                <w:b/>
                <w:sz w:val="26"/>
                <w:szCs w:val="26"/>
              </w:rPr>
              <w:t>Total</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962C850" w14:textId="77777777" w:rsidR="009E108E" w:rsidRPr="00132694" w:rsidRDefault="009E108E" w:rsidP="009E3AD8">
            <w:pPr>
              <w:spacing w:line="276" w:lineRule="auto"/>
              <w:jc w:val="center"/>
              <w:rPr>
                <w:rFonts w:asciiTheme="minorHAnsi" w:hAnsiTheme="minorHAnsi" w:cstheme="minorHAnsi"/>
                <w:sz w:val="26"/>
                <w:szCs w:val="26"/>
              </w:rPr>
            </w:pPr>
            <w:r w:rsidRPr="00132694">
              <w:rPr>
                <w:rFonts w:asciiTheme="minorHAnsi" w:hAnsiTheme="minorHAnsi" w:cstheme="minorHAnsi"/>
                <w:sz w:val="26"/>
                <w:szCs w:val="26"/>
              </w:rPr>
              <w:t>Exec.</w:t>
            </w:r>
          </w:p>
        </w:tc>
        <w:tc>
          <w:tcPr>
            <w:tcW w:w="850" w:type="dxa"/>
            <w:tcBorders>
              <w:top w:val="single" w:sz="4" w:space="0" w:color="auto"/>
              <w:left w:val="single" w:sz="4" w:space="0" w:color="auto"/>
              <w:bottom w:val="single" w:sz="4" w:space="0" w:color="auto"/>
              <w:right w:val="single" w:sz="4" w:space="0" w:color="auto"/>
            </w:tcBorders>
            <w:shd w:val="clear" w:color="auto" w:fill="D9D9D9"/>
            <w:hideMark/>
          </w:tcPr>
          <w:p w14:paraId="7DAB6A5E" w14:textId="77777777" w:rsidR="009E108E" w:rsidRPr="00132694" w:rsidRDefault="009E108E" w:rsidP="009E3AD8">
            <w:pPr>
              <w:spacing w:line="276" w:lineRule="auto"/>
              <w:jc w:val="center"/>
              <w:rPr>
                <w:rFonts w:asciiTheme="minorHAnsi" w:hAnsiTheme="minorHAnsi" w:cstheme="minorHAnsi"/>
                <w:sz w:val="26"/>
                <w:szCs w:val="26"/>
              </w:rPr>
            </w:pPr>
            <w:r w:rsidRPr="00132694">
              <w:rPr>
                <w:rFonts w:asciiTheme="minorHAnsi" w:hAnsiTheme="minorHAnsi" w:cstheme="minorHAnsi"/>
                <w:sz w:val="26"/>
                <w:szCs w:val="26"/>
              </w:rPr>
              <w:t>art. 147</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41C9907" w14:textId="77777777" w:rsidR="009E108E" w:rsidRPr="00132694" w:rsidRDefault="009E108E" w:rsidP="009E3AD8">
            <w:pPr>
              <w:spacing w:line="276" w:lineRule="auto"/>
              <w:jc w:val="center"/>
              <w:rPr>
                <w:rFonts w:asciiTheme="minorHAnsi" w:hAnsiTheme="minorHAnsi" w:cstheme="minorHAnsi"/>
                <w:sz w:val="26"/>
                <w:szCs w:val="26"/>
              </w:rPr>
            </w:pPr>
            <w:r w:rsidRPr="00132694">
              <w:rPr>
                <w:rFonts w:asciiTheme="minorHAnsi" w:hAnsiTheme="minorHAnsi" w:cstheme="minorHAnsi"/>
                <w:sz w:val="26"/>
                <w:szCs w:val="26"/>
              </w:rPr>
              <w:t>Cond.</w:t>
            </w:r>
          </w:p>
        </w:tc>
      </w:tr>
      <w:tr w:rsidR="00132694" w:rsidRPr="00132694" w14:paraId="6BC40236" w14:textId="77777777" w:rsidTr="002D2047">
        <w:trPr>
          <w:trHeight w:val="847"/>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2A62568E" w14:textId="59E4B713" w:rsidR="009E108E" w:rsidRPr="000F0D8B" w:rsidRDefault="009E108E" w:rsidP="009E3AD8">
            <w:pPr>
              <w:spacing w:line="276" w:lineRule="auto"/>
              <w:jc w:val="both"/>
              <w:rPr>
                <w:rFonts w:asciiTheme="minorHAnsi" w:hAnsiTheme="minorHAnsi" w:cstheme="minorHAnsi"/>
                <w:sz w:val="26"/>
                <w:szCs w:val="26"/>
              </w:rPr>
            </w:pPr>
            <w:r w:rsidRPr="000F0D8B">
              <w:rPr>
                <w:rFonts w:asciiTheme="minorHAnsi" w:hAnsiTheme="minorHAnsi" w:cstheme="minorHAnsi"/>
                <w:sz w:val="26"/>
                <w:szCs w:val="26"/>
              </w:rPr>
              <w:t>P</w:t>
            </w:r>
            <w:r w:rsidR="004E608E" w:rsidRPr="000F0D8B">
              <w:rPr>
                <w:rFonts w:asciiTheme="minorHAnsi" w:hAnsiTheme="minorHAnsi" w:cstheme="minorHAnsi"/>
                <w:sz w:val="26"/>
                <w:szCs w:val="26"/>
              </w:rPr>
              <w:t>.</w:t>
            </w:r>
            <w:r w:rsidRPr="000F0D8B">
              <w:rPr>
                <w:rFonts w:asciiTheme="minorHAnsi" w:hAnsiTheme="minorHAnsi" w:cstheme="minorHAnsi"/>
                <w:sz w:val="26"/>
                <w:szCs w:val="26"/>
              </w:rPr>
              <w:t>Î</w:t>
            </w:r>
            <w:r w:rsidR="004E608E" w:rsidRPr="000F0D8B">
              <w:rPr>
                <w:rFonts w:asciiTheme="minorHAnsi" w:hAnsiTheme="minorHAnsi" w:cstheme="minorHAnsi"/>
                <w:sz w:val="26"/>
                <w:szCs w:val="26"/>
              </w:rPr>
              <w:t>.</w:t>
            </w:r>
            <w:r w:rsidRPr="000F0D8B">
              <w:rPr>
                <w:rFonts w:asciiTheme="minorHAnsi" w:hAnsiTheme="minorHAnsi" w:cstheme="minorHAnsi"/>
                <w:sz w:val="26"/>
                <w:szCs w:val="26"/>
              </w:rPr>
              <w:t>C</w:t>
            </w:r>
            <w:r w:rsidR="004E608E" w:rsidRPr="000F0D8B">
              <w:rPr>
                <w:rFonts w:asciiTheme="minorHAnsi" w:hAnsiTheme="minorHAnsi" w:cstheme="minorHAnsi"/>
                <w:sz w:val="26"/>
                <w:szCs w:val="26"/>
              </w:rPr>
              <w:t>.</w:t>
            </w:r>
            <w:r w:rsidRPr="000F0D8B">
              <w:rPr>
                <w:rFonts w:asciiTheme="minorHAnsi" w:hAnsiTheme="minorHAnsi" w:cstheme="minorHAnsi"/>
                <w:sz w:val="26"/>
                <w:szCs w:val="26"/>
              </w:rPr>
              <w:t>C</w:t>
            </w:r>
            <w:r w:rsidR="004E608E" w:rsidRPr="000F0D8B">
              <w:rPr>
                <w:rFonts w:asciiTheme="minorHAnsi" w:hAnsiTheme="minorHAnsi" w:cstheme="minorHAnsi"/>
                <w:sz w:val="26"/>
                <w:szCs w:val="26"/>
              </w:rPr>
              <w:t>.</w:t>
            </w:r>
            <w:r w:rsidRPr="000F0D8B">
              <w:rPr>
                <w:rFonts w:asciiTheme="minorHAnsi" w:hAnsiTheme="minorHAnsi" w:cstheme="minorHAnsi"/>
                <w:sz w:val="26"/>
                <w:szCs w:val="26"/>
              </w:rPr>
              <w:t>J</w:t>
            </w:r>
            <w:r w:rsidR="004E608E" w:rsidRPr="000F0D8B">
              <w:rPr>
                <w:rFonts w:asciiTheme="minorHAnsi" w:hAnsiTheme="minorHAnsi" w:cstheme="minorHAnsi"/>
                <w:sz w:val="26"/>
                <w:szCs w:val="26"/>
              </w:rPr>
              <w:t>.</w:t>
            </w:r>
            <w:r w:rsidRPr="000F0D8B">
              <w:rPr>
                <w:rFonts w:asciiTheme="minorHAnsi" w:hAnsiTheme="minorHAnsi" w:cstheme="minorHAnsi"/>
                <w:sz w:val="26"/>
                <w:szCs w:val="26"/>
              </w:rPr>
              <w:t xml:space="preserve"> (</w:t>
            </w:r>
            <w:r w:rsidRPr="000F0D8B">
              <w:rPr>
                <w:rFonts w:asciiTheme="minorHAnsi" w:hAnsiTheme="minorHAnsi" w:cstheme="minorHAnsi"/>
                <w:i/>
                <w:sz w:val="26"/>
                <w:szCs w:val="26"/>
              </w:rPr>
              <w:t>inclusiv D</w:t>
            </w:r>
            <w:r w:rsidR="004E608E" w:rsidRPr="000F0D8B">
              <w:rPr>
                <w:rFonts w:asciiTheme="minorHAnsi" w:hAnsiTheme="minorHAnsi" w:cstheme="minorHAnsi"/>
                <w:i/>
                <w:sz w:val="26"/>
                <w:szCs w:val="26"/>
              </w:rPr>
              <w:t>.</w:t>
            </w:r>
            <w:r w:rsidRPr="000F0D8B">
              <w:rPr>
                <w:rFonts w:asciiTheme="minorHAnsi" w:hAnsiTheme="minorHAnsi" w:cstheme="minorHAnsi"/>
                <w:i/>
                <w:sz w:val="26"/>
                <w:szCs w:val="26"/>
              </w:rPr>
              <w:t>N</w:t>
            </w:r>
            <w:r w:rsidR="004E608E" w:rsidRPr="000F0D8B">
              <w:rPr>
                <w:rFonts w:asciiTheme="minorHAnsi" w:hAnsiTheme="minorHAnsi" w:cstheme="minorHAnsi"/>
                <w:i/>
                <w:sz w:val="26"/>
                <w:szCs w:val="26"/>
              </w:rPr>
              <w:t>.</w:t>
            </w:r>
            <w:r w:rsidRPr="000F0D8B">
              <w:rPr>
                <w:rFonts w:asciiTheme="minorHAnsi" w:hAnsiTheme="minorHAnsi" w:cstheme="minorHAnsi"/>
                <w:i/>
                <w:sz w:val="26"/>
                <w:szCs w:val="26"/>
              </w:rPr>
              <w:t>A</w:t>
            </w:r>
            <w:r w:rsidR="004E608E" w:rsidRPr="000F0D8B">
              <w:rPr>
                <w:rFonts w:asciiTheme="minorHAnsi" w:hAnsiTheme="minorHAnsi" w:cstheme="minorHAnsi"/>
                <w:i/>
                <w:sz w:val="26"/>
                <w:szCs w:val="26"/>
              </w:rPr>
              <w:t>.</w:t>
            </w:r>
            <w:r w:rsidRPr="000F0D8B">
              <w:rPr>
                <w:rFonts w:asciiTheme="minorHAnsi" w:hAnsiTheme="minorHAnsi" w:cstheme="minorHAnsi"/>
                <w:i/>
                <w:sz w:val="26"/>
                <w:szCs w:val="26"/>
              </w:rPr>
              <w:t>, D</w:t>
            </w:r>
            <w:r w:rsidR="004E608E" w:rsidRPr="000F0D8B">
              <w:rPr>
                <w:rFonts w:asciiTheme="minorHAnsi" w:hAnsiTheme="minorHAnsi" w:cstheme="minorHAnsi"/>
                <w:i/>
                <w:sz w:val="26"/>
                <w:szCs w:val="26"/>
              </w:rPr>
              <w:t>.</w:t>
            </w:r>
            <w:r w:rsidRPr="000F0D8B">
              <w:rPr>
                <w:rFonts w:asciiTheme="minorHAnsi" w:hAnsiTheme="minorHAnsi" w:cstheme="minorHAnsi"/>
                <w:i/>
                <w:sz w:val="26"/>
                <w:szCs w:val="26"/>
              </w:rPr>
              <w:t>I</w:t>
            </w:r>
            <w:r w:rsidR="004E608E" w:rsidRPr="000F0D8B">
              <w:rPr>
                <w:rFonts w:asciiTheme="minorHAnsi" w:hAnsiTheme="minorHAnsi" w:cstheme="minorHAnsi"/>
                <w:i/>
                <w:sz w:val="26"/>
                <w:szCs w:val="26"/>
              </w:rPr>
              <w:t>.</w:t>
            </w:r>
            <w:r w:rsidRPr="000F0D8B">
              <w:rPr>
                <w:rFonts w:asciiTheme="minorHAnsi" w:hAnsiTheme="minorHAnsi" w:cstheme="minorHAnsi"/>
                <w:i/>
                <w:sz w:val="26"/>
                <w:szCs w:val="26"/>
              </w:rPr>
              <w:t>I</w:t>
            </w:r>
            <w:r w:rsidR="004E608E" w:rsidRPr="000F0D8B">
              <w:rPr>
                <w:rFonts w:asciiTheme="minorHAnsi" w:hAnsiTheme="minorHAnsi" w:cstheme="minorHAnsi"/>
                <w:i/>
                <w:sz w:val="26"/>
                <w:szCs w:val="26"/>
              </w:rPr>
              <w:t>.</w:t>
            </w:r>
            <w:r w:rsidRPr="000F0D8B">
              <w:rPr>
                <w:rFonts w:asciiTheme="minorHAnsi" w:hAnsiTheme="minorHAnsi" w:cstheme="minorHAnsi"/>
                <w:i/>
                <w:sz w:val="26"/>
                <w:szCs w:val="26"/>
              </w:rPr>
              <w:t>C</w:t>
            </w:r>
            <w:r w:rsidR="004E608E" w:rsidRPr="000F0D8B">
              <w:rPr>
                <w:rFonts w:asciiTheme="minorHAnsi" w:hAnsiTheme="minorHAnsi" w:cstheme="minorHAnsi"/>
                <w:i/>
                <w:sz w:val="26"/>
                <w:szCs w:val="26"/>
              </w:rPr>
              <w:t>.</w:t>
            </w:r>
            <w:r w:rsidRPr="000F0D8B">
              <w:rPr>
                <w:rFonts w:asciiTheme="minorHAnsi" w:hAnsiTheme="minorHAnsi" w:cstheme="minorHAnsi"/>
                <w:i/>
                <w:sz w:val="26"/>
                <w:szCs w:val="26"/>
              </w:rPr>
              <w:t>O</w:t>
            </w:r>
            <w:r w:rsidR="004E608E" w:rsidRPr="000F0D8B">
              <w:rPr>
                <w:rFonts w:asciiTheme="minorHAnsi" w:hAnsiTheme="minorHAnsi" w:cstheme="minorHAnsi"/>
                <w:i/>
                <w:sz w:val="26"/>
                <w:szCs w:val="26"/>
              </w:rPr>
              <w:t>.</w:t>
            </w:r>
            <w:r w:rsidRPr="000F0D8B">
              <w:rPr>
                <w:rFonts w:asciiTheme="minorHAnsi" w:hAnsiTheme="minorHAnsi" w:cstheme="minorHAnsi"/>
                <w:i/>
                <w:sz w:val="26"/>
                <w:szCs w:val="26"/>
              </w:rPr>
              <w:t>T</w:t>
            </w:r>
            <w:r w:rsidR="004E608E" w:rsidRPr="000F0D8B">
              <w:rPr>
                <w:rFonts w:asciiTheme="minorHAnsi" w:hAnsiTheme="minorHAnsi" w:cstheme="minorHAnsi"/>
                <w:i/>
                <w:sz w:val="26"/>
                <w:szCs w:val="26"/>
              </w:rPr>
              <w:t>.</w:t>
            </w:r>
            <w:r w:rsidRPr="000F0D8B">
              <w:rPr>
                <w:rFonts w:asciiTheme="minorHAnsi" w:hAnsiTheme="minorHAnsi" w:cstheme="minorHAnsi"/>
                <w:i/>
                <w:sz w:val="26"/>
                <w:szCs w:val="26"/>
              </w:rPr>
              <w:t xml:space="preserve"> şi Secţia parchetelor militare</w:t>
            </w:r>
            <w:r w:rsidRPr="000F0D8B">
              <w:rPr>
                <w:rFonts w:asciiTheme="minorHAnsi" w:hAnsiTheme="minorHAnsi" w:cstheme="minorHAnsi"/>
                <w:sz w:val="26"/>
                <w:szCs w:val="26"/>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9F572F" w14:textId="77777777" w:rsidR="009E108E" w:rsidRPr="00132694" w:rsidRDefault="009E108E" w:rsidP="009E3AD8">
            <w:pPr>
              <w:spacing w:line="276" w:lineRule="auto"/>
              <w:jc w:val="center"/>
              <w:rPr>
                <w:rFonts w:asciiTheme="minorHAnsi" w:hAnsiTheme="minorHAnsi" w:cstheme="minorHAnsi"/>
                <w:b/>
                <w:sz w:val="26"/>
                <w:szCs w:val="26"/>
              </w:rPr>
            </w:pPr>
            <w:r w:rsidRPr="00132694">
              <w:rPr>
                <w:rFonts w:asciiTheme="minorHAnsi" w:hAnsiTheme="minorHAnsi" w:cstheme="minorHAnsi"/>
                <w:b/>
                <w:sz w:val="26"/>
                <w:szCs w:val="26"/>
              </w:rPr>
              <w:t>683</w:t>
            </w:r>
          </w:p>
        </w:tc>
        <w:tc>
          <w:tcPr>
            <w:tcW w:w="851" w:type="dxa"/>
            <w:tcBorders>
              <w:top w:val="single" w:sz="4" w:space="0" w:color="auto"/>
              <w:left w:val="single" w:sz="4" w:space="0" w:color="auto"/>
              <w:bottom w:val="single" w:sz="4" w:space="0" w:color="auto"/>
              <w:right w:val="single" w:sz="4" w:space="0" w:color="auto"/>
            </w:tcBorders>
            <w:vAlign w:val="center"/>
            <w:hideMark/>
          </w:tcPr>
          <w:p w14:paraId="10E07880" w14:textId="77777777" w:rsidR="009E108E" w:rsidRPr="00132694" w:rsidRDefault="009E108E" w:rsidP="009E3AD8">
            <w:pPr>
              <w:spacing w:line="276" w:lineRule="auto"/>
              <w:jc w:val="center"/>
              <w:rPr>
                <w:rFonts w:asciiTheme="minorHAnsi" w:hAnsiTheme="minorHAnsi" w:cstheme="minorHAnsi"/>
                <w:sz w:val="26"/>
                <w:szCs w:val="26"/>
              </w:rPr>
            </w:pPr>
            <w:r w:rsidRPr="00132694">
              <w:rPr>
                <w:rFonts w:asciiTheme="minorHAnsi" w:hAnsiTheme="minorHAnsi" w:cstheme="minorHAnsi"/>
                <w:sz w:val="26"/>
                <w:szCs w:val="26"/>
              </w:rPr>
              <w:t>535</w:t>
            </w:r>
          </w:p>
        </w:tc>
        <w:tc>
          <w:tcPr>
            <w:tcW w:w="850" w:type="dxa"/>
            <w:tcBorders>
              <w:top w:val="single" w:sz="4" w:space="0" w:color="auto"/>
              <w:left w:val="single" w:sz="4" w:space="0" w:color="auto"/>
              <w:bottom w:val="single" w:sz="4" w:space="0" w:color="auto"/>
              <w:right w:val="single" w:sz="4" w:space="0" w:color="auto"/>
            </w:tcBorders>
            <w:vAlign w:val="center"/>
            <w:hideMark/>
          </w:tcPr>
          <w:p w14:paraId="0E7B727C" w14:textId="77777777" w:rsidR="009E108E" w:rsidRPr="00132694" w:rsidRDefault="009E108E" w:rsidP="009E3AD8">
            <w:pPr>
              <w:spacing w:line="276" w:lineRule="auto"/>
              <w:jc w:val="center"/>
              <w:rPr>
                <w:rFonts w:asciiTheme="minorHAnsi" w:hAnsiTheme="minorHAnsi" w:cstheme="minorHAnsi"/>
                <w:sz w:val="26"/>
                <w:szCs w:val="26"/>
              </w:rPr>
            </w:pPr>
            <w:r w:rsidRPr="00132694">
              <w:rPr>
                <w:rFonts w:asciiTheme="minorHAnsi" w:hAnsiTheme="minorHAnsi" w:cstheme="minorHAnsi"/>
                <w:sz w:val="26"/>
                <w:szCs w:val="26"/>
              </w:rPr>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0E3CA6D" w14:textId="77777777" w:rsidR="009E108E" w:rsidRPr="00132694" w:rsidRDefault="009E108E" w:rsidP="009E3AD8">
            <w:pPr>
              <w:spacing w:line="276" w:lineRule="auto"/>
              <w:jc w:val="center"/>
              <w:rPr>
                <w:rFonts w:asciiTheme="minorHAnsi" w:hAnsiTheme="minorHAnsi" w:cstheme="minorHAnsi"/>
                <w:sz w:val="26"/>
                <w:szCs w:val="26"/>
              </w:rPr>
            </w:pPr>
            <w:r w:rsidRPr="00132694">
              <w:rPr>
                <w:rFonts w:asciiTheme="minorHAnsi" w:hAnsiTheme="minorHAnsi" w:cstheme="minorHAnsi"/>
                <w:sz w:val="26"/>
                <w:szCs w:val="26"/>
              </w:rPr>
              <w:t>148</w:t>
            </w:r>
          </w:p>
        </w:tc>
        <w:tc>
          <w:tcPr>
            <w:tcW w:w="850" w:type="dxa"/>
            <w:tcBorders>
              <w:top w:val="single" w:sz="4" w:space="0" w:color="auto"/>
              <w:left w:val="single" w:sz="4" w:space="0" w:color="auto"/>
              <w:bottom w:val="single" w:sz="4" w:space="0" w:color="auto"/>
              <w:right w:val="single" w:sz="4" w:space="0" w:color="auto"/>
            </w:tcBorders>
            <w:vAlign w:val="center"/>
            <w:hideMark/>
          </w:tcPr>
          <w:p w14:paraId="2DD98719" w14:textId="4A41113C" w:rsidR="009E108E" w:rsidRPr="00132694" w:rsidRDefault="00A741A5" w:rsidP="009E3AD8">
            <w:pPr>
              <w:spacing w:line="276" w:lineRule="auto"/>
              <w:jc w:val="center"/>
              <w:rPr>
                <w:rFonts w:asciiTheme="minorHAnsi" w:hAnsiTheme="minorHAnsi" w:cstheme="minorHAnsi"/>
                <w:b/>
                <w:sz w:val="26"/>
                <w:szCs w:val="26"/>
              </w:rPr>
            </w:pPr>
            <w:r w:rsidRPr="00132694">
              <w:rPr>
                <w:rFonts w:asciiTheme="minorHAnsi" w:hAnsiTheme="minorHAnsi" w:cstheme="minorHAnsi"/>
                <w:b/>
                <w:sz w:val="26"/>
                <w:szCs w:val="26"/>
              </w:rPr>
              <w:t>149</w:t>
            </w:r>
          </w:p>
        </w:tc>
        <w:tc>
          <w:tcPr>
            <w:tcW w:w="851" w:type="dxa"/>
            <w:tcBorders>
              <w:top w:val="single" w:sz="4" w:space="0" w:color="auto"/>
              <w:left w:val="single" w:sz="4" w:space="0" w:color="auto"/>
              <w:bottom w:val="single" w:sz="4" w:space="0" w:color="auto"/>
              <w:right w:val="single" w:sz="4" w:space="0" w:color="auto"/>
            </w:tcBorders>
            <w:vAlign w:val="center"/>
            <w:hideMark/>
          </w:tcPr>
          <w:p w14:paraId="0D209936" w14:textId="7C005FFD" w:rsidR="009E108E" w:rsidRPr="00132694" w:rsidRDefault="00A741A5" w:rsidP="009E3AD8">
            <w:pPr>
              <w:spacing w:line="276" w:lineRule="auto"/>
              <w:jc w:val="center"/>
              <w:rPr>
                <w:rFonts w:asciiTheme="minorHAnsi" w:hAnsiTheme="minorHAnsi" w:cstheme="minorHAnsi"/>
                <w:sz w:val="26"/>
                <w:szCs w:val="26"/>
              </w:rPr>
            </w:pPr>
            <w:r w:rsidRPr="00132694">
              <w:rPr>
                <w:rFonts w:asciiTheme="minorHAnsi" w:hAnsiTheme="minorHAnsi" w:cstheme="minorHAnsi"/>
                <w:sz w:val="26"/>
                <w:szCs w:val="26"/>
              </w:rPr>
              <w:t>88</w:t>
            </w:r>
          </w:p>
        </w:tc>
        <w:tc>
          <w:tcPr>
            <w:tcW w:w="850" w:type="dxa"/>
            <w:tcBorders>
              <w:top w:val="single" w:sz="4" w:space="0" w:color="auto"/>
              <w:left w:val="single" w:sz="4" w:space="0" w:color="auto"/>
              <w:bottom w:val="single" w:sz="4" w:space="0" w:color="auto"/>
              <w:right w:val="single" w:sz="4" w:space="0" w:color="auto"/>
            </w:tcBorders>
            <w:vAlign w:val="center"/>
            <w:hideMark/>
          </w:tcPr>
          <w:p w14:paraId="36A258E7" w14:textId="77777777" w:rsidR="009E108E" w:rsidRPr="00132694" w:rsidRDefault="009E108E" w:rsidP="009E3AD8">
            <w:pPr>
              <w:spacing w:line="276" w:lineRule="auto"/>
              <w:jc w:val="center"/>
              <w:rPr>
                <w:rFonts w:asciiTheme="minorHAnsi" w:hAnsiTheme="minorHAnsi" w:cstheme="minorHAnsi"/>
                <w:sz w:val="26"/>
                <w:szCs w:val="26"/>
              </w:rPr>
            </w:pPr>
            <w:r w:rsidRPr="00132694">
              <w:rPr>
                <w:rFonts w:asciiTheme="minorHAnsi" w:hAnsiTheme="minorHAnsi" w:cstheme="minorHAnsi"/>
                <w:sz w:val="26"/>
                <w:szCs w:val="26"/>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0D3956CF" w14:textId="0F43BD14" w:rsidR="009E108E" w:rsidRPr="00132694" w:rsidRDefault="009E108E" w:rsidP="009E3AD8">
            <w:pPr>
              <w:spacing w:line="276" w:lineRule="auto"/>
              <w:jc w:val="center"/>
              <w:rPr>
                <w:rFonts w:asciiTheme="minorHAnsi" w:hAnsiTheme="minorHAnsi" w:cstheme="minorHAnsi"/>
                <w:sz w:val="26"/>
                <w:szCs w:val="26"/>
              </w:rPr>
            </w:pPr>
            <w:r w:rsidRPr="00132694">
              <w:rPr>
                <w:rFonts w:asciiTheme="minorHAnsi" w:hAnsiTheme="minorHAnsi" w:cstheme="minorHAnsi"/>
                <w:sz w:val="26"/>
                <w:szCs w:val="26"/>
              </w:rPr>
              <w:t>6</w:t>
            </w:r>
            <w:r w:rsidR="00A741A5" w:rsidRPr="00132694">
              <w:rPr>
                <w:rFonts w:asciiTheme="minorHAnsi" w:hAnsiTheme="minorHAnsi" w:cstheme="minorHAnsi"/>
                <w:sz w:val="26"/>
                <w:szCs w:val="26"/>
              </w:rPr>
              <w:t>1</w:t>
            </w:r>
          </w:p>
        </w:tc>
      </w:tr>
      <w:tr w:rsidR="00132694" w:rsidRPr="00132694" w14:paraId="0071E6B1" w14:textId="77777777" w:rsidTr="002D2047">
        <w:trPr>
          <w:trHeight w:val="762"/>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5995C89A" w14:textId="62E554D6" w:rsidR="009E108E" w:rsidRPr="000F0D8B" w:rsidRDefault="009E108E" w:rsidP="009E3AD8">
            <w:pPr>
              <w:spacing w:line="276" w:lineRule="auto"/>
              <w:jc w:val="both"/>
              <w:rPr>
                <w:rFonts w:asciiTheme="minorHAnsi" w:hAnsiTheme="minorHAnsi" w:cstheme="minorHAnsi"/>
                <w:sz w:val="26"/>
                <w:szCs w:val="26"/>
              </w:rPr>
            </w:pPr>
            <w:r w:rsidRPr="000F0D8B">
              <w:rPr>
                <w:rFonts w:asciiTheme="minorHAnsi" w:hAnsiTheme="minorHAnsi" w:cstheme="minorHAnsi"/>
                <w:sz w:val="26"/>
                <w:szCs w:val="26"/>
              </w:rPr>
              <w:t>Parchetele de pe lângă curţile de apel (</w:t>
            </w:r>
            <w:r w:rsidRPr="000F0D8B">
              <w:rPr>
                <w:rFonts w:asciiTheme="minorHAnsi" w:hAnsiTheme="minorHAnsi" w:cstheme="minorHAnsi"/>
                <w:i/>
                <w:sz w:val="26"/>
                <w:szCs w:val="26"/>
              </w:rPr>
              <w:t>inclusiv P</w:t>
            </w:r>
            <w:r w:rsidR="004E608E" w:rsidRPr="000F0D8B">
              <w:rPr>
                <w:rFonts w:asciiTheme="minorHAnsi" w:hAnsiTheme="minorHAnsi" w:cstheme="minorHAnsi"/>
                <w:i/>
                <w:sz w:val="26"/>
                <w:szCs w:val="26"/>
              </w:rPr>
              <w:t>.</w:t>
            </w:r>
            <w:r w:rsidRPr="000F0D8B">
              <w:rPr>
                <w:rFonts w:asciiTheme="minorHAnsi" w:hAnsiTheme="minorHAnsi" w:cstheme="minorHAnsi"/>
                <w:i/>
                <w:sz w:val="26"/>
                <w:szCs w:val="26"/>
              </w:rPr>
              <w:t>C</w:t>
            </w:r>
            <w:r w:rsidR="004E608E" w:rsidRPr="000F0D8B">
              <w:rPr>
                <w:rFonts w:asciiTheme="minorHAnsi" w:hAnsiTheme="minorHAnsi" w:cstheme="minorHAnsi"/>
                <w:i/>
                <w:sz w:val="26"/>
                <w:szCs w:val="26"/>
              </w:rPr>
              <w:t>.</w:t>
            </w:r>
            <w:r w:rsidRPr="000F0D8B">
              <w:rPr>
                <w:rFonts w:asciiTheme="minorHAnsi" w:hAnsiTheme="minorHAnsi" w:cstheme="minorHAnsi"/>
                <w:i/>
                <w:sz w:val="26"/>
                <w:szCs w:val="26"/>
              </w:rPr>
              <w:t>M</w:t>
            </w:r>
            <w:r w:rsidR="004E608E" w:rsidRPr="000F0D8B">
              <w:rPr>
                <w:rFonts w:asciiTheme="minorHAnsi" w:hAnsiTheme="minorHAnsi" w:cstheme="minorHAnsi"/>
                <w:i/>
                <w:sz w:val="26"/>
                <w:szCs w:val="26"/>
              </w:rPr>
              <w:t>.</w:t>
            </w:r>
            <w:r w:rsidRPr="000F0D8B">
              <w:rPr>
                <w:rFonts w:asciiTheme="minorHAnsi" w:hAnsiTheme="minorHAnsi" w:cstheme="minorHAnsi"/>
                <w:i/>
                <w:sz w:val="26"/>
                <w:szCs w:val="26"/>
              </w:rPr>
              <w:t>A</w:t>
            </w:r>
            <w:r w:rsidR="004E608E" w:rsidRPr="000F0D8B">
              <w:rPr>
                <w:rFonts w:asciiTheme="minorHAnsi" w:hAnsiTheme="minorHAnsi" w:cstheme="minorHAnsi"/>
                <w:i/>
                <w:sz w:val="26"/>
                <w:szCs w:val="26"/>
              </w:rPr>
              <w:t>.</w:t>
            </w:r>
            <w:r w:rsidRPr="000F0D8B">
              <w:rPr>
                <w:rFonts w:asciiTheme="minorHAnsi" w:hAnsiTheme="minorHAnsi" w:cstheme="minorHAnsi"/>
                <w:i/>
                <w:sz w:val="26"/>
                <w:szCs w:val="26"/>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623DA6DE" w14:textId="77777777" w:rsidR="009E108E" w:rsidRPr="00132694" w:rsidRDefault="009E108E" w:rsidP="009E3AD8">
            <w:pPr>
              <w:spacing w:line="276" w:lineRule="auto"/>
              <w:jc w:val="center"/>
              <w:rPr>
                <w:rFonts w:asciiTheme="minorHAnsi" w:hAnsiTheme="minorHAnsi" w:cstheme="minorHAnsi"/>
                <w:b/>
                <w:sz w:val="26"/>
                <w:szCs w:val="26"/>
              </w:rPr>
            </w:pPr>
            <w:r w:rsidRPr="00132694">
              <w:rPr>
                <w:rFonts w:asciiTheme="minorHAnsi" w:hAnsiTheme="minorHAnsi" w:cstheme="minorHAnsi"/>
                <w:b/>
                <w:sz w:val="26"/>
                <w:szCs w:val="26"/>
              </w:rPr>
              <w:t>264</w:t>
            </w:r>
          </w:p>
        </w:tc>
        <w:tc>
          <w:tcPr>
            <w:tcW w:w="851" w:type="dxa"/>
            <w:tcBorders>
              <w:top w:val="single" w:sz="4" w:space="0" w:color="auto"/>
              <w:left w:val="single" w:sz="4" w:space="0" w:color="auto"/>
              <w:bottom w:val="single" w:sz="4" w:space="0" w:color="auto"/>
              <w:right w:val="single" w:sz="4" w:space="0" w:color="auto"/>
            </w:tcBorders>
            <w:vAlign w:val="center"/>
            <w:hideMark/>
          </w:tcPr>
          <w:p w14:paraId="72377434" w14:textId="77777777" w:rsidR="009E108E" w:rsidRPr="00132694" w:rsidRDefault="009E108E" w:rsidP="009E3AD8">
            <w:pPr>
              <w:spacing w:line="276" w:lineRule="auto"/>
              <w:jc w:val="center"/>
              <w:rPr>
                <w:rFonts w:asciiTheme="minorHAnsi" w:hAnsiTheme="minorHAnsi" w:cstheme="minorHAnsi"/>
                <w:sz w:val="26"/>
                <w:szCs w:val="26"/>
              </w:rPr>
            </w:pPr>
            <w:r w:rsidRPr="00132694">
              <w:rPr>
                <w:rFonts w:asciiTheme="minorHAnsi" w:hAnsiTheme="minorHAnsi" w:cstheme="minorHAnsi"/>
                <w:sz w:val="26"/>
                <w:szCs w:val="26"/>
              </w:rPr>
              <w:t>185</w:t>
            </w:r>
          </w:p>
        </w:tc>
        <w:tc>
          <w:tcPr>
            <w:tcW w:w="850" w:type="dxa"/>
            <w:tcBorders>
              <w:top w:val="single" w:sz="4" w:space="0" w:color="auto"/>
              <w:left w:val="single" w:sz="4" w:space="0" w:color="auto"/>
              <w:bottom w:val="single" w:sz="4" w:space="0" w:color="auto"/>
              <w:right w:val="single" w:sz="4" w:space="0" w:color="auto"/>
            </w:tcBorders>
            <w:vAlign w:val="center"/>
            <w:hideMark/>
          </w:tcPr>
          <w:p w14:paraId="5471DBC3" w14:textId="77777777" w:rsidR="009E108E" w:rsidRPr="00132694" w:rsidRDefault="009E108E" w:rsidP="009E3AD8">
            <w:pPr>
              <w:spacing w:line="276" w:lineRule="auto"/>
              <w:jc w:val="center"/>
              <w:rPr>
                <w:rFonts w:asciiTheme="minorHAnsi" w:hAnsiTheme="minorHAnsi" w:cstheme="minorHAnsi"/>
                <w:sz w:val="26"/>
                <w:szCs w:val="26"/>
              </w:rPr>
            </w:pPr>
            <w:r w:rsidRPr="00132694">
              <w:rPr>
                <w:rFonts w:asciiTheme="minorHAnsi" w:hAnsiTheme="minorHAnsi" w:cstheme="minorHAnsi"/>
                <w:sz w:val="26"/>
                <w:szCs w:val="26"/>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2F089ED5" w14:textId="77777777" w:rsidR="009E108E" w:rsidRPr="00132694" w:rsidRDefault="009E108E" w:rsidP="009E3AD8">
            <w:pPr>
              <w:spacing w:line="276" w:lineRule="auto"/>
              <w:jc w:val="center"/>
              <w:rPr>
                <w:rFonts w:asciiTheme="minorHAnsi" w:hAnsiTheme="minorHAnsi" w:cstheme="minorHAnsi"/>
                <w:sz w:val="26"/>
                <w:szCs w:val="26"/>
              </w:rPr>
            </w:pPr>
            <w:r w:rsidRPr="00132694">
              <w:rPr>
                <w:rFonts w:asciiTheme="minorHAnsi" w:hAnsiTheme="minorHAnsi" w:cstheme="minorHAnsi"/>
                <w:sz w:val="26"/>
                <w:szCs w:val="26"/>
              </w:rPr>
              <w:t>75</w:t>
            </w:r>
          </w:p>
        </w:tc>
        <w:tc>
          <w:tcPr>
            <w:tcW w:w="850" w:type="dxa"/>
            <w:tcBorders>
              <w:top w:val="single" w:sz="4" w:space="0" w:color="auto"/>
              <w:left w:val="single" w:sz="4" w:space="0" w:color="auto"/>
              <w:bottom w:val="single" w:sz="4" w:space="0" w:color="auto"/>
              <w:right w:val="single" w:sz="4" w:space="0" w:color="auto"/>
            </w:tcBorders>
            <w:vAlign w:val="center"/>
            <w:hideMark/>
          </w:tcPr>
          <w:p w14:paraId="78C226CB" w14:textId="23CAC095" w:rsidR="009E108E" w:rsidRPr="00132694" w:rsidRDefault="009E108E" w:rsidP="009E3AD8">
            <w:pPr>
              <w:spacing w:line="276" w:lineRule="auto"/>
              <w:jc w:val="center"/>
              <w:rPr>
                <w:rFonts w:asciiTheme="minorHAnsi" w:hAnsiTheme="minorHAnsi" w:cstheme="minorHAnsi"/>
                <w:b/>
                <w:sz w:val="26"/>
                <w:szCs w:val="26"/>
              </w:rPr>
            </w:pPr>
            <w:r w:rsidRPr="00132694">
              <w:rPr>
                <w:rFonts w:asciiTheme="minorHAnsi" w:hAnsiTheme="minorHAnsi" w:cstheme="minorHAnsi"/>
                <w:b/>
                <w:sz w:val="26"/>
                <w:szCs w:val="26"/>
              </w:rPr>
              <w:t>5</w:t>
            </w:r>
            <w:r w:rsidR="003335F9" w:rsidRPr="00132694">
              <w:rPr>
                <w:rFonts w:asciiTheme="minorHAnsi" w:hAnsiTheme="minorHAnsi" w:cstheme="minorHAnsi"/>
                <w:b/>
                <w:sz w:val="26"/>
                <w:szCs w:val="26"/>
              </w:rPr>
              <w:t>9</w:t>
            </w:r>
          </w:p>
        </w:tc>
        <w:tc>
          <w:tcPr>
            <w:tcW w:w="851" w:type="dxa"/>
            <w:tcBorders>
              <w:top w:val="single" w:sz="4" w:space="0" w:color="auto"/>
              <w:left w:val="single" w:sz="4" w:space="0" w:color="auto"/>
              <w:bottom w:val="single" w:sz="4" w:space="0" w:color="auto"/>
              <w:right w:val="single" w:sz="4" w:space="0" w:color="auto"/>
            </w:tcBorders>
            <w:vAlign w:val="center"/>
            <w:hideMark/>
          </w:tcPr>
          <w:p w14:paraId="4B573CA5" w14:textId="7FA1E697" w:rsidR="009E108E" w:rsidRPr="00132694" w:rsidRDefault="003335F9" w:rsidP="009E3AD8">
            <w:pPr>
              <w:spacing w:line="276" w:lineRule="auto"/>
              <w:jc w:val="center"/>
              <w:rPr>
                <w:rFonts w:asciiTheme="minorHAnsi" w:hAnsiTheme="minorHAnsi" w:cstheme="minorHAnsi"/>
                <w:sz w:val="26"/>
                <w:szCs w:val="26"/>
              </w:rPr>
            </w:pPr>
            <w:r w:rsidRPr="00132694">
              <w:rPr>
                <w:rFonts w:asciiTheme="minorHAnsi" w:hAnsiTheme="minorHAnsi" w:cstheme="minorHAnsi"/>
                <w:sz w:val="26"/>
                <w:szCs w:val="26"/>
              </w:rPr>
              <w:t>32</w:t>
            </w:r>
          </w:p>
        </w:tc>
        <w:tc>
          <w:tcPr>
            <w:tcW w:w="850" w:type="dxa"/>
            <w:tcBorders>
              <w:top w:val="single" w:sz="4" w:space="0" w:color="auto"/>
              <w:left w:val="single" w:sz="4" w:space="0" w:color="auto"/>
              <w:bottom w:val="single" w:sz="4" w:space="0" w:color="auto"/>
              <w:right w:val="single" w:sz="4" w:space="0" w:color="auto"/>
            </w:tcBorders>
            <w:vAlign w:val="center"/>
            <w:hideMark/>
          </w:tcPr>
          <w:p w14:paraId="6CBE6C5E" w14:textId="77777777" w:rsidR="009E108E" w:rsidRPr="00132694" w:rsidRDefault="009E108E" w:rsidP="009E3AD8">
            <w:pPr>
              <w:spacing w:line="276" w:lineRule="auto"/>
              <w:jc w:val="center"/>
              <w:rPr>
                <w:rFonts w:asciiTheme="minorHAnsi" w:hAnsiTheme="minorHAnsi" w:cstheme="minorHAnsi"/>
                <w:sz w:val="26"/>
                <w:szCs w:val="26"/>
              </w:rPr>
            </w:pPr>
            <w:r w:rsidRPr="00132694">
              <w:rPr>
                <w:rFonts w:asciiTheme="minorHAnsi" w:hAnsiTheme="minorHAnsi" w:cstheme="minorHAnsi"/>
                <w:sz w:val="26"/>
                <w:szCs w:val="26"/>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050379A" w14:textId="77777777" w:rsidR="009E108E" w:rsidRPr="00132694" w:rsidRDefault="009E108E" w:rsidP="009E3AD8">
            <w:pPr>
              <w:spacing w:line="276" w:lineRule="auto"/>
              <w:jc w:val="center"/>
              <w:rPr>
                <w:rFonts w:asciiTheme="minorHAnsi" w:hAnsiTheme="minorHAnsi" w:cstheme="minorHAnsi"/>
                <w:sz w:val="26"/>
                <w:szCs w:val="26"/>
              </w:rPr>
            </w:pPr>
            <w:r w:rsidRPr="00132694">
              <w:rPr>
                <w:rFonts w:asciiTheme="minorHAnsi" w:hAnsiTheme="minorHAnsi" w:cstheme="minorHAnsi"/>
                <w:sz w:val="26"/>
                <w:szCs w:val="26"/>
              </w:rPr>
              <w:t>23</w:t>
            </w:r>
          </w:p>
        </w:tc>
      </w:tr>
      <w:tr w:rsidR="00132694" w:rsidRPr="00132694" w14:paraId="53097B18" w14:textId="77777777" w:rsidTr="002D2047">
        <w:trPr>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2CABBC50" w14:textId="288F0311" w:rsidR="009E108E" w:rsidRPr="000F0D8B" w:rsidRDefault="009E108E" w:rsidP="009E3AD8">
            <w:pPr>
              <w:spacing w:line="276" w:lineRule="auto"/>
              <w:jc w:val="both"/>
              <w:rPr>
                <w:rFonts w:asciiTheme="minorHAnsi" w:hAnsiTheme="minorHAnsi" w:cstheme="minorHAnsi"/>
                <w:i/>
                <w:sz w:val="26"/>
                <w:szCs w:val="26"/>
              </w:rPr>
            </w:pPr>
            <w:r w:rsidRPr="000F0D8B">
              <w:rPr>
                <w:rFonts w:asciiTheme="minorHAnsi" w:hAnsiTheme="minorHAnsi" w:cstheme="minorHAnsi"/>
                <w:sz w:val="26"/>
                <w:szCs w:val="26"/>
              </w:rPr>
              <w:lastRenderedPageBreak/>
              <w:t>Parchetele de pe lângă  tribunale (</w:t>
            </w:r>
            <w:r w:rsidRPr="000F0D8B">
              <w:rPr>
                <w:rFonts w:asciiTheme="minorHAnsi" w:hAnsiTheme="minorHAnsi" w:cstheme="minorHAnsi"/>
                <w:i/>
                <w:sz w:val="26"/>
                <w:szCs w:val="26"/>
              </w:rPr>
              <w:t>inclusiv P</w:t>
            </w:r>
            <w:r w:rsidR="004E608E" w:rsidRPr="000F0D8B">
              <w:rPr>
                <w:rFonts w:asciiTheme="minorHAnsi" w:hAnsiTheme="minorHAnsi" w:cstheme="minorHAnsi"/>
                <w:i/>
                <w:sz w:val="26"/>
                <w:szCs w:val="26"/>
              </w:rPr>
              <w:t>.</w:t>
            </w:r>
            <w:r w:rsidRPr="000F0D8B">
              <w:rPr>
                <w:rFonts w:asciiTheme="minorHAnsi" w:hAnsiTheme="minorHAnsi" w:cstheme="minorHAnsi"/>
                <w:i/>
                <w:sz w:val="26"/>
                <w:szCs w:val="26"/>
              </w:rPr>
              <w:t>T</w:t>
            </w:r>
            <w:r w:rsidR="004E608E" w:rsidRPr="000F0D8B">
              <w:rPr>
                <w:rFonts w:asciiTheme="minorHAnsi" w:hAnsiTheme="minorHAnsi" w:cstheme="minorHAnsi"/>
                <w:i/>
                <w:sz w:val="26"/>
                <w:szCs w:val="26"/>
              </w:rPr>
              <w:t>.</w:t>
            </w:r>
            <w:r w:rsidRPr="000F0D8B">
              <w:rPr>
                <w:rFonts w:asciiTheme="minorHAnsi" w:hAnsiTheme="minorHAnsi" w:cstheme="minorHAnsi"/>
                <w:i/>
                <w:sz w:val="26"/>
                <w:szCs w:val="26"/>
              </w:rPr>
              <w:t>M</w:t>
            </w:r>
            <w:r w:rsidR="004E608E" w:rsidRPr="000F0D8B">
              <w:rPr>
                <w:rFonts w:asciiTheme="minorHAnsi" w:hAnsiTheme="minorHAnsi" w:cstheme="minorHAnsi"/>
                <w:i/>
                <w:sz w:val="26"/>
                <w:szCs w:val="26"/>
              </w:rPr>
              <w:t>.</w:t>
            </w:r>
            <w:r w:rsidRPr="000F0D8B">
              <w:rPr>
                <w:rFonts w:asciiTheme="minorHAnsi" w:hAnsiTheme="minorHAnsi" w:cstheme="minorHAnsi"/>
                <w:i/>
                <w:sz w:val="26"/>
                <w:szCs w:val="26"/>
              </w:rPr>
              <w:t>T</w:t>
            </w:r>
            <w:r w:rsidR="004E608E" w:rsidRPr="000F0D8B">
              <w:rPr>
                <w:rFonts w:asciiTheme="minorHAnsi" w:hAnsiTheme="minorHAnsi" w:cstheme="minorHAnsi"/>
                <w:i/>
                <w:sz w:val="26"/>
                <w:szCs w:val="26"/>
              </w:rPr>
              <w:t>.</w:t>
            </w:r>
            <w:r w:rsidRPr="000F0D8B">
              <w:rPr>
                <w:rFonts w:asciiTheme="minorHAnsi" w:hAnsiTheme="minorHAnsi" w:cstheme="minorHAnsi"/>
                <w:i/>
                <w:sz w:val="26"/>
                <w:szCs w:val="26"/>
              </w:rPr>
              <w:t xml:space="preserve"> şi P</w:t>
            </w:r>
            <w:r w:rsidR="004E608E" w:rsidRPr="000F0D8B">
              <w:rPr>
                <w:rFonts w:asciiTheme="minorHAnsi" w:hAnsiTheme="minorHAnsi" w:cstheme="minorHAnsi"/>
                <w:i/>
                <w:sz w:val="26"/>
                <w:szCs w:val="26"/>
              </w:rPr>
              <w:t>.</w:t>
            </w:r>
            <w:r w:rsidRPr="000F0D8B">
              <w:rPr>
                <w:rFonts w:asciiTheme="minorHAnsi" w:hAnsiTheme="minorHAnsi" w:cstheme="minorHAnsi"/>
                <w:i/>
                <w:sz w:val="26"/>
                <w:szCs w:val="26"/>
              </w:rPr>
              <w:t>T</w:t>
            </w:r>
            <w:r w:rsidR="004E608E" w:rsidRPr="000F0D8B">
              <w:rPr>
                <w:rFonts w:asciiTheme="minorHAnsi" w:hAnsiTheme="minorHAnsi" w:cstheme="minorHAnsi"/>
                <w:i/>
                <w:sz w:val="26"/>
                <w:szCs w:val="26"/>
              </w:rPr>
              <w:t>.</w:t>
            </w:r>
            <w:r w:rsidRPr="000F0D8B">
              <w:rPr>
                <w:rFonts w:asciiTheme="minorHAnsi" w:hAnsiTheme="minorHAnsi" w:cstheme="minorHAnsi"/>
                <w:i/>
                <w:sz w:val="26"/>
                <w:szCs w:val="26"/>
              </w:rPr>
              <w:t>M</w:t>
            </w:r>
            <w:r w:rsidR="004E608E" w:rsidRPr="000F0D8B">
              <w:rPr>
                <w:rFonts w:asciiTheme="minorHAnsi" w:hAnsiTheme="minorHAnsi" w:cstheme="minorHAnsi"/>
                <w:i/>
                <w:sz w:val="26"/>
                <w:szCs w:val="26"/>
              </w:rPr>
              <w:t>.</w:t>
            </w:r>
            <w:r w:rsidRPr="000F0D8B">
              <w:rPr>
                <w:rFonts w:asciiTheme="minorHAnsi" w:hAnsiTheme="minorHAnsi" w:cstheme="minorHAnsi"/>
                <w:i/>
                <w:sz w:val="26"/>
                <w:szCs w:val="26"/>
              </w:rPr>
              <w:t>F</w:t>
            </w:r>
            <w:r w:rsidR="004E608E" w:rsidRPr="000F0D8B">
              <w:rPr>
                <w:rFonts w:asciiTheme="minorHAnsi" w:hAnsiTheme="minorHAnsi" w:cstheme="minorHAnsi"/>
                <w:i/>
                <w:sz w:val="26"/>
                <w:szCs w:val="26"/>
              </w:rPr>
              <w:t>.</w:t>
            </w:r>
            <w:r w:rsidRPr="000F0D8B">
              <w:rPr>
                <w:rFonts w:asciiTheme="minorHAnsi" w:hAnsiTheme="minorHAnsi" w:cstheme="minorHAnsi"/>
                <w:i/>
                <w:sz w:val="26"/>
                <w:szCs w:val="26"/>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536422C1" w14:textId="4806B70D" w:rsidR="009E108E" w:rsidRPr="00132694" w:rsidRDefault="003335F9" w:rsidP="009E3AD8">
            <w:pPr>
              <w:spacing w:line="276" w:lineRule="auto"/>
              <w:jc w:val="center"/>
              <w:rPr>
                <w:rFonts w:asciiTheme="minorHAnsi" w:hAnsiTheme="minorHAnsi" w:cstheme="minorHAnsi"/>
                <w:b/>
                <w:sz w:val="26"/>
                <w:szCs w:val="26"/>
              </w:rPr>
            </w:pPr>
            <w:r w:rsidRPr="00132694">
              <w:rPr>
                <w:rFonts w:asciiTheme="minorHAnsi" w:hAnsiTheme="minorHAnsi" w:cstheme="minorHAnsi"/>
                <w:b/>
                <w:sz w:val="26"/>
                <w:szCs w:val="26"/>
              </w:rPr>
              <w:t>719</w:t>
            </w:r>
          </w:p>
        </w:tc>
        <w:tc>
          <w:tcPr>
            <w:tcW w:w="851" w:type="dxa"/>
            <w:tcBorders>
              <w:top w:val="single" w:sz="4" w:space="0" w:color="auto"/>
              <w:left w:val="single" w:sz="4" w:space="0" w:color="auto"/>
              <w:bottom w:val="single" w:sz="4" w:space="0" w:color="auto"/>
              <w:right w:val="single" w:sz="4" w:space="0" w:color="auto"/>
            </w:tcBorders>
            <w:vAlign w:val="center"/>
            <w:hideMark/>
          </w:tcPr>
          <w:p w14:paraId="4396155A" w14:textId="77777777" w:rsidR="009E108E" w:rsidRPr="00132694" w:rsidRDefault="009E108E" w:rsidP="009E3AD8">
            <w:pPr>
              <w:spacing w:line="276" w:lineRule="auto"/>
              <w:jc w:val="center"/>
              <w:rPr>
                <w:rFonts w:asciiTheme="minorHAnsi" w:hAnsiTheme="minorHAnsi" w:cstheme="minorHAnsi"/>
                <w:sz w:val="26"/>
                <w:szCs w:val="26"/>
              </w:rPr>
            </w:pPr>
            <w:r w:rsidRPr="00132694">
              <w:rPr>
                <w:rFonts w:asciiTheme="minorHAnsi" w:hAnsiTheme="minorHAnsi" w:cstheme="minorHAnsi"/>
                <w:sz w:val="26"/>
                <w:szCs w:val="26"/>
              </w:rPr>
              <w:t>518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6FBDE792" w14:textId="2BB861AB" w:rsidR="009E108E" w:rsidRPr="00132694" w:rsidRDefault="003335F9" w:rsidP="009E3AD8">
            <w:pPr>
              <w:spacing w:line="276" w:lineRule="auto"/>
              <w:jc w:val="center"/>
              <w:rPr>
                <w:rFonts w:asciiTheme="minorHAnsi" w:hAnsiTheme="minorHAnsi" w:cstheme="minorHAnsi"/>
                <w:sz w:val="26"/>
                <w:szCs w:val="26"/>
              </w:rPr>
            </w:pPr>
            <w:r w:rsidRPr="00132694">
              <w:rPr>
                <w:rFonts w:asciiTheme="minorHAnsi" w:hAnsiTheme="minorHAnsi" w:cstheme="minorHAnsi"/>
                <w:sz w:val="26"/>
                <w:szCs w:val="26"/>
              </w:rPr>
              <w:t>8</w:t>
            </w:r>
          </w:p>
        </w:tc>
        <w:tc>
          <w:tcPr>
            <w:tcW w:w="851" w:type="dxa"/>
            <w:tcBorders>
              <w:top w:val="single" w:sz="4" w:space="0" w:color="auto"/>
              <w:left w:val="single" w:sz="4" w:space="0" w:color="auto"/>
              <w:bottom w:val="single" w:sz="4" w:space="0" w:color="auto"/>
              <w:right w:val="single" w:sz="4" w:space="0" w:color="auto"/>
            </w:tcBorders>
            <w:vAlign w:val="center"/>
            <w:hideMark/>
          </w:tcPr>
          <w:p w14:paraId="6369CFFC" w14:textId="77777777" w:rsidR="009E108E" w:rsidRPr="00132694" w:rsidRDefault="009E108E" w:rsidP="009E3AD8">
            <w:pPr>
              <w:spacing w:line="276" w:lineRule="auto"/>
              <w:jc w:val="center"/>
              <w:rPr>
                <w:rFonts w:asciiTheme="minorHAnsi" w:hAnsiTheme="minorHAnsi" w:cstheme="minorHAnsi"/>
                <w:sz w:val="26"/>
                <w:szCs w:val="26"/>
              </w:rPr>
            </w:pPr>
            <w:r w:rsidRPr="00132694">
              <w:rPr>
                <w:rFonts w:asciiTheme="minorHAnsi" w:hAnsiTheme="minorHAnsi" w:cstheme="minorHAnsi"/>
                <w:sz w:val="26"/>
                <w:szCs w:val="26"/>
              </w:rPr>
              <w:t>193</w:t>
            </w:r>
          </w:p>
        </w:tc>
        <w:tc>
          <w:tcPr>
            <w:tcW w:w="850" w:type="dxa"/>
            <w:tcBorders>
              <w:top w:val="single" w:sz="4" w:space="0" w:color="auto"/>
              <w:left w:val="single" w:sz="4" w:space="0" w:color="auto"/>
              <w:bottom w:val="single" w:sz="4" w:space="0" w:color="auto"/>
              <w:right w:val="single" w:sz="4" w:space="0" w:color="auto"/>
            </w:tcBorders>
            <w:vAlign w:val="center"/>
            <w:hideMark/>
          </w:tcPr>
          <w:p w14:paraId="6D5CF1CD" w14:textId="76F93E88" w:rsidR="009E108E" w:rsidRPr="00132694" w:rsidRDefault="003335F9" w:rsidP="009E3AD8">
            <w:pPr>
              <w:spacing w:line="276" w:lineRule="auto"/>
              <w:jc w:val="center"/>
              <w:rPr>
                <w:rFonts w:asciiTheme="minorHAnsi" w:hAnsiTheme="minorHAnsi" w:cstheme="minorHAnsi"/>
                <w:b/>
                <w:sz w:val="26"/>
                <w:szCs w:val="26"/>
              </w:rPr>
            </w:pPr>
            <w:r w:rsidRPr="00132694">
              <w:rPr>
                <w:rFonts w:asciiTheme="minorHAnsi" w:hAnsiTheme="minorHAnsi" w:cstheme="minorHAnsi"/>
                <w:b/>
                <w:sz w:val="26"/>
                <w:szCs w:val="26"/>
              </w:rPr>
              <w:t>205</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B53DF6" w14:textId="5E803F2E" w:rsidR="009E108E" w:rsidRPr="00132694" w:rsidRDefault="003335F9" w:rsidP="009E3AD8">
            <w:pPr>
              <w:spacing w:line="276" w:lineRule="auto"/>
              <w:jc w:val="center"/>
              <w:rPr>
                <w:rFonts w:asciiTheme="minorHAnsi" w:hAnsiTheme="minorHAnsi" w:cstheme="minorHAnsi"/>
                <w:sz w:val="26"/>
                <w:szCs w:val="26"/>
              </w:rPr>
            </w:pPr>
            <w:r w:rsidRPr="00132694">
              <w:rPr>
                <w:rFonts w:asciiTheme="minorHAnsi" w:hAnsiTheme="minorHAnsi" w:cstheme="minorHAnsi"/>
                <w:sz w:val="26"/>
                <w:szCs w:val="26"/>
              </w:rPr>
              <w:t>133</w:t>
            </w:r>
          </w:p>
        </w:tc>
        <w:tc>
          <w:tcPr>
            <w:tcW w:w="850" w:type="dxa"/>
            <w:tcBorders>
              <w:top w:val="single" w:sz="4" w:space="0" w:color="auto"/>
              <w:left w:val="single" w:sz="4" w:space="0" w:color="auto"/>
              <w:bottom w:val="single" w:sz="4" w:space="0" w:color="auto"/>
              <w:right w:val="single" w:sz="4" w:space="0" w:color="auto"/>
            </w:tcBorders>
            <w:vAlign w:val="center"/>
            <w:hideMark/>
          </w:tcPr>
          <w:p w14:paraId="4116BCD7" w14:textId="41ADE749" w:rsidR="009E108E" w:rsidRPr="00132694" w:rsidRDefault="003335F9" w:rsidP="009E3AD8">
            <w:pPr>
              <w:spacing w:line="276" w:lineRule="auto"/>
              <w:jc w:val="center"/>
              <w:rPr>
                <w:rFonts w:asciiTheme="minorHAnsi" w:hAnsiTheme="minorHAnsi" w:cstheme="minorHAnsi"/>
                <w:sz w:val="26"/>
                <w:szCs w:val="26"/>
              </w:rPr>
            </w:pPr>
            <w:r w:rsidRPr="00132694">
              <w:rPr>
                <w:rFonts w:asciiTheme="minorHAnsi" w:hAnsiTheme="minorHAnsi" w:cstheme="minorHAnsi"/>
                <w:sz w:val="26"/>
                <w:szCs w:val="26"/>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20575FF8" w14:textId="494356EC" w:rsidR="009E108E" w:rsidRPr="00132694" w:rsidRDefault="009E108E" w:rsidP="009E3AD8">
            <w:pPr>
              <w:spacing w:line="276" w:lineRule="auto"/>
              <w:jc w:val="center"/>
              <w:rPr>
                <w:rFonts w:asciiTheme="minorHAnsi" w:hAnsiTheme="minorHAnsi" w:cstheme="minorHAnsi"/>
                <w:sz w:val="26"/>
                <w:szCs w:val="26"/>
              </w:rPr>
            </w:pPr>
            <w:r w:rsidRPr="00132694">
              <w:rPr>
                <w:rFonts w:asciiTheme="minorHAnsi" w:hAnsiTheme="minorHAnsi" w:cstheme="minorHAnsi"/>
                <w:sz w:val="26"/>
                <w:szCs w:val="26"/>
              </w:rPr>
              <w:t>6</w:t>
            </w:r>
            <w:r w:rsidR="003335F9" w:rsidRPr="00132694">
              <w:rPr>
                <w:rFonts w:asciiTheme="minorHAnsi" w:hAnsiTheme="minorHAnsi" w:cstheme="minorHAnsi"/>
                <w:sz w:val="26"/>
                <w:szCs w:val="26"/>
              </w:rPr>
              <w:t>7</w:t>
            </w:r>
          </w:p>
        </w:tc>
      </w:tr>
      <w:tr w:rsidR="00132694" w:rsidRPr="00132694" w14:paraId="3F23E119" w14:textId="77777777" w:rsidTr="002D2047">
        <w:trPr>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2DC424EE" w14:textId="77777777" w:rsidR="009E108E" w:rsidRPr="000F0D8B" w:rsidRDefault="009E108E" w:rsidP="009E3AD8">
            <w:pPr>
              <w:spacing w:line="276" w:lineRule="auto"/>
              <w:jc w:val="both"/>
              <w:rPr>
                <w:rFonts w:asciiTheme="minorHAnsi" w:hAnsiTheme="minorHAnsi" w:cstheme="minorHAnsi"/>
                <w:sz w:val="26"/>
                <w:szCs w:val="26"/>
              </w:rPr>
            </w:pPr>
            <w:r w:rsidRPr="000F0D8B">
              <w:rPr>
                <w:rFonts w:asciiTheme="minorHAnsi" w:hAnsiTheme="minorHAnsi" w:cstheme="minorHAnsi"/>
                <w:sz w:val="26"/>
                <w:szCs w:val="26"/>
              </w:rPr>
              <w:t xml:space="preserve">Parchetele de pe lângă judecătorii </w:t>
            </w:r>
          </w:p>
        </w:tc>
        <w:tc>
          <w:tcPr>
            <w:tcW w:w="850" w:type="dxa"/>
            <w:tcBorders>
              <w:top w:val="single" w:sz="4" w:space="0" w:color="auto"/>
              <w:left w:val="single" w:sz="4" w:space="0" w:color="auto"/>
              <w:bottom w:val="single" w:sz="4" w:space="0" w:color="auto"/>
              <w:right w:val="single" w:sz="4" w:space="0" w:color="auto"/>
            </w:tcBorders>
            <w:vAlign w:val="center"/>
            <w:hideMark/>
          </w:tcPr>
          <w:p w14:paraId="58C996CD" w14:textId="77777777" w:rsidR="009E108E" w:rsidRPr="00132694" w:rsidRDefault="009E108E" w:rsidP="009E3AD8">
            <w:pPr>
              <w:spacing w:line="276" w:lineRule="auto"/>
              <w:jc w:val="center"/>
              <w:rPr>
                <w:rFonts w:asciiTheme="minorHAnsi" w:hAnsiTheme="minorHAnsi" w:cstheme="minorHAnsi"/>
                <w:b/>
                <w:sz w:val="26"/>
                <w:szCs w:val="26"/>
              </w:rPr>
            </w:pPr>
            <w:r w:rsidRPr="00132694">
              <w:rPr>
                <w:rFonts w:asciiTheme="minorHAnsi" w:hAnsiTheme="minorHAnsi" w:cstheme="minorHAnsi"/>
                <w:b/>
                <w:sz w:val="26"/>
                <w:szCs w:val="26"/>
              </w:rPr>
              <w:t>1386</w:t>
            </w:r>
          </w:p>
        </w:tc>
        <w:tc>
          <w:tcPr>
            <w:tcW w:w="851" w:type="dxa"/>
            <w:tcBorders>
              <w:top w:val="single" w:sz="4" w:space="0" w:color="auto"/>
              <w:left w:val="single" w:sz="4" w:space="0" w:color="auto"/>
              <w:bottom w:val="single" w:sz="4" w:space="0" w:color="auto"/>
              <w:right w:val="single" w:sz="4" w:space="0" w:color="auto"/>
            </w:tcBorders>
            <w:vAlign w:val="center"/>
            <w:hideMark/>
          </w:tcPr>
          <w:p w14:paraId="48AB163B" w14:textId="77777777" w:rsidR="009E108E" w:rsidRPr="00132694" w:rsidRDefault="009E108E" w:rsidP="009E3AD8">
            <w:pPr>
              <w:spacing w:line="276" w:lineRule="auto"/>
              <w:jc w:val="center"/>
              <w:rPr>
                <w:rFonts w:asciiTheme="minorHAnsi" w:hAnsiTheme="minorHAnsi" w:cstheme="minorHAnsi"/>
                <w:sz w:val="26"/>
                <w:szCs w:val="26"/>
              </w:rPr>
            </w:pPr>
            <w:r w:rsidRPr="00132694">
              <w:rPr>
                <w:rFonts w:asciiTheme="minorHAnsi" w:hAnsiTheme="minorHAnsi" w:cstheme="minorHAnsi"/>
                <w:sz w:val="26"/>
                <w:szCs w:val="26"/>
              </w:rPr>
              <w:t>1107</w:t>
            </w:r>
          </w:p>
        </w:tc>
        <w:tc>
          <w:tcPr>
            <w:tcW w:w="850" w:type="dxa"/>
            <w:tcBorders>
              <w:top w:val="single" w:sz="4" w:space="0" w:color="auto"/>
              <w:left w:val="single" w:sz="4" w:space="0" w:color="auto"/>
              <w:bottom w:val="single" w:sz="4" w:space="0" w:color="auto"/>
              <w:right w:val="single" w:sz="4" w:space="0" w:color="auto"/>
            </w:tcBorders>
            <w:vAlign w:val="center"/>
            <w:hideMark/>
          </w:tcPr>
          <w:p w14:paraId="6680B484" w14:textId="77777777" w:rsidR="009E108E" w:rsidRPr="00132694" w:rsidRDefault="009E108E" w:rsidP="009E3AD8">
            <w:pPr>
              <w:spacing w:line="276" w:lineRule="auto"/>
              <w:jc w:val="center"/>
              <w:rPr>
                <w:rFonts w:asciiTheme="minorHAnsi" w:hAnsiTheme="minorHAnsi" w:cstheme="minorHAnsi"/>
                <w:sz w:val="26"/>
                <w:szCs w:val="26"/>
              </w:rPr>
            </w:pPr>
            <w:r w:rsidRPr="00132694">
              <w:rPr>
                <w:rFonts w:asciiTheme="minorHAnsi" w:hAnsiTheme="minorHAnsi" w:cstheme="minorHAnsi"/>
                <w:sz w:val="26"/>
                <w:szCs w:val="26"/>
              </w:rPr>
              <w:t>38</w:t>
            </w:r>
          </w:p>
        </w:tc>
        <w:tc>
          <w:tcPr>
            <w:tcW w:w="851" w:type="dxa"/>
            <w:tcBorders>
              <w:top w:val="single" w:sz="4" w:space="0" w:color="auto"/>
              <w:left w:val="single" w:sz="4" w:space="0" w:color="auto"/>
              <w:bottom w:val="single" w:sz="4" w:space="0" w:color="auto"/>
              <w:right w:val="single" w:sz="4" w:space="0" w:color="auto"/>
            </w:tcBorders>
            <w:vAlign w:val="center"/>
            <w:hideMark/>
          </w:tcPr>
          <w:p w14:paraId="729A190C" w14:textId="77777777" w:rsidR="009E108E" w:rsidRPr="00132694" w:rsidRDefault="009E108E" w:rsidP="009E3AD8">
            <w:pPr>
              <w:spacing w:line="276" w:lineRule="auto"/>
              <w:jc w:val="center"/>
              <w:rPr>
                <w:rFonts w:asciiTheme="minorHAnsi" w:hAnsiTheme="minorHAnsi" w:cstheme="minorHAnsi"/>
                <w:sz w:val="26"/>
                <w:szCs w:val="26"/>
              </w:rPr>
            </w:pPr>
            <w:r w:rsidRPr="00132694">
              <w:rPr>
                <w:rFonts w:asciiTheme="minorHAnsi" w:hAnsiTheme="minorHAnsi" w:cstheme="minorHAnsi"/>
                <w:sz w:val="26"/>
                <w:szCs w:val="26"/>
              </w:rPr>
              <w:t>241</w:t>
            </w:r>
          </w:p>
        </w:tc>
        <w:tc>
          <w:tcPr>
            <w:tcW w:w="850" w:type="dxa"/>
            <w:tcBorders>
              <w:top w:val="single" w:sz="4" w:space="0" w:color="auto"/>
              <w:left w:val="single" w:sz="4" w:space="0" w:color="auto"/>
              <w:bottom w:val="single" w:sz="4" w:space="0" w:color="auto"/>
              <w:right w:val="single" w:sz="4" w:space="0" w:color="auto"/>
            </w:tcBorders>
            <w:vAlign w:val="center"/>
            <w:hideMark/>
          </w:tcPr>
          <w:p w14:paraId="1CBFCD2F" w14:textId="5A2BDF6F" w:rsidR="009E108E" w:rsidRPr="00132694" w:rsidRDefault="003335F9" w:rsidP="009E3AD8">
            <w:pPr>
              <w:spacing w:line="276" w:lineRule="auto"/>
              <w:jc w:val="center"/>
              <w:rPr>
                <w:rFonts w:asciiTheme="minorHAnsi" w:hAnsiTheme="minorHAnsi" w:cstheme="minorHAnsi"/>
                <w:b/>
                <w:sz w:val="26"/>
                <w:szCs w:val="26"/>
              </w:rPr>
            </w:pPr>
            <w:r w:rsidRPr="00132694">
              <w:rPr>
                <w:rFonts w:asciiTheme="minorHAnsi" w:hAnsiTheme="minorHAnsi" w:cstheme="minorHAnsi"/>
                <w:b/>
                <w:sz w:val="26"/>
                <w:szCs w:val="26"/>
              </w:rPr>
              <w:t>352</w:t>
            </w:r>
          </w:p>
        </w:tc>
        <w:tc>
          <w:tcPr>
            <w:tcW w:w="851" w:type="dxa"/>
            <w:tcBorders>
              <w:top w:val="single" w:sz="4" w:space="0" w:color="auto"/>
              <w:left w:val="single" w:sz="4" w:space="0" w:color="auto"/>
              <w:bottom w:val="single" w:sz="4" w:space="0" w:color="auto"/>
              <w:right w:val="single" w:sz="4" w:space="0" w:color="auto"/>
            </w:tcBorders>
            <w:vAlign w:val="center"/>
            <w:hideMark/>
          </w:tcPr>
          <w:p w14:paraId="052F463D" w14:textId="47601605" w:rsidR="009E108E" w:rsidRPr="00132694" w:rsidRDefault="003335F9" w:rsidP="009E3AD8">
            <w:pPr>
              <w:spacing w:line="276" w:lineRule="auto"/>
              <w:jc w:val="center"/>
              <w:rPr>
                <w:rFonts w:asciiTheme="minorHAnsi" w:hAnsiTheme="minorHAnsi" w:cstheme="minorHAnsi"/>
                <w:sz w:val="26"/>
                <w:szCs w:val="26"/>
              </w:rPr>
            </w:pPr>
            <w:r w:rsidRPr="00132694">
              <w:rPr>
                <w:rFonts w:asciiTheme="minorHAnsi" w:hAnsiTheme="minorHAnsi" w:cstheme="minorHAnsi"/>
                <w:sz w:val="26"/>
                <w:szCs w:val="26"/>
              </w:rPr>
              <w:t>172</w:t>
            </w:r>
          </w:p>
        </w:tc>
        <w:tc>
          <w:tcPr>
            <w:tcW w:w="850" w:type="dxa"/>
            <w:tcBorders>
              <w:top w:val="single" w:sz="4" w:space="0" w:color="auto"/>
              <w:left w:val="single" w:sz="4" w:space="0" w:color="auto"/>
              <w:bottom w:val="single" w:sz="4" w:space="0" w:color="auto"/>
              <w:right w:val="single" w:sz="4" w:space="0" w:color="auto"/>
            </w:tcBorders>
            <w:vAlign w:val="center"/>
            <w:hideMark/>
          </w:tcPr>
          <w:p w14:paraId="01A6548D" w14:textId="77777777" w:rsidR="009E108E" w:rsidRPr="00132694" w:rsidRDefault="009E108E" w:rsidP="009E3AD8">
            <w:pPr>
              <w:spacing w:line="276" w:lineRule="auto"/>
              <w:jc w:val="center"/>
              <w:rPr>
                <w:rFonts w:asciiTheme="minorHAnsi" w:hAnsiTheme="minorHAnsi" w:cstheme="minorHAnsi"/>
                <w:sz w:val="26"/>
                <w:szCs w:val="26"/>
              </w:rPr>
            </w:pPr>
            <w:r w:rsidRPr="00132694">
              <w:rPr>
                <w:rFonts w:asciiTheme="minorHAnsi" w:hAnsiTheme="minorHAnsi" w:cstheme="minorHAnsi"/>
                <w:sz w:val="26"/>
                <w:szCs w:val="26"/>
              </w:rPr>
              <w:t>28</w:t>
            </w:r>
          </w:p>
        </w:tc>
        <w:tc>
          <w:tcPr>
            <w:tcW w:w="850" w:type="dxa"/>
            <w:tcBorders>
              <w:top w:val="single" w:sz="4" w:space="0" w:color="auto"/>
              <w:left w:val="single" w:sz="4" w:space="0" w:color="auto"/>
              <w:bottom w:val="single" w:sz="4" w:space="0" w:color="auto"/>
              <w:right w:val="single" w:sz="4" w:space="0" w:color="auto"/>
            </w:tcBorders>
            <w:vAlign w:val="center"/>
            <w:hideMark/>
          </w:tcPr>
          <w:p w14:paraId="65065626" w14:textId="589E5826" w:rsidR="009E108E" w:rsidRPr="00132694" w:rsidRDefault="009E108E" w:rsidP="009E3AD8">
            <w:pPr>
              <w:spacing w:line="276" w:lineRule="auto"/>
              <w:jc w:val="center"/>
              <w:rPr>
                <w:rFonts w:asciiTheme="minorHAnsi" w:hAnsiTheme="minorHAnsi" w:cstheme="minorHAnsi"/>
                <w:sz w:val="26"/>
                <w:szCs w:val="26"/>
              </w:rPr>
            </w:pPr>
            <w:r w:rsidRPr="00132694">
              <w:rPr>
                <w:rFonts w:asciiTheme="minorHAnsi" w:hAnsiTheme="minorHAnsi" w:cstheme="minorHAnsi"/>
                <w:sz w:val="26"/>
                <w:szCs w:val="26"/>
              </w:rPr>
              <w:t>15</w:t>
            </w:r>
            <w:r w:rsidR="003335F9" w:rsidRPr="00132694">
              <w:rPr>
                <w:rFonts w:asciiTheme="minorHAnsi" w:hAnsiTheme="minorHAnsi" w:cstheme="minorHAnsi"/>
                <w:sz w:val="26"/>
                <w:szCs w:val="26"/>
              </w:rPr>
              <w:t>2</w:t>
            </w:r>
          </w:p>
        </w:tc>
      </w:tr>
      <w:tr w:rsidR="00132694" w:rsidRPr="00132694" w14:paraId="43D5A62C" w14:textId="77777777" w:rsidTr="002D2047">
        <w:trPr>
          <w:jc w:val="center"/>
        </w:trPr>
        <w:tc>
          <w:tcPr>
            <w:tcW w:w="25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7F5399" w14:textId="77777777" w:rsidR="009E108E" w:rsidRPr="000F0D8B" w:rsidRDefault="009E108E" w:rsidP="009E3AD8">
            <w:pPr>
              <w:spacing w:line="276" w:lineRule="auto"/>
              <w:jc w:val="both"/>
              <w:rPr>
                <w:rFonts w:asciiTheme="minorHAnsi" w:hAnsiTheme="minorHAnsi" w:cstheme="minorHAnsi"/>
                <w:b/>
                <w:sz w:val="26"/>
                <w:szCs w:val="26"/>
              </w:rPr>
            </w:pPr>
            <w:r w:rsidRPr="000F0D8B">
              <w:rPr>
                <w:rFonts w:asciiTheme="minorHAnsi" w:hAnsiTheme="minorHAnsi" w:cstheme="minorHAnsi"/>
                <w:b/>
                <w:sz w:val="26"/>
                <w:szCs w:val="26"/>
              </w:rPr>
              <w:t xml:space="preserve">          Total </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B6F46A" w14:textId="05748EF3" w:rsidR="009E108E" w:rsidRPr="00132694" w:rsidRDefault="009E108E" w:rsidP="009E3AD8">
            <w:pPr>
              <w:spacing w:line="276" w:lineRule="auto"/>
              <w:jc w:val="center"/>
              <w:rPr>
                <w:rFonts w:asciiTheme="minorHAnsi" w:hAnsiTheme="minorHAnsi" w:cstheme="minorHAnsi"/>
                <w:b/>
                <w:sz w:val="26"/>
                <w:szCs w:val="26"/>
              </w:rPr>
            </w:pPr>
            <w:r w:rsidRPr="00132694">
              <w:rPr>
                <w:rFonts w:asciiTheme="minorHAnsi" w:hAnsiTheme="minorHAnsi" w:cstheme="minorHAnsi"/>
                <w:b/>
                <w:sz w:val="26"/>
                <w:szCs w:val="26"/>
              </w:rPr>
              <w:t>305</w:t>
            </w:r>
            <w:r w:rsidR="00857EA3" w:rsidRPr="00132694">
              <w:rPr>
                <w:rFonts w:asciiTheme="minorHAnsi" w:hAnsiTheme="minorHAnsi" w:cstheme="minorHAnsi"/>
                <w:b/>
                <w:sz w:val="26"/>
                <w:szCs w:val="26"/>
              </w:rPr>
              <w:t>2</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CB6C8F" w14:textId="77777777" w:rsidR="009E108E" w:rsidRPr="00132694" w:rsidRDefault="009E108E" w:rsidP="009E3AD8">
            <w:pPr>
              <w:spacing w:line="276" w:lineRule="auto"/>
              <w:jc w:val="center"/>
              <w:rPr>
                <w:rFonts w:asciiTheme="minorHAnsi" w:hAnsiTheme="minorHAnsi" w:cstheme="minorHAnsi"/>
                <w:b/>
                <w:sz w:val="26"/>
                <w:szCs w:val="26"/>
              </w:rPr>
            </w:pPr>
            <w:r w:rsidRPr="00132694">
              <w:rPr>
                <w:rFonts w:asciiTheme="minorHAnsi" w:hAnsiTheme="minorHAnsi" w:cstheme="minorHAnsi"/>
                <w:b/>
                <w:sz w:val="26"/>
                <w:szCs w:val="26"/>
              </w:rPr>
              <w:t>2345</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1092ED" w14:textId="6D333235" w:rsidR="009E108E" w:rsidRPr="00132694" w:rsidRDefault="00857EA3" w:rsidP="009E3AD8">
            <w:pPr>
              <w:spacing w:line="276" w:lineRule="auto"/>
              <w:jc w:val="center"/>
              <w:rPr>
                <w:rFonts w:asciiTheme="minorHAnsi" w:hAnsiTheme="minorHAnsi" w:cstheme="minorHAnsi"/>
                <w:b/>
                <w:sz w:val="26"/>
                <w:szCs w:val="26"/>
              </w:rPr>
            </w:pPr>
            <w:r w:rsidRPr="00132694">
              <w:rPr>
                <w:rFonts w:asciiTheme="minorHAnsi" w:hAnsiTheme="minorHAnsi" w:cstheme="minorHAnsi"/>
                <w:b/>
                <w:sz w:val="26"/>
                <w:szCs w:val="26"/>
              </w:rPr>
              <w:t>50</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E153EF" w14:textId="77777777" w:rsidR="009E108E" w:rsidRPr="00132694" w:rsidRDefault="009E108E" w:rsidP="009E3AD8">
            <w:pPr>
              <w:spacing w:line="276" w:lineRule="auto"/>
              <w:jc w:val="center"/>
              <w:rPr>
                <w:rFonts w:asciiTheme="minorHAnsi" w:hAnsiTheme="minorHAnsi" w:cstheme="minorHAnsi"/>
                <w:b/>
                <w:sz w:val="26"/>
                <w:szCs w:val="26"/>
              </w:rPr>
            </w:pPr>
            <w:r w:rsidRPr="00132694">
              <w:rPr>
                <w:rFonts w:asciiTheme="minorHAnsi" w:hAnsiTheme="minorHAnsi" w:cstheme="minorHAnsi"/>
                <w:b/>
                <w:sz w:val="26"/>
                <w:szCs w:val="26"/>
              </w:rPr>
              <w:t>657</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5DB663" w14:textId="64CD1B91" w:rsidR="009E108E" w:rsidRPr="00132694" w:rsidRDefault="00857EA3" w:rsidP="009E3AD8">
            <w:pPr>
              <w:spacing w:line="276" w:lineRule="auto"/>
              <w:jc w:val="center"/>
              <w:rPr>
                <w:rFonts w:asciiTheme="minorHAnsi" w:hAnsiTheme="minorHAnsi" w:cstheme="minorHAnsi"/>
                <w:b/>
                <w:sz w:val="26"/>
                <w:szCs w:val="26"/>
              </w:rPr>
            </w:pPr>
            <w:r w:rsidRPr="00132694">
              <w:rPr>
                <w:rFonts w:asciiTheme="minorHAnsi" w:hAnsiTheme="minorHAnsi" w:cstheme="minorHAnsi"/>
                <w:b/>
                <w:sz w:val="26"/>
                <w:szCs w:val="26"/>
              </w:rPr>
              <w:t>765</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2AE782" w14:textId="1F410B9D" w:rsidR="009E108E" w:rsidRPr="00132694" w:rsidRDefault="00857EA3" w:rsidP="009E3AD8">
            <w:pPr>
              <w:spacing w:line="276" w:lineRule="auto"/>
              <w:jc w:val="center"/>
              <w:rPr>
                <w:rFonts w:asciiTheme="minorHAnsi" w:hAnsiTheme="minorHAnsi" w:cstheme="minorHAnsi"/>
                <w:b/>
                <w:sz w:val="26"/>
                <w:szCs w:val="26"/>
              </w:rPr>
            </w:pPr>
            <w:r w:rsidRPr="00132694">
              <w:rPr>
                <w:rFonts w:asciiTheme="minorHAnsi" w:hAnsiTheme="minorHAnsi" w:cstheme="minorHAnsi"/>
                <w:b/>
                <w:sz w:val="26"/>
                <w:szCs w:val="26"/>
              </w:rPr>
              <w:t>425</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001D27" w14:textId="6D2AE381" w:rsidR="009E108E" w:rsidRPr="00132694" w:rsidRDefault="00857EA3" w:rsidP="009E3AD8">
            <w:pPr>
              <w:spacing w:line="276" w:lineRule="auto"/>
              <w:jc w:val="center"/>
              <w:rPr>
                <w:rFonts w:asciiTheme="minorHAnsi" w:hAnsiTheme="minorHAnsi" w:cstheme="minorHAnsi"/>
                <w:b/>
                <w:sz w:val="26"/>
                <w:szCs w:val="26"/>
              </w:rPr>
            </w:pPr>
            <w:r w:rsidRPr="00132694">
              <w:rPr>
                <w:rFonts w:asciiTheme="minorHAnsi" w:hAnsiTheme="minorHAnsi" w:cstheme="minorHAnsi"/>
                <w:b/>
                <w:sz w:val="26"/>
                <w:szCs w:val="26"/>
              </w:rPr>
              <w:t>37</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6B1A1D" w14:textId="19567047" w:rsidR="009E108E" w:rsidRPr="00132694" w:rsidRDefault="00857EA3" w:rsidP="009E3AD8">
            <w:pPr>
              <w:spacing w:line="276" w:lineRule="auto"/>
              <w:jc w:val="center"/>
              <w:rPr>
                <w:rFonts w:asciiTheme="minorHAnsi" w:hAnsiTheme="minorHAnsi" w:cstheme="minorHAnsi"/>
                <w:b/>
                <w:sz w:val="26"/>
                <w:szCs w:val="26"/>
              </w:rPr>
            </w:pPr>
            <w:r w:rsidRPr="00132694">
              <w:rPr>
                <w:rFonts w:asciiTheme="minorHAnsi" w:hAnsiTheme="minorHAnsi" w:cstheme="minorHAnsi"/>
                <w:b/>
                <w:sz w:val="26"/>
                <w:szCs w:val="26"/>
              </w:rPr>
              <w:t>303</w:t>
            </w:r>
          </w:p>
        </w:tc>
      </w:tr>
    </w:tbl>
    <w:bookmarkEnd w:id="76"/>
    <w:p w14:paraId="2D2769A0" w14:textId="77777777" w:rsidR="009E108E" w:rsidRPr="000F0D8B" w:rsidRDefault="009E108E" w:rsidP="002D2047">
      <w:pPr>
        <w:spacing w:line="276" w:lineRule="auto"/>
        <w:jc w:val="center"/>
        <w:rPr>
          <w:rFonts w:asciiTheme="minorHAnsi" w:hAnsiTheme="minorHAnsi" w:cstheme="minorHAnsi"/>
          <w:sz w:val="26"/>
          <w:szCs w:val="26"/>
        </w:rPr>
      </w:pPr>
      <w:r w:rsidRPr="000F0D8B">
        <w:rPr>
          <w:rFonts w:asciiTheme="minorHAnsi" w:hAnsiTheme="minorHAnsi" w:cstheme="minorHAnsi"/>
          <w:noProof/>
          <w:sz w:val="26"/>
          <w:szCs w:val="26"/>
        </w:rPr>
        <w:drawing>
          <wp:inline distT="0" distB="0" distL="0" distR="0" wp14:anchorId="6375651E" wp14:editId="183A3257">
            <wp:extent cx="5943600" cy="2724150"/>
            <wp:effectExtent l="0" t="0" r="0" b="0"/>
            <wp:docPr id="1979789720" name="Chart 19797897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C0BF66A" w14:textId="07F3C244" w:rsidR="009E108E" w:rsidRPr="00132694" w:rsidRDefault="009E108E" w:rsidP="009E3AD8">
      <w:pPr>
        <w:spacing w:line="276" w:lineRule="auto"/>
        <w:ind w:firstLine="720"/>
        <w:jc w:val="both"/>
        <w:rPr>
          <w:rFonts w:asciiTheme="minorHAnsi" w:hAnsiTheme="minorHAnsi" w:cstheme="minorHAnsi"/>
          <w:sz w:val="26"/>
          <w:szCs w:val="26"/>
        </w:rPr>
      </w:pPr>
      <w:bookmarkStart w:id="77" w:name="_Hlk152923038"/>
      <w:r w:rsidRPr="00132694">
        <w:rPr>
          <w:rFonts w:asciiTheme="minorHAnsi" w:hAnsiTheme="minorHAnsi" w:cstheme="minorHAnsi"/>
          <w:sz w:val="26"/>
          <w:szCs w:val="26"/>
        </w:rPr>
        <w:t xml:space="preserve">La data de </w:t>
      </w:r>
      <w:r w:rsidR="00AF445A" w:rsidRPr="00132694">
        <w:rPr>
          <w:rFonts w:asciiTheme="minorHAnsi" w:hAnsiTheme="minorHAnsi" w:cstheme="minorHAnsi"/>
          <w:sz w:val="26"/>
          <w:szCs w:val="26"/>
        </w:rPr>
        <w:t>31 decembrie</w:t>
      </w:r>
      <w:r w:rsidR="00D26211" w:rsidRPr="00132694">
        <w:rPr>
          <w:rFonts w:asciiTheme="minorHAnsi" w:hAnsiTheme="minorHAnsi" w:cstheme="minorHAnsi"/>
          <w:sz w:val="26"/>
          <w:szCs w:val="26"/>
        </w:rPr>
        <w:t xml:space="preserve"> </w:t>
      </w:r>
      <w:r w:rsidRPr="00132694">
        <w:rPr>
          <w:rFonts w:asciiTheme="minorHAnsi" w:hAnsiTheme="minorHAnsi" w:cstheme="minorHAnsi"/>
          <w:sz w:val="26"/>
          <w:szCs w:val="26"/>
        </w:rPr>
        <w:t xml:space="preserve">2025, la nivelul parchetelor, din totalul de </w:t>
      </w:r>
      <w:r w:rsidR="00AF445A" w:rsidRPr="00132694">
        <w:rPr>
          <w:rFonts w:asciiTheme="minorHAnsi" w:hAnsiTheme="minorHAnsi" w:cstheme="minorHAnsi"/>
          <w:sz w:val="26"/>
          <w:szCs w:val="26"/>
        </w:rPr>
        <w:t>3052</w:t>
      </w:r>
      <w:r w:rsidRPr="00132694">
        <w:rPr>
          <w:rFonts w:asciiTheme="minorHAnsi" w:hAnsiTheme="minorHAnsi" w:cstheme="minorHAnsi"/>
          <w:sz w:val="26"/>
          <w:szCs w:val="26"/>
        </w:rPr>
        <w:t xml:space="preserve"> </w:t>
      </w:r>
      <w:r w:rsidR="008A2883" w:rsidRPr="00132694">
        <w:rPr>
          <w:rFonts w:asciiTheme="minorHAnsi" w:hAnsiTheme="minorHAnsi" w:cstheme="minorHAnsi"/>
          <w:sz w:val="26"/>
          <w:szCs w:val="26"/>
        </w:rPr>
        <w:t xml:space="preserve">de </w:t>
      </w:r>
      <w:r w:rsidRPr="00132694">
        <w:rPr>
          <w:rFonts w:asciiTheme="minorHAnsi" w:hAnsiTheme="minorHAnsi" w:cstheme="minorHAnsi"/>
          <w:sz w:val="26"/>
          <w:szCs w:val="26"/>
        </w:rPr>
        <w:t xml:space="preserve">posturi de procuror (au fost incluse şi cele </w:t>
      </w:r>
      <w:r w:rsidR="00AF445A" w:rsidRPr="00132694">
        <w:rPr>
          <w:rFonts w:asciiTheme="minorHAnsi" w:hAnsiTheme="minorHAnsi" w:cstheme="minorHAnsi"/>
          <w:sz w:val="26"/>
          <w:szCs w:val="26"/>
        </w:rPr>
        <w:t>50</w:t>
      </w:r>
      <w:r w:rsidRPr="00132694">
        <w:rPr>
          <w:rFonts w:asciiTheme="minorHAnsi" w:hAnsiTheme="minorHAnsi" w:cstheme="minorHAnsi"/>
          <w:sz w:val="26"/>
          <w:szCs w:val="26"/>
        </w:rPr>
        <w:t xml:space="preserve"> de posturi </w:t>
      </w:r>
      <w:r w:rsidR="008A2883" w:rsidRPr="00132694">
        <w:rPr>
          <w:rFonts w:asciiTheme="minorHAnsi" w:hAnsiTheme="minorHAnsi" w:cstheme="minorHAnsi"/>
          <w:sz w:val="26"/>
          <w:szCs w:val="26"/>
        </w:rPr>
        <w:t>alocate</w:t>
      </w:r>
      <w:r w:rsidRPr="00132694">
        <w:rPr>
          <w:rFonts w:asciiTheme="minorHAnsi" w:hAnsiTheme="minorHAnsi" w:cstheme="minorHAnsi"/>
          <w:sz w:val="26"/>
          <w:szCs w:val="26"/>
        </w:rPr>
        <w:t xml:space="preserve"> potrivit art. 147 din Legea nr. 304/2022</w:t>
      </w:r>
      <w:r w:rsidR="008A2883" w:rsidRPr="00132694">
        <w:rPr>
          <w:rFonts w:asciiTheme="minorHAnsi" w:hAnsiTheme="minorHAnsi" w:cstheme="minorHAnsi"/>
          <w:sz w:val="26"/>
          <w:szCs w:val="26"/>
        </w:rPr>
        <w:t xml:space="preserve">) </w:t>
      </w:r>
      <w:r w:rsidRPr="00132694">
        <w:rPr>
          <w:rFonts w:asciiTheme="minorHAnsi" w:hAnsiTheme="minorHAnsi" w:cstheme="minorHAnsi"/>
          <w:sz w:val="26"/>
          <w:szCs w:val="26"/>
        </w:rPr>
        <w:t xml:space="preserve">erau ocupate </w:t>
      </w:r>
      <w:r w:rsidR="00AF445A" w:rsidRPr="00132694">
        <w:rPr>
          <w:rFonts w:asciiTheme="minorHAnsi" w:hAnsiTheme="minorHAnsi" w:cstheme="minorHAnsi"/>
          <w:sz w:val="26"/>
          <w:szCs w:val="26"/>
        </w:rPr>
        <w:t>2293</w:t>
      </w:r>
      <w:r w:rsidRPr="00132694">
        <w:rPr>
          <w:rFonts w:asciiTheme="minorHAnsi" w:hAnsiTheme="minorHAnsi" w:cstheme="minorHAnsi"/>
          <w:sz w:val="26"/>
          <w:szCs w:val="26"/>
        </w:rPr>
        <w:t xml:space="preserve"> </w:t>
      </w:r>
      <w:r w:rsidR="008A6D5C" w:rsidRPr="00132694">
        <w:rPr>
          <w:rFonts w:asciiTheme="minorHAnsi" w:hAnsiTheme="minorHAnsi" w:cstheme="minorHAnsi"/>
          <w:sz w:val="26"/>
          <w:szCs w:val="26"/>
        </w:rPr>
        <w:t xml:space="preserve">de </w:t>
      </w:r>
      <w:r w:rsidRPr="00132694">
        <w:rPr>
          <w:rFonts w:asciiTheme="minorHAnsi" w:hAnsiTheme="minorHAnsi" w:cstheme="minorHAnsi"/>
          <w:sz w:val="26"/>
          <w:szCs w:val="26"/>
        </w:rPr>
        <w:t>posturi (</w:t>
      </w:r>
      <w:r w:rsidR="00EB143C" w:rsidRPr="00132694">
        <w:rPr>
          <w:rFonts w:asciiTheme="minorHAnsi" w:hAnsiTheme="minorHAnsi" w:cstheme="minorHAnsi"/>
          <w:sz w:val="26"/>
          <w:szCs w:val="26"/>
        </w:rPr>
        <w:t>ce includ</w:t>
      </w:r>
      <w:r w:rsidRPr="00132694">
        <w:rPr>
          <w:rFonts w:asciiTheme="minorHAnsi" w:hAnsiTheme="minorHAnsi" w:cstheme="minorHAnsi"/>
          <w:sz w:val="26"/>
          <w:szCs w:val="26"/>
        </w:rPr>
        <w:t xml:space="preserve"> şi 1</w:t>
      </w:r>
      <w:r w:rsidR="00AF445A" w:rsidRPr="00132694">
        <w:rPr>
          <w:rFonts w:asciiTheme="minorHAnsi" w:hAnsiTheme="minorHAnsi" w:cstheme="minorHAnsi"/>
          <w:sz w:val="26"/>
          <w:szCs w:val="26"/>
        </w:rPr>
        <w:t>3</w:t>
      </w:r>
      <w:r w:rsidRPr="00132694">
        <w:rPr>
          <w:rFonts w:asciiTheme="minorHAnsi" w:hAnsiTheme="minorHAnsi" w:cstheme="minorHAnsi"/>
          <w:sz w:val="26"/>
          <w:szCs w:val="26"/>
        </w:rPr>
        <w:t xml:space="preserve"> posturi a</w:t>
      </w:r>
      <w:r w:rsidR="008A2883" w:rsidRPr="00132694">
        <w:rPr>
          <w:rFonts w:asciiTheme="minorHAnsi" w:hAnsiTheme="minorHAnsi" w:cstheme="minorHAnsi"/>
          <w:sz w:val="26"/>
          <w:szCs w:val="26"/>
        </w:rPr>
        <w:t>locate</w:t>
      </w:r>
      <w:r w:rsidRPr="00132694">
        <w:rPr>
          <w:rFonts w:asciiTheme="minorHAnsi" w:hAnsiTheme="minorHAnsi" w:cstheme="minorHAnsi"/>
          <w:sz w:val="26"/>
          <w:szCs w:val="26"/>
        </w:rPr>
        <w:t xml:space="preserve"> potrivit art. 147 din Legea nr. 304/2022</w:t>
      </w:r>
      <w:r w:rsidR="00CD5AD1" w:rsidRPr="00132694">
        <w:rPr>
          <w:rFonts w:asciiTheme="minorHAnsi" w:hAnsiTheme="minorHAnsi" w:cstheme="minorHAnsi"/>
          <w:sz w:val="26"/>
          <w:szCs w:val="26"/>
        </w:rPr>
        <w:t xml:space="preserve"> </w:t>
      </w:r>
      <w:r w:rsidRPr="00132694">
        <w:rPr>
          <w:rFonts w:asciiTheme="minorHAnsi" w:hAnsiTheme="minorHAnsi" w:cstheme="minorHAnsi"/>
          <w:sz w:val="26"/>
          <w:szCs w:val="26"/>
        </w:rPr>
        <w:t xml:space="preserve">– 0 la parchetele de pe lângă curțile de apel, </w:t>
      </w:r>
      <w:r w:rsidR="00AF445A" w:rsidRPr="00132694">
        <w:rPr>
          <w:rFonts w:asciiTheme="minorHAnsi" w:hAnsiTheme="minorHAnsi" w:cstheme="minorHAnsi"/>
          <w:sz w:val="26"/>
          <w:szCs w:val="26"/>
        </w:rPr>
        <w:t>3</w:t>
      </w:r>
      <w:r w:rsidRPr="00132694">
        <w:rPr>
          <w:rFonts w:asciiTheme="minorHAnsi" w:hAnsiTheme="minorHAnsi" w:cstheme="minorHAnsi"/>
          <w:sz w:val="26"/>
          <w:szCs w:val="26"/>
        </w:rPr>
        <w:t xml:space="preserve"> la parchetele de pe lângă tribunale şi 10 la parchetele de pe lângă judecătorii) şi vacante </w:t>
      </w:r>
      <w:r w:rsidR="000E076F" w:rsidRPr="00132694">
        <w:rPr>
          <w:rFonts w:asciiTheme="minorHAnsi" w:hAnsiTheme="minorHAnsi" w:cstheme="minorHAnsi"/>
          <w:sz w:val="26"/>
          <w:szCs w:val="26"/>
        </w:rPr>
        <w:t>765</w:t>
      </w:r>
      <w:r w:rsidRPr="00132694">
        <w:rPr>
          <w:rFonts w:asciiTheme="minorHAnsi" w:hAnsiTheme="minorHAnsi" w:cstheme="minorHAnsi"/>
          <w:sz w:val="26"/>
          <w:szCs w:val="26"/>
        </w:rPr>
        <w:t xml:space="preserve"> de posturi (</w:t>
      </w:r>
      <w:r w:rsidR="00EB143C" w:rsidRPr="00132694">
        <w:rPr>
          <w:rFonts w:asciiTheme="minorHAnsi" w:hAnsiTheme="minorHAnsi" w:cstheme="minorHAnsi"/>
          <w:sz w:val="26"/>
          <w:szCs w:val="26"/>
        </w:rPr>
        <w:t xml:space="preserve">ce includ </w:t>
      </w:r>
      <w:r w:rsidRPr="00132694">
        <w:rPr>
          <w:rFonts w:asciiTheme="minorHAnsi" w:hAnsiTheme="minorHAnsi" w:cstheme="minorHAnsi"/>
          <w:sz w:val="26"/>
          <w:szCs w:val="26"/>
        </w:rPr>
        <w:t xml:space="preserve">şi </w:t>
      </w:r>
      <w:r w:rsidR="000E076F" w:rsidRPr="00132694">
        <w:rPr>
          <w:rFonts w:asciiTheme="minorHAnsi" w:hAnsiTheme="minorHAnsi" w:cstheme="minorHAnsi"/>
          <w:sz w:val="26"/>
          <w:szCs w:val="26"/>
        </w:rPr>
        <w:t>37</w:t>
      </w:r>
      <w:r w:rsidR="00EB143C" w:rsidRPr="00132694">
        <w:rPr>
          <w:rFonts w:asciiTheme="minorHAnsi" w:hAnsiTheme="minorHAnsi" w:cstheme="minorHAnsi"/>
          <w:sz w:val="26"/>
          <w:szCs w:val="26"/>
        </w:rPr>
        <w:t xml:space="preserve"> de</w:t>
      </w:r>
      <w:r w:rsidRPr="00132694">
        <w:rPr>
          <w:rFonts w:asciiTheme="minorHAnsi" w:hAnsiTheme="minorHAnsi" w:cstheme="minorHAnsi"/>
          <w:sz w:val="26"/>
          <w:szCs w:val="26"/>
        </w:rPr>
        <w:t xml:space="preserve"> posturi a</w:t>
      </w:r>
      <w:r w:rsidR="008A2883" w:rsidRPr="00132694">
        <w:rPr>
          <w:rFonts w:asciiTheme="minorHAnsi" w:hAnsiTheme="minorHAnsi" w:cstheme="minorHAnsi"/>
          <w:sz w:val="26"/>
          <w:szCs w:val="26"/>
        </w:rPr>
        <w:t xml:space="preserve">locate </w:t>
      </w:r>
      <w:r w:rsidRPr="00132694">
        <w:rPr>
          <w:rFonts w:asciiTheme="minorHAnsi" w:hAnsiTheme="minorHAnsi" w:cstheme="minorHAnsi"/>
          <w:sz w:val="26"/>
          <w:szCs w:val="26"/>
        </w:rPr>
        <w:t>potrivit art. 147 din Legea nr. 304/2022)</w:t>
      </w:r>
      <w:r w:rsidR="008A2883" w:rsidRPr="00132694">
        <w:rPr>
          <w:rFonts w:asciiTheme="minorHAnsi" w:hAnsiTheme="minorHAnsi" w:cstheme="minorHAnsi"/>
          <w:sz w:val="26"/>
          <w:szCs w:val="26"/>
        </w:rPr>
        <w:t xml:space="preserve">. Dintre acestea, </w:t>
      </w:r>
      <w:r w:rsidRPr="00132694">
        <w:rPr>
          <w:rFonts w:asciiTheme="minorHAnsi" w:hAnsiTheme="minorHAnsi" w:cstheme="minorHAnsi"/>
          <w:sz w:val="26"/>
          <w:szCs w:val="26"/>
        </w:rPr>
        <w:t>4</w:t>
      </w:r>
      <w:r w:rsidR="000E076F" w:rsidRPr="00132694">
        <w:rPr>
          <w:rFonts w:asciiTheme="minorHAnsi" w:hAnsiTheme="minorHAnsi" w:cstheme="minorHAnsi"/>
          <w:sz w:val="26"/>
          <w:szCs w:val="26"/>
        </w:rPr>
        <w:t>25</w:t>
      </w:r>
      <w:r w:rsidR="008A2883" w:rsidRPr="00132694">
        <w:rPr>
          <w:rFonts w:asciiTheme="minorHAnsi" w:hAnsiTheme="minorHAnsi" w:cstheme="minorHAnsi"/>
          <w:sz w:val="26"/>
          <w:szCs w:val="26"/>
        </w:rPr>
        <w:t xml:space="preserve"> de posturi</w:t>
      </w:r>
      <w:r w:rsidRPr="00132694">
        <w:rPr>
          <w:rFonts w:asciiTheme="minorHAnsi" w:hAnsiTheme="minorHAnsi" w:cstheme="minorHAnsi"/>
          <w:sz w:val="26"/>
          <w:szCs w:val="26"/>
        </w:rPr>
        <w:t xml:space="preserve"> erau corespunzătoare funcţiilor de execuţie, iar </w:t>
      </w:r>
      <w:r w:rsidR="000E076F" w:rsidRPr="00132694">
        <w:rPr>
          <w:rFonts w:asciiTheme="minorHAnsi" w:hAnsiTheme="minorHAnsi" w:cstheme="minorHAnsi"/>
          <w:sz w:val="26"/>
          <w:szCs w:val="26"/>
        </w:rPr>
        <w:t>303</w:t>
      </w:r>
      <w:r w:rsidR="008A2883" w:rsidRPr="00132694">
        <w:rPr>
          <w:rFonts w:asciiTheme="minorHAnsi" w:hAnsiTheme="minorHAnsi" w:cstheme="minorHAnsi"/>
          <w:sz w:val="26"/>
          <w:szCs w:val="26"/>
        </w:rPr>
        <w:t xml:space="preserve"> posturi</w:t>
      </w:r>
      <w:r w:rsidRPr="00132694">
        <w:rPr>
          <w:rFonts w:asciiTheme="minorHAnsi" w:hAnsiTheme="minorHAnsi" w:cstheme="minorHAnsi"/>
          <w:sz w:val="26"/>
          <w:szCs w:val="26"/>
        </w:rPr>
        <w:t xml:space="preserve"> funcţiilor de conducere.</w:t>
      </w:r>
    </w:p>
    <w:p w14:paraId="51F931CC" w14:textId="639DACCF" w:rsidR="009E108E" w:rsidRPr="00132694" w:rsidRDefault="009E108E" w:rsidP="009E3AD8">
      <w:pPr>
        <w:spacing w:line="276" w:lineRule="auto"/>
        <w:jc w:val="both"/>
        <w:rPr>
          <w:rFonts w:asciiTheme="minorHAnsi" w:hAnsiTheme="minorHAnsi" w:cstheme="minorHAnsi"/>
          <w:sz w:val="26"/>
          <w:szCs w:val="26"/>
        </w:rPr>
      </w:pPr>
      <w:r w:rsidRPr="00132694">
        <w:rPr>
          <w:rFonts w:asciiTheme="minorHAnsi" w:hAnsiTheme="minorHAnsi" w:cstheme="minorHAnsi"/>
          <w:sz w:val="26"/>
          <w:szCs w:val="26"/>
        </w:rPr>
        <w:tab/>
        <w:t xml:space="preserve">Din totalul celor </w:t>
      </w:r>
      <w:r w:rsidR="000E076F" w:rsidRPr="00132694">
        <w:rPr>
          <w:rFonts w:asciiTheme="minorHAnsi" w:hAnsiTheme="minorHAnsi" w:cstheme="minorHAnsi"/>
          <w:sz w:val="26"/>
          <w:szCs w:val="26"/>
        </w:rPr>
        <w:t>2293</w:t>
      </w:r>
      <w:r w:rsidRPr="00132694">
        <w:rPr>
          <w:rFonts w:asciiTheme="minorHAnsi" w:hAnsiTheme="minorHAnsi" w:cstheme="minorHAnsi"/>
          <w:sz w:val="26"/>
          <w:szCs w:val="26"/>
        </w:rPr>
        <w:t xml:space="preserve"> </w:t>
      </w:r>
      <w:r w:rsidR="008A6D5C" w:rsidRPr="00132694">
        <w:rPr>
          <w:rFonts w:asciiTheme="minorHAnsi" w:hAnsiTheme="minorHAnsi" w:cstheme="minorHAnsi"/>
          <w:sz w:val="26"/>
          <w:szCs w:val="26"/>
        </w:rPr>
        <w:t xml:space="preserve">de </w:t>
      </w:r>
      <w:r w:rsidRPr="00132694">
        <w:rPr>
          <w:rFonts w:asciiTheme="minorHAnsi" w:hAnsiTheme="minorHAnsi" w:cstheme="minorHAnsi"/>
          <w:sz w:val="26"/>
          <w:szCs w:val="26"/>
        </w:rPr>
        <w:t xml:space="preserve">posturi de procuror ocupate, </w:t>
      </w:r>
      <w:r w:rsidR="000E076F" w:rsidRPr="00132694">
        <w:rPr>
          <w:rFonts w:asciiTheme="minorHAnsi" w:hAnsiTheme="minorHAnsi" w:cstheme="minorHAnsi"/>
          <w:sz w:val="26"/>
          <w:szCs w:val="26"/>
        </w:rPr>
        <w:t>6</w:t>
      </w:r>
      <w:r w:rsidRPr="00132694">
        <w:rPr>
          <w:rFonts w:asciiTheme="minorHAnsi" w:hAnsiTheme="minorHAnsi" w:cstheme="minorHAnsi"/>
          <w:sz w:val="26"/>
          <w:szCs w:val="26"/>
        </w:rPr>
        <w:t xml:space="preserve"> procurori funcționau peste schema prevăzută (1 la parchetele de pe lângă curțile de apel, </w:t>
      </w:r>
      <w:r w:rsidR="000E076F" w:rsidRPr="00132694">
        <w:rPr>
          <w:rFonts w:asciiTheme="minorHAnsi" w:hAnsiTheme="minorHAnsi" w:cstheme="minorHAnsi"/>
          <w:sz w:val="26"/>
          <w:szCs w:val="26"/>
        </w:rPr>
        <w:t>4</w:t>
      </w:r>
      <w:r w:rsidRPr="00132694">
        <w:rPr>
          <w:rFonts w:asciiTheme="minorHAnsi" w:hAnsiTheme="minorHAnsi" w:cstheme="minorHAnsi"/>
          <w:sz w:val="26"/>
          <w:szCs w:val="26"/>
        </w:rPr>
        <w:t xml:space="preserve"> la parchetele de pe lângă tribunale şi 1 la parchetele de pe lângă judecătorii).</w:t>
      </w:r>
    </w:p>
    <w:bookmarkEnd w:id="77"/>
    <w:p w14:paraId="49F0CFCF" w14:textId="1FC018AB" w:rsidR="00235064" w:rsidRPr="000F0D8B" w:rsidRDefault="009E108E" w:rsidP="009E3AD8">
      <w:pPr>
        <w:spacing w:line="276" w:lineRule="auto"/>
        <w:jc w:val="both"/>
        <w:rPr>
          <w:rFonts w:asciiTheme="minorHAnsi" w:hAnsiTheme="minorHAnsi" w:cstheme="minorHAnsi"/>
          <w:sz w:val="26"/>
          <w:szCs w:val="26"/>
        </w:rPr>
      </w:pPr>
      <w:r w:rsidRPr="000F0D8B">
        <w:rPr>
          <w:rFonts w:asciiTheme="minorHAnsi" w:hAnsiTheme="minorHAnsi" w:cstheme="minorHAnsi"/>
          <w:sz w:val="26"/>
          <w:szCs w:val="26"/>
        </w:rPr>
        <w:tab/>
        <w:t>Funcţionarea peste schemă se datorează faptului că procurorii respectivi fie şi-au încetat mandatele de conducere, fie şi-au încetat activitatea la cele două structuri din cadrul Parchetului de pe lângă Înalta Curte de Casaţie şi Justiţie (Direcţia Naţională Anticorupţie şi Direcţia de Investigare a Infracţiunilor de Criminalitate Organizată şi Terorism) şi, potrivit dispoziţiilor legale, au revenit pe posturile de execuţie de la unităţile de parchet la care au funcţionat anterior numirii.</w:t>
      </w:r>
    </w:p>
    <w:p w14:paraId="08C218C1" w14:textId="75ABD0D9" w:rsidR="008E5D04" w:rsidRPr="000F0D8B" w:rsidRDefault="006C1588" w:rsidP="009E3AD8">
      <w:pPr>
        <w:pStyle w:val="Heading2"/>
        <w:keepLines w:val="0"/>
        <w:rPr>
          <w:rFonts w:cstheme="minorHAnsi"/>
          <w:color w:val="auto"/>
          <w:lang w:val="ro-RO"/>
        </w:rPr>
      </w:pPr>
      <w:bookmarkStart w:id="78" w:name="_Toc219287954"/>
      <w:r w:rsidRPr="000F0D8B">
        <w:rPr>
          <w:rFonts w:cstheme="minorHAnsi"/>
          <w:color w:val="auto"/>
          <w:lang w:val="ro-RO"/>
        </w:rPr>
        <w:t>II.2.</w:t>
      </w:r>
      <w:r w:rsidR="0076628D" w:rsidRPr="000F0D8B">
        <w:rPr>
          <w:rFonts w:cstheme="minorHAnsi"/>
          <w:color w:val="auto"/>
          <w:lang w:val="ro-RO"/>
        </w:rPr>
        <w:t xml:space="preserve"> </w:t>
      </w:r>
      <w:r w:rsidRPr="000F0D8B">
        <w:rPr>
          <w:rFonts w:cstheme="minorHAnsi"/>
          <w:color w:val="auto"/>
          <w:lang w:val="ro-RO"/>
        </w:rPr>
        <w:t>Organizarea instanţelor judecătoreşti şi a parchetelor</w:t>
      </w:r>
      <w:bookmarkEnd w:id="71"/>
      <w:bookmarkEnd w:id="72"/>
      <w:bookmarkEnd w:id="78"/>
      <w:r w:rsidRPr="000F0D8B">
        <w:rPr>
          <w:rFonts w:cstheme="minorHAnsi"/>
          <w:color w:val="auto"/>
          <w:lang w:val="ro-RO"/>
        </w:rPr>
        <w:t xml:space="preserve"> </w:t>
      </w:r>
    </w:p>
    <w:p w14:paraId="241A2952" w14:textId="6FAF00D4" w:rsidR="00C4743E" w:rsidRDefault="00C4743E" w:rsidP="009E3AD8">
      <w:pPr>
        <w:pStyle w:val="Heading3"/>
        <w:keepLines w:val="0"/>
      </w:pPr>
      <w:bookmarkStart w:id="79" w:name="_Toc126071125"/>
      <w:bookmarkStart w:id="80" w:name="_Toc187824368"/>
      <w:bookmarkStart w:id="81" w:name="_Toc219287955"/>
      <w:r w:rsidRPr="004A72CD">
        <w:t>II.2.1. Instanţe</w:t>
      </w:r>
      <w:bookmarkEnd w:id="79"/>
      <w:bookmarkEnd w:id="80"/>
      <w:r w:rsidR="00620D06">
        <w:t>le judecătoreşti</w:t>
      </w:r>
      <w:bookmarkEnd w:id="81"/>
    </w:p>
    <w:p w14:paraId="6B11BF25" w14:textId="1CB05732" w:rsidR="00C4743E" w:rsidRPr="004A72CD" w:rsidRDefault="00C4743E" w:rsidP="009E3AD8">
      <w:pPr>
        <w:keepNext/>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În anul </w:t>
      </w:r>
      <w:r w:rsidRPr="00CB6E26">
        <w:rPr>
          <w:rFonts w:asciiTheme="minorHAnsi" w:hAnsiTheme="minorHAnsi" w:cstheme="minorHAnsi"/>
          <w:sz w:val="26"/>
          <w:szCs w:val="26"/>
        </w:rPr>
        <w:t>2025</w:t>
      </w:r>
      <w:r w:rsidRPr="004A72CD">
        <w:rPr>
          <w:rFonts w:asciiTheme="minorHAnsi" w:hAnsiTheme="minorHAnsi" w:cstheme="minorHAnsi"/>
          <w:sz w:val="26"/>
          <w:szCs w:val="26"/>
        </w:rPr>
        <w:t xml:space="preserve">, în baza actualelor prevederi legale în vigoare, respectiv Legea nr. 304/2022 privind organizarea judiciară, în vederea eficientizării activităţii instanţelor, Consiliul Superior al Magistraturii a emis avize conforme pentru transferul temporar al unor posturi de judecător şi a </w:t>
      </w:r>
      <w:r w:rsidRPr="004A72CD">
        <w:rPr>
          <w:rFonts w:asciiTheme="minorHAnsi" w:hAnsiTheme="minorHAnsi" w:cstheme="minorHAnsi"/>
          <w:sz w:val="26"/>
          <w:szCs w:val="26"/>
        </w:rPr>
        <w:lastRenderedPageBreak/>
        <w:t>aprobat, potrivit practicii constante, ocuparea de posturi de judecător temporar vacante, în condiţiile art. 147 din Legea nr. 304/2022</w:t>
      </w:r>
      <w:r w:rsidR="00620D06">
        <w:rPr>
          <w:rFonts w:asciiTheme="minorHAnsi" w:hAnsiTheme="minorHAnsi" w:cstheme="minorHAnsi"/>
          <w:sz w:val="26"/>
          <w:szCs w:val="26"/>
        </w:rPr>
        <w:t xml:space="preserve"> privind organizarea judiciară</w:t>
      </w:r>
      <w:r w:rsidRPr="004A72CD">
        <w:rPr>
          <w:rFonts w:asciiTheme="minorHAnsi" w:hAnsiTheme="minorHAnsi" w:cstheme="minorHAnsi"/>
          <w:sz w:val="26"/>
          <w:szCs w:val="26"/>
        </w:rPr>
        <w:t>.</w:t>
      </w:r>
    </w:p>
    <w:p w14:paraId="22DEE38E" w14:textId="77777777" w:rsidR="00C4743E" w:rsidRPr="004A72CD" w:rsidRDefault="00C4743E" w:rsidP="009E3AD8">
      <w:pPr>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În ceea ce privește personalul auxiliar și conex, au fost acordate avizele conforme solicitate pentru transferul unor posturi la nivelul instanțelor judecătorești.</w:t>
      </w:r>
    </w:p>
    <w:p w14:paraId="5BCC94D4" w14:textId="77777777" w:rsidR="00C4743E" w:rsidRDefault="00C4743E" w:rsidP="009E3AD8">
      <w:pPr>
        <w:spacing w:line="276" w:lineRule="auto"/>
        <w:ind w:firstLine="709"/>
        <w:jc w:val="both"/>
        <w:rPr>
          <w:rFonts w:asciiTheme="minorHAnsi" w:hAnsiTheme="minorHAnsi" w:cstheme="minorHAnsi"/>
          <w:sz w:val="26"/>
          <w:szCs w:val="26"/>
        </w:rPr>
      </w:pPr>
      <w:r w:rsidRPr="004A72CD">
        <w:rPr>
          <w:rFonts w:asciiTheme="minorHAnsi" w:hAnsiTheme="minorHAnsi" w:cstheme="minorHAnsi"/>
          <w:sz w:val="26"/>
          <w:szCs w:val="26"/>
        </w:rPr>
        <w:t>Nu în ultimul rând, în perioada analizată, la nivelul Consiliului Superior al Magistraturii s-a aprobat, în acord cu prevederile legale în materie, înfiinţarea sau</w:t>
      </w:r>
      <w:r>
        <w:rPr>
          <w:rFonts w:asciiTheme="minorHAnsi" w:hAnsiTheme="minorHAnsi" w:cstheme="minorHAnsi"/>
          <w:sz w:val="26"/>
          <w:szCs w:val="26"/>
        </w:rPr>
        <w:t>,</w:t>
      </w:r>
      <w:r w:rsidRPr="004A72CD">
        <w:rPr>
          <w:rFonts w:asciiTheme="minorHAnsi" w:hAnsiTheme="minorHAnsi" w:cstheme="minorHAnsi"/>
          <w:sz w:val="26"/>
          <w:szCs w:val="26"/>
        </w:rPr>
        <w:t xml:space="preserve"> după caz, desfiinţarea de completuri specializate.</w:t>
      </w:r>
    </w:p>
    <w:p w14:paraId="5276657A" w14:textId="1BBCCB9F" w:rsidR="00C4743E" w:rsidRPr="008B172C" w:rsidRDefault="00C4743E" w:rsidP="009E3AD8">
      <w:pPr>
        <w:pStyle w:val="Heading3"/>
        <w:rPr>
          <w:color w:val="auto"/>
        </w:rPr>
      </w:pPr>
      <w:r w:rsidRPr="008B172C">
        <w:rPr>
          <w:color w:val="auto"/>
        </w:rPr>
        <w:t xml:space="preserve">  </w:t>
      </w:r>
      <w:bookmarkStart w:id="82" w:name="_Toc187824369"/>
      <w:bookmarkStart w:id="83" w:name="_Toc219287956"/>
      <w:r w:rsidRPr="008B172C">
        <w:rPr>
          <w:color w:val="auto"/>
        </w:rPr>
        <w:t>II.2.2. Parchete</w:t>
      </w:r>
      <w:bookmarkEnd w:id="82"/>
      <w:r w:rsidR="00620D06">
        <w:rPr>
          <w:color w:val="auto"/>
        </w:rPr>
        <w:t>le de pe lângă instanţele judecătoreşti</w:t>
      </w:r>
      <w:bookmarkEnd w:id="83"/>
    </w:p>
    <w:p w14:paraId="2442DAB0" w14:textId="0E4DAEA0" w:rsidR="008E5D04" w:rsidRPr="000F0D8B" w:rsidRDefault="009539B4" w:rsidP="009E3AD8">
      <w:pPr>
        <w:spacing w:line="276" w:lineRule="auto"/>
        <w:ind w:firstLine="708"/>
        <w:jc w:val="both"/>
        <w:rPr>
          <w:rFonts w:asciiTheme="minorHAnsi" w:hAnsiTheme="minorHAnsi" w:cstheme="minorHAnsi"/>
          <w:sz w:val="26"/>
          <w:szCs w:val="26"/>
        </w:rPr>
      </w:pPr>
      <w:bookmarkStart w:id="84" w:name="_Toc430867115"/>
      <w:r w:rsidRPr="000F0D8B">
        <w:rPr>
          <w:rFonts w:asciiTheme="minorHAnsi" w:hAnsiTheme="minorHAnsi" w:cstheme="minorHAnsi"/>
          <w:sz w:val="26"/>
          <w:szCs w:val="26"/>
        </w:rPr>
        <w:t xml:space="preserve">Prin Hotărârea Secției pentru procurori nr. 631/27.08.2025, s-a decis acordarea avizului conform pentru modificarea statelor de funcții și de personal ale Direcției Naționale Anticorupție, în urma reorganizării unor servicii teritoriale ale </w:t>
      </w:r>
      <w:r w:rsidR="00891488">
        <w:rPr>
          <w:rFonts w:asciiTheme="minorHAnsi" w:hAnsiTheme="minorHAnsi" w:cstheme="minorHAnsi"/>
          <w:sz w:val="26"/>
          <w:szCs w:val="26"/>
        </w:rPr>
        <w:t>acestei structuri de parchet</w:t>
      </w:r>
      <w:r w:rsidRPr="000F0D8B">
        <w:rPr>
          <w:rFonts w:asciiTheme="minorHAnsi" w:hAnsiTheme="minorHAnsi" w:cstheme="minorHAnsi"/>
          <w:sz w:val="26"/>
          <w:szCs w:val="26"/>
        </w:rPr>
        <w:t>.</w:t>
      </w:r>
    </w:p>
    <w:p w14:paraId="01510371" w14:textId="5E1C654F" w:rsidR="008975C2" w:rsidRPr="002D7A69" w:rsidRDefault="006C1588" w:rsidP="009E3AD8">
      <w:pPr>
        <w:pStyle w:val="Heading2"/>
        <w:keepLines w:val="0"/>
        <w:suppressLineNumbers/>
        <w:suppressAutoHyphens/>
        <w:jc w:val="both"/>
        <w:rPr>
          <w:rFonts w:cstheme="minorHAnsi"/>
          <w:b w:val="0"/>
          <w:color w:val="auto"/>
          <w:lang w:val="ro-RO"/>
        </w:rPr>
      </w:pPr>
      <w:bookmarkStart w:id="85" w:name="_Toc219287957"/>
      <w:r w:rsidRPr="000F0D8B">
        <w:rPr>
          <w:rFonts w:cstheme="minorHAnsi"/>
          <w:color w:val="auto"/>
          <w:lang w:val="ro-RO"/>
        </w:rPr>
        <w:t>II.3.</w:t>
      </w:r>
      <w:r w:rsidR="0076628D" w:rsidRPr="000F0D8B">
        <w:rPr>
          <w:rFonts w:cstheme="minorHAnsi"/>
          <w:color w:val="auto"/>
          <w:lang w:val="ro-RO"/>
        </w:rPr>
        <w:t xml:space="preserve"> </w:t>
      </w:r>
      <w:r w:rsidRPr="000F0D8B">
        <w:rPr>
          <w:rFonts w:cstheme="minorHAnsi"/>
          <w:color w:val="auto"/>
          <w:lang w:val="ro-RO"/>
        </w:rPr>
        <w:t>Activitatea în domeniul formării profesionale a magistraţilor şi a personalului auxiliar</w:t>
      </w:r>
      <w:bookmarkEnd w:id="84"/>
      <w:bookmarkEnd w:id="85"/>
      <w:r w:rsidRPr="000F0D8B">
        <w:rPr>
          <w:rFonts w:cstheme="minorHAnsi"/>
          <w:color w:val="auto"/>
          <w:lang w:val="ro-RO"/>
        </w:rPr>
        <w:t xml:space="preserve"> </w:t>
      </w:r>
    </w:p>
    <w:p w14:paraId="49E9747C" w14:textId="55B64ACB" w:rsidR="002D7A69" w:rsidRPr="002D7A69" w:rsidRDefault="002D7A69" w:rsidP="009E3AD8">
      <w:pPr>
        <w:spacing w:line="276" w:lineRule="auto"/>
        <w:ind w:firstLine="720"/>
        <w:jc w:val="both"/>
        <w:rPr>
          <w:rFonts w:ascii="Calibri" w:hAnsi="Calibri" w:cs="Calibri"/>
          <w:noProof/>
          <w:sz w:val="26"/>
          <w:szCs w:val="26"/>
          <w:shd w:val="clear" w:color="auto" w:fill="FFFFFF"/>
        </w:rPr>
      </w:pPr>
      <w:r w:rsidRPr="002D7A69">
        <w:rPr>
          <w:rFonts w:ascii="Calibri" w:hAnsi="Calibri" w:cs="Calibri"/>
          <w:noProof/>
          <w:sz w:val="26"/>
          <w:szCs w:val="26"/>
          <w:shd w:val="clear" w:color="auto" w:fill="FFFFFF"/>
        </w:rPr>
        <w:t>Formarea profesională a magistraţilor şi a personalului auxiliar de specialitate al instanţelor judecătoreşti şi al parchetelor de pe lângă acestea este o activitate gestionată, la nivelul C</w:t>
      </w:r>
      <w:r w:rsidR="00891488">
        <w:rPr>
          <w:rFonts w:ascii="Calibri" w:hAnsi="Calibri" w:cs="Calibri"/>
          <w:noProof/>
          <w:sz w:val="26"/>
          <w:szCs w:val="26"/>
          <w:shd w:val="clear" w:color="auto" w:fill="FFFFFF"/>
        </w:rPr>
        <w:t>.S.M.</w:t>
      </w:r>
      <w:r w:rsidRPr="002D7A69">
        <w:rPr>
          <w:rFonts w:ascii="Calibri" w:hAnsi="Calibri" w:cs="Calibri"/>
          <w:noProof/>
          <w:sz w:val="26"/>
          <w:szCs w:val="26"/>
          <w:shd w:val="clear" w:color="auto" w:fill="FFFFFF"/>
        </w:rPr>
        <w:t xml:space="preserve">, de către Serviciul concursuri şi formare profesională. </w:t>
      </w:r>
    </w:p>
    <w:p w14:paraId="1C268926" w14:textId="75105DE4" w:rsidR="002D7A69" w:rsidRPr="002D7A69" w:rsidRDefault="002D7A69" w:rsidP="009E3AD8">
      <w:pPr>
        <w:spacing w:line="276" w:lineRule="auto"/>
        <w:ind w:firstLine="720"/>
        <w:jc w:val="both"/>
        <w:rPr>
          <w:rFonts w:ascii="Calibri" w:hAnsi="Calibri" w:cs="Calibri"/>
          <w:noProof/>
          <w:sz w:val="26"/>
          <w:szCs w:val="26"/>
          <w:shd w:val="clear" w:color="auto" w:fill="FFFFFF"/>
        </w:rPr>
      </w:pPr>
      <w:r w:rsidRPr="002D7A69">
        <w:rPr>
          <w:rFonts w:ascii="Calibri" w:hAnsi="Calibri" w:cs="Calibri"/>
          <w:noProof/>
          <w:sz w:val="26"/>
          <w:szCs w:val="26"/>
          <w:shd w:val="clear" w:color="auto" w:fill="FFFFFF"/>
        </w:rPr>
        <w:t>Atribuțiile de formare profesională exercitate în cadrul Serviciului concursuri şi formare profesională sunt reglementate la art. 88 lit. d) – p) din Regulamentul de organizare și funcționare a Consiliului Superior al Magistraturii aprobat prin Hotărârea Plenului</w:t>
      </w:r>
      <w:r w:rsidR="00891488">
        <w:rPr>
          <w:rFonts w:ascii="Calibri" w:hAnsi="Calibri" w:cs="Calibri"/>
          <w:noProof/>
          <w:sz w:val="26"/>
          <w:szCs w:val="26"/>
          <w:shd w:val="clear" w:color="auto" w:fill="FFFFFF"/>
        </w:rPr>
        <w:t xml:space="preserve"> C.S.M. </w:t>
      </w:r>
      <w:r w:rsidRPr="002D7A69">
        <w:rPr>
          <w:rFonts w:ascii="Calibri" w:hAnsi="Calibri" w:cs="Calibri"/>
          <w:noProof/>
          <w:sz w:val="26"/>
          <w:szCs w:val="26"/>
          <w:shd w:val="clear" w:color="auto" w:fill="FFFFFF"/>
        </w:rPr>
        <w:t>nr. 122/2023, cu modificările şi completările ulterioare.</w:t>
      </w:r>
    </w:p>
    <w:p w14:paraId="0D6830F4" w14:textId="1205E318" w:rsidR="002D7A69" w:rsidRPr="002D7A69" w:rsidRDefault="002D7A69" w:rsidP="009E3AD8">
      <w:pPr>
        <w:spacing w:line="276" w:lineRule="auto"/>
        <w:ind w:firstLine="720"/>
        <w:jc w:val="both"/>
        <w:rPr>
          <w:rFonts w:ascii="Calibri" w:hAnsi="Calibri" w:cs="Calibri"/>
          <w:noProof/>
          <w:sz w:val="26"/>
          <w:szCs w:val="26"/>
          <w:shd w:val="clear" w:color="auto" w:fill="FFFFFF"/>
        </w:rPr>
      </w:pPr>
      <w:r w:rsidRPr="002D7A69">
        <w:rPr>
          <w:rFonts w:ascii="Calibri" w:hAnsi="Calibri" w:cs="Calibri"/>
          <w:noProof/>
          <w:sz w:val="26"/>
          <w:szCs w:val="26"/>
          <w:shd w:val="clear" w:color="auto" w:fill="FFFFFF"/>
        </w:rPr>
        <w:t>Sub aspectul activității desfăşurate</w:t>
      </w:r>
      <w:r w:rsidR="00891488">
        <w:rPr>
          <w:rFonts w:ascii="Calibri" w:hAnsi="Calibri" w:cs="Calibri"/>
          <w:noProof/>
          <w:sz w:val="26"/>
          <w:szCs w:val="26"/>
          <w:shd w:val="clear" w:color="auto" w:fill="FFFFFF"/>
        </w:rPr>
        <w:t xml:space="preserve"> </w:t>
      </w:r>
      <w:r w:rsidRPr="002D7A69">
        <w:rPr>
          <w:rFonts w:ascii="Calibri" w:hAnsi="Calibri" w:cs="Calibri"/>
          <w:noProof/>
          <w:sz w:val="26"/>
          <w:szCs w:val="26"/>
          <w:shd w:val="clear" w:color="auto" w:fill="FFFFFF"/>
        </w:rPr>
        <w:t>în perioada de referinţă, au fost întocmite 95 de lucrări în domeniul formării profesionale, din</w:t>
      </w:r>
      <w:r w:rsidR="004E2141">
        <w:rPr>
          <w:rFonts w:ascii="Calibri" w:hAnsi="Calibri" w:cs="Calibri"/>
          <w:noProof/>
          <w:sz w:val="26"/>
          <w:szCs w:val="26"/>
          <w:shd w:val="clear" w:color="auto" w:fill="FFFFFF"/>
        </w:rPr>
        <w:t>tre</w:t>
      </w:r>
      <w:r w:rsidRPr="002D7A69">
        <w:rPr>
          <w:rFonts w:ascii="Calibri" w:hAnsi="Calibri" w:cs="Calibri"/>
          <w:noProof/>
          <w:sz w:val="26"/>
          <w:szCs w:val="26"/>
          <w:shd w:val="clear" w:color="auto" w:fill="FFFFFF"/>
        </w:rPr>
        <w:t xml:space="preserve"> care 46 de lucrări au fost înaintate, spre soluționare, Plenului Consiliului Superior al Magistraturii, 17 lucrări au fost înaintate Secțiilor corespunzătoare și 9 lucrări au fost înaintate către comisiile constituite la nivelul C</w:t>
      </w:r>
      <w:r w:rsidR="00891488">
        <w:rPr>
          <w:rFonts w:ascii="Calibri" w:hAnsi="Calibri" w:cs="Calibri"/>
          <w:noProof/>
          <w:sz w:val="26"/>
          <w:szCs w:val="26"/>
          <w:shd w:val="clear" w:color="auto" w:fill="FFFFFF"/>
        </w:rPr>
        <w:t>.S.M.</w:t>
      </w:r>
      <w:r w:rsidRPr="002D7A69">
        <w:rPr>
          <w:rFonts w:ascii="Calibri" w:hAnsi="Calibri" w:cs="Calibri"/>
          <w:noProof/>
          <w:sz w:val="26"/>
          <w:szCs w:val="26"/>
          <w:shd w:val="clear" w:color="auto" w:fill="FFFFFF"/>
        </w:rPr>
        <w:t>.</w:t>
      </w:r>
    </w:p>
    <w:p w14:paraId="712AB251" w14:textId="603E5842" w:rsidR="002D7A69" w:rsidRPr="002D7A69" w:rsidRDefault="002D7A69" w:rsidP="009E3AD8">
      <w:pPr>
        <w:spacing w:line="276" w:lineRule="auto"/>
        <w:ind w:firstLine="720"/>
        <w:jc w:val="both"/>
        <w:rPr>
          <w:rFonts w:ascii="Calibri" w:hAnsi="Calibri" w:cs="Calibri"/>
          <w:noProof/>
          <w:sz w:val="26"/>
          <w:szCs w:val="26"/>
          <w:shd w:val="clear" w:color="auto" w:fill="FFFFFF"/>
        </w:rPr>
      </w:pPr>
      <w:r w:rsidRPr="002D7A69">
        <w:rPr>
          <w:rFonts w:ascii="Calibri" w:hAnsi="Calibri" w:cs="Calibri"/>
          <w:noProof/>
          <w:sz w:val="26"/>
          <w:szCs w:val="26"/>
          <w:shd w:val="clear" w:color="auto" w:fill="FFFFFF"/>
        </w:rPr>
        <w:t>La nivelul Serviciului concursuri şi formare profesională au fost întocmite note pentru aprobarea de către Plenul Consiliului Superior al Magistraturii a programelor de formare inițială și continuă ale Institutului Naţional al Magistraturii și Școlii Naționale de Grefieri, precum și pentru aprobarea solicitărilor de completare a acestor programe. Totodată, au fost formulate note pentru aprobarea rețelelor de formatori ale I</w:t>
      </w:r>
      <w:r w:rsidR="00891488">
        <w:rPr>
          <w:rFonts w:ascii="Calibri" w:hAnsi="Calibri" w:cs="Calibri"/>
          <w:noProof/>
          <w:sz w:val="26"/>
          <w:szCs w:val="26"/>
          <w:shd w:val="clear" w:color="auto" w:fill="FFFFFF"/>
        </w:rPr>
        <w:t xml:space="preserve">.N.M. </w:t>
      </w:r>
      <w:r w:rsidRPr="002D7A69">
        <w:rPr>
          <w:rFonts w:ascii="Calibri" w:hAnsi="Calibri" w:cs="Calibri"/>
          <w:noProof/>
          <w:sz w:val="26"/>
          <w:szCs w:val="26"/>
          <w:shd w:val="clear" w:color="auto" w:fill="FFFFFF"/>
        </w:rPr>
        <w:t>și</w:t>
      </w:r>
      <w:r w:rsidR="00891488">
        <w:rPr>
          <w:rFonts w:ascii="Calibri" w:hAnsi="Calibri" w:cs="Calibri"/>
          <w:noProof/>
          <w:sz w:val="26"/>
          <w:szCs w:val="26"/>
          <w:shd w:val="clear" w:color="auto" w:fill="FFFFFF"/>
        </w:rPr>
        <w:t xml:space="preserve"> S.N.G.</w:t>
      </w:r>
      <w:r w:rsidRPr="002D7A69">
        <w:rPr>
          <w:rFonts w:ascii="Calibri" w:hAnsi="Calibri" w:cs="Calibri"/>
          <w:noProof/>
          <w:sz w:val="26"/>
          <w:szCs w:val="26"/>
          <w:shd w:val="clear" w:color="auto" w:fill="FFFFFF"/>
        </w:rPr>
        <w:t xml:space="preserve">, respectiv pentru încetarea calității de formator/coordonator de practică, respectiv suspendarea din aceste calități sau pentru numirea de formatori, astfel: formatori cu normă întreagă, formatori colaboratori, formatori folosiți în mod excepțional, </w:t>
      </w:r>
      <w:r w:rsidR="004E2141">
        <w:rPr>
          <w:rFonts w:ascii="Calibri" w:hAnsi="Calibri" w:cs="Calibri"/>
          <w:noProof/>
          <w:sz w:val="26"/>
          <w:szCs w:val="26"/>
          <w:shd w:val="clear" w:color="auto" w:fill="FFFFFF"/>
        </w:rPr>
        <w:t xml:space="preserve">precum şi </w:t>
      </w:r>
      <w:r w:rsidRPr="002D7A69">
        <w:rPr>
          <w:rFonts w:ascii="Calibri" w:hAnsi="Calibri" w:cs="Calibri"/>
          <w:noProof/>
          <w:sz w:val="26"/>
          <w:szCs w:val="26"/>
          <w:shd w:val="clear" w:color="auto" w:fill="FFFFFF"/>
        </w:rPr>
        <w:t>coordonatori de practică.</w:t>
      </w:r>
    </w:p>
    <w:p w14:paraId="591E3134" w14:textId="159ACB03" w:rsidR="002D7A69" w:rsidRPr="002D7A69" w:rsidRDefault="002D7A69" w:rsidP="009E3AD8">
      <w:pPr>
        <w:spacing w:line="276" w:lineRule="auto"/>
        <w:ind w:firstLine="720"/>
        <w:jc w:val="both"/>
        <w:rPr>
          <w:rFonts w:ascii="Calibri" w:hAnsi="Calibri" w:cs="Calibri"/>
          <w:noProof/>
          <w:sz w:val="26"/>
          <w:szCs w:val="26"/>
          <w:shd w:val="clear" w:color="auto" w:fill="FFFFFF"/>
        </w:rPr>
      </w:pPr>
      <w:r w:rsidRPr="002D7A69">
        <w:rPr>
          <w:rFonts w:ascii="Calibri" w:hAnsi="Calibri" w:cs="Calibri"/>
          <w:noProof/>
          <w:sz w:val="26"/>
          <w:szCs w:val="26"/>
          <w:shd w:val="clear" w:color="auto" w:fill="FFFFFF"/>
        </w:rPr>
        <w:t xml:space="preserve"> Totodată, în cursul anului 2025 a fost numit, în calitate de membru în Consiliul științific al Institutului Naţional al Magistraturii, u</w:t>
      </w:r>
      <w:r w:rsidR="00E95F73">
        <w:rPr>
          <w:rFonts w:ascii="Calibri" w:hAnsi="Calibri" w:cs="Calibri"/>
          <w:noProof/>
          <w:sz w:val="26"/>
          <w:szCs w:val="26"/>
          <w:shd w:val="clear" w:color="auto" w:fill="FFFFFF"/>
        </w:rPr>
        <w:t>n</w:t>
      </w:r>
      <w:r w:rsidRPr="002D7A69">
        <w:rPr>
          <w:rFonts w:ascii="Calibri" w:hAnsi="Calibri" w:cs="Calibri"/>
          <w:noProof/>
          <w:sz w:val="26"/>
          <w:szCs w:val="26"/>
          <w:shd w:val="clear" w:color="auto" w:fill="FFFFFF"/>
        </w:rPr>
        <w:t xml:space="preserve"> nou reprezentant din partea Parchetului de pe lângă  Curtea de Apel Bucureşti, procedură care s-a finalizat.</w:t>
      </w:r>
    </w:p>
    <w:p w14:paraId="76526B0F" w14:textId="3404B134" w:rsidR="002D7A69" w:rsidRPr="002D7A69" w:rsidRDefault="002D7A69" w:rsidP="009E3AD8">
      <w:pPr>
        <w:spacing w:line="276" w:lineRule="auto"/>
        <w:ind w:firstLine="720"/>
        <w:jc w:val="both"/>
        <w:rPr>
          <w:rFonts w:ascii="Calibri" w:hAnsi="Calibri" w:cs="Calibri"/>
          <w:noProof/>
          <w:sz w:val="26"/>
          <w:szCs w:val="26"/>
          <w:shd w:val="clear" w:color="auto" w:fill="FFFFFF"/>
        </w:rPr>
      </w:pPr>
      <w:r w:rsidRPr="002D7A69">
        <w:rPr>
          <w:rFonts w:ascii="Calibri" w:hAnsi="Calibri" w:cs="Calibri"/>
          <w:noProof/>
          <w:sz w:val="26"/>
          <w:szCs w:val="26"/>
          <w:shd w:val="clear" w:color="auto" w:fill="FFFFFF"/>
        </w:rPr>
        <w:t>De asemenea în cursul anului 2025 a fost numit, în calitate de membru în Consiliul de conducere al Școlii Naționale de Grefieri, un nou reprezentant din partea Consiliului Superior al Magistraturii, procedură care s-a finalizat.</w:t>
      </w:r>
    </w:p>
    <w:p w14:paraId="52E2101D" w14:textId="4C011AFA" w:rsidR="002D7A69" w:rsidRPr="004E2141" w:rsidRDefault="002D7A69" w:rsidP="009E3AD8">
      <w:pPr>
        <w:spacing w:line="276" w:lineRule="auto"/>
        <w:ind w:firstLine="720"/>
        <w:jc w:val="both"/>
        <w:rPr>
          <w:rFonts w:ascii="Calibri" w:hAnsi="Calibri" w:cs="Calibri"/>
          <w:iCs/>
          <w:noProof/>
          <w:sz w:val="26"/>
          <w:szCs w:val="26"/>
          <w:shd w:val="clear" w:color="auto" w:fill="FFFFFF"/>
        </w:rPr>
      </w:pPr>
      <w:r w:rsidRPr="002D7A69">
        <w:rPr>
          <w:rFonts w:ascii="Calibri" w:hAnsi="Calibri" w:cs="Calibri"/>
          <w:noProof/>
          <w:sz w:val="26"/>
          <w:szCs w:val="26"/>
          <w:shd w:val="clear" w:color="auto" w:fill="FFFFFF"/>
        </w:rPr>
        <w:t xml:space="preserve">Au fost formulate note cu privire la desemnarea unor judecători, procurori şi a altor persoane de specialitate juridică din cadrul instanțelor judecătorești pentru participarea la activități de Educație juridică – ca urmare a </w:t>
      </w:r>
      <w:r w:rsidRPr="004E2141">
        <w:rPr>
          <w:rFonts w:ascii="Calibri" w:hAnsi="Calibri" w:cs="Calibri"/>
          <w:noProof/>
          <w:sz w:val="26"/>
          <w:szCs w:val="26"/>
          <w:shd w:val="clear" w:color="auto" w:fill="FFFFFF"/>
        </w:rPr>
        <w:t>„</w:t>
      </w:r>
      <w:r w:rsidRPr="004E2141">
        <w:rPr>
          <w:rFonts w:ascii="Calibri" w:hAnsi="Calibri" w:cs="Calibri"/>
          <w:bCs/>
          <w:noProof/>
          <w:sz w:val="26"/>
          <w:szCs w:val="26"/>
          <w:shd w:val="clear" w:color="auto" w:fill="FFFFFF"/>
        </w:rPr>
        <w:t>Protocolului de colaborare privind Educația juridică”</w:t>
      </w:r>
      <w:r w:rsidRPr="00242494">
        <w:rPr>
          <w:rFonts w:ascii="Calibri" w:hAnsi="Calibri" w:cs="Calibri"/>
          <w:bCs/>
          <w:noProof/>
          <w:sz w:val="26"/>
          <w:szCs w:val="26"/>
          <w:shd w:val="clear" w:color="auto" w:fill="FFFFFF"/>
        </w:rPr>
        <w:t xml:space="preserve"> încheiat la data de 23</w:t>
      </w:r>
      <w:r w:rsidR="00242494">
        <w:rPr>
          <w:rFonts w:ascii="Calibri" w:hAnsi="Calibri" w:cs="Calibri"/>
          <w:bCs/>
          <w:noProof/>
          <w:sz w:val="26"/>
          <w:szCs w:val="26"/>
          <w:shd w:val="clear" w:color="auto" w:fill="FFFFFF"/>
        </w:rPr>
        <w:t xml:space="preserve"> noiembrie </w:t>
      </w:r>
      <w:r w:rsidRPr="00242494">
        <w:rPr>
          <w:rFonts w:ascii="Calibri" w:hAnsi="Calibri" w:cs="Calibri"/>
          <w:bCs/>
          <w:noProof/>
          <w:sz w:val="26"/>
          <w:szCs w:val="26"/>
          <w:shd w:val="clear" w:color="auto" w:fill="FFFFFF"/>
        </w:rPr>
        <w:t>2022, între</w:t>
      </w:r>
      <w:r w:rsidRPr="002D7A69">
        <w:rPr>
          <w:rFonts w:ascii="Calibri" w:hAnsi="Calibri" w:cs="Calibri"/>
          <w:b/>
          <w:noProof/>
          <w:sz w:val="26"/>
          <w:szCs w:val="26"/>
          <w:shd w:val="clear" w:color="auto" w:fill="FFFFFF"/>
        </w:rPr>
        <w:t xml:space="preserve"> </w:t>
      </w:r>
      <w:r w:rsidRPr="004E2141">
        <w:rPr>
          <w:rFonts w:ascii="Calibri" w:hAnsi="Calibri" w:cs="Calibri"/>
          <w:iCs/>
          <w:noProof/>
          <w:sz w:val="26"/>
          <w:szCs w:val="26"/>
          <w:shd w:val="clear" w:color="auto" w:fill="FFFFFF"/>
        </w:rPr>
        <w:t xml:space="preserve">Ministerul Justiției, Ministerul Educației, Consiliul </w:t>
      </w:r>
      <w:r w:rsidRPr="004E2141">
        <w:rPr>
          <w:rFonts w:ascii="Calibri" w:hAnsi="Calibri" w:cs="Calibri"/>
          <w:iCs/>
          <w:noProof/>
          <w:sz w:val="26"/>
          <w:szCs w:val="26"/>
          <w:shd w:val="clear" w:color="auto" w:fill="FFFFFF"/>
        </w:rPr>
        <w:lastRenderedPageBreak/>
        <w:t>Superior al Magistraturii, Înalta Curte de Casație și Justiție, Parchetul de pe lângă Înalta Curte de Casație și Justiție și Uniunea Națională a Barourilor din România.</w:t>
      </w:r>
    </w:p>
    <w:p w14:paraId="45911781" w14:textId="77777777" w:rsidR="002D7A69" w:rsidRPr="002D7A69" w:rsidRDefault="002D7A69" w:rsidP="009E3AD8">
      <w:pPr>
        <w:spacing w:line="276" w:lineRule="auto"/>
        <w:ind w:firstLine="720"/>
        <w:jc w:val="both"/>
        <w:rPr>
          <w:rFonts w:ascii="Calibri" w:hAnsi="Calibri" w:cs="Calibri"/>
          <w:noProof/>
          <w:sz w:val="26"/>
          <w:szCs w:val="26"/>
          <w:shd w:val="clear" w:color="auto" w:fill="FFFFFF"/>
        </w:rPr>
      </w:pPr>
      <w:r w:rsidRPr="002D7A69">
        <w:rPr>
          <w:rFonts w:ascii="Calibri" w:hAnsi="Calibri" w:cs="Calibri"/>
          <w:noProof/>
          <w:sz w:val="26"/>
          <w:szCs w:val="26"/>
          <w:shd w:val="clear" w:color="auto" w:fill="FFFFFF"/>
        </w:rPr>
        <w:t>A fost asigurată prezenţa la ședințele Consiliului de conducere al Școlii Naționale de Grefieri și au fost întocmite lucrările necesare pentru repartiția judecătorilor şi procurorilor stagiari care au promovat examenul de capacitate și cele referitoare la repartizarea pe posturi a absolvenţilor Şcolii Naţionale de Grefieri.</w:t>
      </w:r>
    </w:p>
    <w:p w14:paraId="1F7F58C8" w14:textId="1B6D47E9" w:rsidR="00D94BE0" w:rsidRPr="002D7A69" w:rsidRDefault="002D7A69" w:rsidP="009E3AD8">
      <w:pPr>
        <w:spacing w:line="276" w:lineRule="auto"/>
        <w:ind w:firstLine="720"/>
        <w:jc w:val="both"/>
        <w:rPr>
          <w:rFonts w:ascii="Calibri" w:hAnsi="Calibri" w:cs="Calibri"/>
          <w:noProof/>
          <w:sz w:val="26"/>
          <w:szCs w:val="26"/>
          <w:shd w:val="clear" w:color="auto" w:fill="FFFFFF"/>
        </w:rPr>
      </w:pPr>
      <w:r w:rsidRPr="002D7A69">
        <w:rPr>
          <w:rFonts w:ascii="Calibri" w:hAnsi="Calibri" w:cs="Calibri"/>
          <w:noProof/>
          <w:sz w:val="26"/>
          <w:szCs w:val="26"/>
          <w:shd w:val="clear" w:color="auto" w:fill="FFFFFF"/>
        </w:rPr>
        <w:t>De asemenea, a fost asigurat suportul necesar pentru desfășurarea stagiilor de practică ale studenților de la facultățile de drept din cadrul Universității din București, a Universității „Nicolae Titulescu” din București, Universității „Titu Maiorescu” din București și Academiei de Studii Economice București și a fost asigurată verificarea îndeplinirii de către candidați a condițiilor de participare la diverse concursuri și/sau examene.</w:t>
      </w:r>
    </w:p>
    <w:p w14:paraId="711DE6C8" w14:textId="16586B91" w:rsidR="00021845" w:rsidRPr="001862D3" w:rsidRDefault="0003174C" w:rsidP="009E3AD8">
      <w:pPr>
        <w:spacing w:line="276" w:lineRule="auto"/>
        <w:ind w:firstLine="708"/>
        <w:jc w:val="both"/>
        <w:rPr>
          <w:rFonts w:asciiTheme="minorHAnsi" w:hAnsiTheme="minorHAnsi" w:cstheme="minorHAnsi"/>
          <w:b/>
          <w:color w:val="000000" w:themeColor="text1"/>
          <w:sz w:val="26"/>
          <w:szCs w:val="26"/>
        </w:rPr>
      </w:pPr>
      <w:r>
        <w:rPr>
          <w:rFonts w:asciiTheme="minorHAnsi" w:hAnsiTheme="minorHAnsi" w:cstheme="minorHAnsi"/>
          <w:b/>
          <w:sz w:val="26"/>
          <w:szCs w:val="26"/>
        </w:rPr>
        <w:t>Institutul Național al Magistraturii</w:t>
      </w:r>
    </w:p>
    <w:p w14:paraId="377694C4" w14:textId="297812D9" w:rsidR="00021845" w:rsidRPr="001862D3" w:rsidRDefault="00021845" w:rsidP="009E3AD8">
      <w:pPr>
        <w:spacing w:line="276" w:lineRule="auto"/>
        <w:ind w:firstLine="708"/>
        <w:jc w:val="both"/>
        <w:rPr>
          <w:rFonts w:asciiTheme="minorHAnsi" w:hAnsiTheme="minorHAnsi" w:cstheme="minorHAnsi"/>
          <w:b/>
          <w:color w:val="000000" w:themeColor="text1"/>
          <w:sz w:val="26"/>
          <w:szCs w:val="26"/>
        </w:rPr>
      </w:pPr>
      <w:r w:rsidRPr="001862D3">
        <w:rPr>
          <w:rFonts w:asciiTheme="minorHAnsi" w:hAnsiTheme="minorHAnsi" w:cstheme="minorHAnsi"/>
          <w:b/>
          <w:color w:val="000000" w:themeColor="text1"/>
          <w:sz w:val="26"/>
          <w:szCs w:val="26"/>
        </w:rPr>
        <w:t>II.3.1. Formarea profesională inițială a viitorilor judecători și procurori în cadrul I</w:t>
      </w:r>
      <w:r w:rsidR="00E23582">
        <w:rPr>
          <w:rFonts w:asciiTheme="minorHAnsi" w:hAnsiTheme="minorHAnsi" w:cstheme="minorHAnsi"/>
          <w:b/>
          <w:color w:val="000000" w:themeColor="text1"/>
          <w:sz w:val="26"/>
          <w:szCs w:val="26"/>
        </w:rPr>
        <w:t>.</w:t>
      </w:r>
      <w:r w:rsidRPr="001862D3">
        <w:rPr>
          <w:rFonts w:asciiTheme="minorHAnsi" w:hAnsiTheme="minorHAnsi" w:cstheme="minorHAnsi"/>
          <w:b/>
          <w:color w:val="000000" w:themeColor="text1"/>
          <w:sz w:val="26"/>
          <w:szCs w:val="26"/>
        </w:rPr>
        <w:t>N</w:t>
      </w:r>
      <w:r w:rsidR="00E23582">
        <w:rPr>
          <w:rFonts w:asciiTheme="minorHAnsi" w:hAnsiTheme="minorHAnsi" w:cstheme="minorHAnsi"/>
          <w:b/>
          <w:color w:val="000000" w:themeColor="text1"/>
          <w:sz w:val="26"/>
          <w:szCs w:val="26"/>
        </w:rPr>
        <w:t>.</w:t>
      </w:r>
      <w:r w:rsidRPr="001862D3">
        <w:rPr>
          <w:rFonts w:asciiTheme="minorHAnsi" w:hAnsiTheme="minorHAnsi" w:cstheme="minorHAnsi"/>
          <w:b/>
          <w:color w:val="000000" w:themeColor="text1"/>
          <w:sz w:val="26"/>
          <w:szCs w:val="26"/>
        </w:rPr>
        <w:t>M</w:t>
      </w:r>
      <w:r w:rsidR="00E23582">
        <w:rPr>
          <w:rFonts w:asciiTheme="minorHAnsi" w:hAnsiTheme="minorHAnsi" w:cstheme="minorHAnsi"/>
          <w:b/>
          <w:color w:val="000000" w:themeColor="text1"/>
          <w:sz w:val="26"/>
          <w:szCs w:val="26"/>
        </w:rPr>
        <w:t>.</w:t>
      </w:r>
    </w:p>
    <w:p w14:paraId="3DAD0989" w14:textId="54E70BA0" w:rsidR="00021845" w:rsidRPr="001862D3" w:rsidRDefault="00021845" w:rsidP="009E3AD8">
      <w:pPr>
        <w:shd w:val="clear" w:color="auto" w:fill="FFFFFF" w:themeFill="background1"/>
        <w:spacing w:line="276" w:lineRule="auto"/>
        <w:ind w:right="43" w:firstLine="720"/>
        <w:jc w:val="both"/>
        <w:rPr>
          <w:rFonts w:asciiTheme="minorHAnsi" w:hAnsiTheme="minorHAnsi" w:cstheme="minorHAnsi"/>
          <w:color w:val="000000" w:themeColor="text1"/>
          <w:sz w:val="26"/>
          <w:szCs w:val="26"/>
        </w:rPr>
      </w:pPr>
      <w:bookmarkStart w:id="86" w:name="_Toc383085362"/>
      <w:bookmarkStart w:id="87" w:name="_Toc383085227"/>
      <w:r w:rsidRPr="001862D3">
        <w:rPr>
          <w:rFonts w:asciiTheme="minorHAnsi" w:hAnsiTheme="minorHAnsi" w:cstheme="minorHAnsi"/>
          <w:color w:val="000000" w:themeColor="text1"/>
          <w:sz w:val="26"/>
          <w:szCs w:val="26"/>
        </w:rPr>
        <w:t>Obiectivele strategice specifice formării profesionale inițiale în perioada de referință au fost raportate la Strategia de dezvoltare a sistemului judiciar 2022 – 2025, fiind concepute în scopul furnizării unei pregătiri profesionale apte să ofere auditorilor de justiție suportul și instrumentele necesare înfăptuirii unui act de justiție corespunzător. Au fost avute în vedere direcțiile de acțiune asumate de conducerea I</w:t>
      </w:r>
      <w:r w:rsidR="00D82FAD">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N</w:t>
      </w:r>
      <w:r w:rsidR="00D82FAD">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M</w:t>
      </w:r>
      <w:r w:rsidR="00D82FAD">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 principiile fundamentale ale formării judiciare adoptate la nivelul Rețelei Europene de Formare Judiciară (E</w:t>
      </w:r>
      <w:r w:rsidR="00D82FAD">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J</w:t>
      </w:r>
      <w:r w:rsidR="00D82FAD">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T</w:t>
      </w:r>
      <w:r w:rsidR="00D82FAD">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N</w:t>
      </w:r>
      <w:r w:rsidR="00D82FAD">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/R</w:t>
      </w:r>
      <w:r w:rsidR="00D82FAD">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E</w:t>
      </w:r>
      <w:r w:rsidR="00D82FAD">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F</w:t>
      </w:r>
      <w:r w:rsidR="00D82FAD">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J</w:t>
      </w:r>
      <w:r w:rsidR="00D82FAD">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 precum și Comunicarea Comisiei către Parlamentul European, Consiliu, Comitetul Economic și Social European și Comitetul Regiunilor COM(2020) 713 final, intitulată „Asigurarea justiției în U</w:t>
      </w:r>
      <w:r w:rsidR="00D82FAD">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E</w:t>
      </w:r>
      <w:r w:rsidR="00D82FAD">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 xml:space="preserve"> - o strategie europeană în materie de formare judiciară pentru perioada 2021 – 2024”. </w:t>
      </w:r>
    </w:p>
    <w:p w14:paraId="3253A410" w14:textId="54ACDC1E" w:rsidR="00021845" w:rsidRPr="001862D3" w:rsidRDefault="00021845" w:rsidP="009E3AD8">
      <w:pPr>
        <w:shd w:val="clear" w:color="auto" w:fill="FFFFFF" w:themeFill="background1"/>
        <w:spacing w:line="276" w:lineRule="auto"/>
        <w:ind w:right="43" w:firstLine="720"/>
        <w:jc w:val="both"/>
        <w:rPr>
          <w:rFonts w:asciiTheme="minorHAnsi" w:hAnsiTheme="minorHAnsi" w:cstheme="minorHAnsi"/>
          <w:color w:val="000000" w:themeColor="text1"/>
          <w:sz w:val="26"/>
          <w:szCs w:val="26"/>
        </w:rPr>
      </w:pPr>
      <w:r w:rsidRPr="001862D3">
        <w:rPr>
          <w:rFonts w:asciiTheme="minorHAnsi" w:hAnsiTheme="minorHAnsi" w:cstheme="minorHAnsi"/>
          <w:color w:val="000000" w:themeColor="text1"/>
          <w:sz w:val="26"/>
          <w:szCs w:val="26"/>
        </w:rPr>
        <w:t>Obiectivele strategice instituționale în materie de formare profesională inițială au vizat, în continuare</w:t>
      </w:r>
      <w:r w:rsidR="00D3410C">
        <w:rPr>
          <w:rFonts w:asciiTheme="minorHAnsi" w:hAnsiTheme="minorHAnsi" w:cstheme="minorHAnsi"/>
          <w:color w:val="000000" w:themeColor="text1"/>
          <w:sz w:val="26"/>
          <w:szCs w:val="26"/>
        </w:rPr>
        <w:t xml:space="preserve"> </w:t>
      </w:r>
      <w:r w:rsidRPr="001862D3">
        <w:rPr>
          <w:rFonts w:asciiTheme="minorHAnsi" w:hAnsiTheme="minorHAnsi" w:cstheme="minorHAnsi"/>
          <w:color w:val="000000" w:themeColor="text1"/>
          <w:sz w:val="26"/>
          <w:szCs w:val="26"/>
        </w:rPr>
        <w:t xml:space="preserve">asigurarea caracterului preponderent practic, pluridisciplinar și interdisciplinar al formării, asigurarea unei formări complexe, consolidarea caracterului unitar al formării și evaluării, diversificarea metodologiilor de formare utilizate și implicarea auditorilor de justiție în activități cu caracter internațional. </w:t>
      </w:r>
    </w:p>
    <w:p w14:paraId="4DC9C4BE" w14:textId="77777777" w:rsidR="00021845" w:rsidRPr="001862D3" w:rsidRDefault="00021845" w:rsidP="009E3AD8">
      <w:pPr>
        <w:shd w:val="clear" w:color="auto" w:fill="FFFFFF" w:themeFill="background1"/>
        <w:spacing w:line="276" w:lineRule="auto"/>
        <w:ind w:right="43" w:firstLine="720"/>
        <w:jc w:val="both"/>
        <w:rPr>
          <w:rFonts w:asciiTheme="minorHAnsi" w:hAnsiTheme="minorHAnsi" w:cstheme="minorHAnsi"/>
          <w:color w:val="000000" w:themeColor="text1"/>
          <w:sz w:val="26"/>
          <w:szCs w:val="26"/>
        </w:rPr>
      </w:pPr>
      <w:r w:rsidRPr="001862D3">
        <w:rPr>
          <w:rFonts w:asciiTheme="minorHAnsi" w:hAnsiTheme="minorHAnsi" w:cstheme="minorHAnsi"/>
          <w:color w:val="000000" w:themeColor="text1"/>
          <w:sz w:val="26"/>
          <w:szCs w:val="26"/>
        </w:rPr>
        <w:t xml:space="preserve">Obiectivele specifice disciplinelor incluse în programul de formare inițială, conținuturile aferente și metodologiile de formare utilizate au fost reflectate în programele de studiu și planurile de seminar elaborate în cadrul catedrelor de specialitate. </w:t>
      </w:r>
    </w:p>
    <w:p w14:paraId="508D7913" w14:textId="32620B1F" w:rsidR="00021845" w:rsidRPr="001862D3" w:rsidRDefault="00021845" w:rsidP="009E3AD8">
      <w:pPr>
        <w:shd w:val="clear" w:color="auto" w:fill="FFFFFF" w:themeFill="background1"/>
        <w:spacing w:line="276" w:lineRule="auto"/>
        <w:ind w:right="43" w:firstLine="720"/>
        <w:jc w:val="both"/>
        <w:rPr>
          <w:rFonts w:asciiTheme="minorHAnsi" w:hAnsiTheme="minorHAnsi" w:cstheme="minorHAnsi"/>
          <w:color w:val="000000" w:themeColor="text1"/>
          <w:sz w:val="26"/>
          <w:szCs w:val="26"/>
        </w:rPr>
      </w:pPr>
      <w:r w:rsidRPr="001862D3">
        <w:rPr>
          <w:rFonts w:asciiTheme="minorHAnsi" w:hAnsiTheme="minorHAnsi" w:cstheme="minorHAnsi"/>
          <w:color w:val="000000" w:themeColor="text1"/>
          <w:sz w:val="26"/>
          <w:szCs w:val="26"/>
        </w:rPr>
        <w:t xml:space="preserve">În ceea ce privește metodologiile de formare, au fost avute în vedere recomandările cuprinse în Strategia europeană de formare judiciară pentru 2021 – 2024 </w:t>
      </w:r>
      <w:r w:rsidR="00C460C7">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 xml:space="preserve"> COM</w:t>
      </w:r>
      <w:r w:rsidR="00C460C7">
        <w:rPr>
          <w:rFonts w:asciiTheme="minorHAnsi" w:hAnsiTheme="minorHAnsi" w:cstheme="minorHAnsi"/>
          <w:color w:val="000000" w:themeColor="text1"/>
          <w:sz w:val="26"/>
          <w:szCs w:val="26"/>
        </w:rPr>
        <w:t xml:space="preserve"> </w:t>
      </w:r>
      <w:r w:rsidRPr="001862D3">
        <w:rPr>
          <w:rFonts w:asciiTheme="minorHAnsi" w:hAnsiTheme="minorHAnsi" w:cstheme="minorHAnsi"/>
          <w:color w:val="000000" w:themeColor="text1"/>
          <w:sz w:val="26"/>
          <w:szCs w:val="26"/>
        </w:rPr>
        <w:t>(2020) 713 final.</w:t>
      </w:r>
    </w:p>
    <w:p w14:paraId="5E6AB5C0" w14:textId="77777777" w:rsidR="00021845" w:rsidRPr="001862D3" w:rsidRDefault="00021845" w:rsidP="00281400">
      <w:pPr>
        <w:keepNext/>
        <w:keepLines/>
        <w:numPr>
          <w:ilvl w:val="0"/>
          <w:numId w:val="4"/>
        </w:numPr>
        <w:shd w:val="clear" w:color="auto" w:fill="FFFFFF" w:themeFill="background1"/>
        <w:spacing w:line="276" w:lineRule="auto"/>
        <w:ind w:left="1080" w:right="45" w:hanging="360"/>
        <w:contextualSpacing/>
        <w:jc w:val="both"/>
        <w:rPr>
          <w:rFonts w:asciiTheme="minorHAnsi" w:eastAsia="Calibri" w:hAnsiTheme="minorHAnsi" w:cstheme="minorHAnsi"/>
          <w:b/>
          <w:bCs/>
          <w:color w:val="000000" w:themeColor="text1"/>
          <w:sz w:val="26"/>
          <w:szCs w:val="26"/>
        </w:rPr>
      </w:pPr>
      <w:r w:rsidRPr="001862D3">
        <w:rPr>
          <w:rFonts w:asciiTheme="minorHAnsi" w:eastAsia="Calibri" w:hAnsiTheme="minorHAnsi" w:cstheme="minorHAnsi"/>
          <w:b/>
          <w:bCs/>
          <w:color w:val="000000" w:themeColor="text1"/>
          <w:sz w:val="26"/>
          <w:szCs w:val="26"/>
        </w:rPr>
        <w:t>Programele de formare inițială</w:t>
      </w:r>
    </w:p>
    <w:p w14:paraId="3ECB7D83" w14:textId="77777777" w:rsidR="00021845" w:rsidRPr="001862D3" w:rsidRDefault="00021845" w:rsidP="009E3AD8">
      <w:pPr>
        <w:keepNext/>
        <w:keepLines/>
        <w:shd w:val="clear" w:color="auto" w:fill="FFFFFF" w:themeFill="background1"/>
        <w:spacing w:line="276" w:lineRule="auto"/>
        <w:ind w:right="45" w:firstLine="720"/>
        <w:jc w:val="both"/>
        <w:rPr>
          <w:rFonts w:asciiTheme="minorHAnsi" w:hAnsiTheme="minorHAnsi" w:cstheme="minorHAnsi"/>
          <w:color w:val="000000" w:themeColor="text1"/>
          <w:sz w:val="26"/>
          <w:szCs w:val="26"/>
        </w:rPr>
      </w:pPr>
      <w:r w:rsidRPr="001862D3">
        <w:rPr>
          <w:rFonts w:asciiTheme="minorHAnsi" w:hAnsiTheme="minorHAnsi" w:cstheme="minorHAnsi"/>
          <w:color w:val="000000" w:themeColor="text1"/>
          <w:sz w:val="26"/>
          <w:szCs w:val="26"/>
        </w:rPr>
        <w:t>Pe parcursul anului 2025, formarea profesională a auditorilor de justiție s-a desfășurat conform:</w:t>
      </w:r>
    </w:p>
    <w:p w14:paraId="7CD58D67" w14:textId="24599078" w:rsidR="00B46928" w:rsidRPr="00132694" w:rsidRDefault="00021845" w:rsidP="00B46928">
      <w:pPr>
        <w:pStyle w:val="ListParagraph"/>
        <w:numPr>
          <w:ilvl w:val="0"/>
          <w:numId w:val="25"/>
        </w:numPr>
        <w:jc w:val="both"/>
        <w:rPr>
          <w:rFonts w:asciiTheme="minorHAnsi" w:hAnsiTheme="minorHAnsi" w:cstheme="minorHAnsi"/>
          <w:sz w:val="26"/>
          <w:szCs w:val="26"/>
        </w:rPr>
      </w:pPr>
      <w:bookmarkStart w:id="88" w:name="_Hlk210810816"/>
      <w:r w:rsidRPr="00B46928">
        <w:rPr>
          <w:rFonts w:asciiTheme="minorHAnsi" w:hAnsiTheme="minorHAnsi" w:cstheme="minorHAnsi"/>
          <w:color w:val="000000" w:themeColor="text1"/>
          <w:sz w:val="26"/>
          <w:szCs w:val="26"/>
        </w:rPr>
        <w:t xml:space="preserve">programului de formare inițială pentru anul I </w:t>
      </w:r>
      <w:bookmarkEnd w:id="88"/>
      <w:r w:rsidRPr="00B46928">
        <w:rPr>
          <w:rFonts w:asciiTheme="minorHAnsi" w:hAnsiTheme="minorHAnsi" w:cstheme="minorHAnsi"/>
          <w:color w:val="000000" w:themeColor="text1"/>
          <w:sz w:val="26"/>
          <w:szCs w:val="26"/>
        </w:rPr>
        <w:t>(promoția 2025 – 2027) și programului de formare inițială pentru anul al II-lea (promoția 2024 – 2026), ambele aprobate prin Hotărârea Plenului C</w:t>
      </w:r>
      <w:r w:rsidR="00C460C7" w:rsidRPr="00B46928">
        <w:rPr>
          <w:rFonts w:asciiTheme="minorHAnsi" w:hAnsiTheme="minorHAnsi" w:cstheme="minorHAnsi"/>
          <w:color w:val="000000" w:themeColor="text1"/>
          <w:sz w:val="26"/>
          <w:szCs w:val="26"/>
        </w:rPr>
        <w:t>.</w:t>
      </w:r>
      <w:r w:rsidRPr="00B46928">
        <w:rPr>
          <w:rFonts w:asciiTheme="minorHAnsi" w:hAnsiTheme="minorHAnsi" w:cstheme="minorHAnsi"/>
          <w:color w:val="000000" w:themeColor="text1"/>
          <w:sz w:val="26"/>
          <w:szCs w:val="26"/>
        </w:rPr>
        <w:t>S</w:t>
      </w:r>
      <w:r w:rsidR="00C460C7" w:rsidRPr="00B46928">
        <w:rPr>
          <w:rFonts w:asciiTheme="minorHAnsi" w:hAnsiTheme="minorHAnsi" w:cstheme="minorHAnsi"/>
          <w:color w:val="000000" w:themeColor="text1"/>
          <w:sz w:val="26"/>
          <w:szCs w:val="26"/>
        </w:rPr>
        <w:t>.</w:t>
      </w:r>
      <w:r w:rsidRPr="00B46928">
        <w:rPr>
          <w:rFonts w:asciiTheme="minorHAnsi" w:hAnsiTheme="minorHAnsi" w:cstheme="minorHAnsi"/>
          <w:color w:val="000000" w:themeColor="text1"/>
          <w:sz w:val="26"/>
          <w:szCs w:val="26"/>
        </w:rPr>
        <w:t>M</w:t>
      </w:r>
      <w:r w:rsidR="00C460C7" w:rsidRPr="00B46928">
        <w:rPr>
          <w:rFonts w:asciiTheme="minorHAnsi" w:hAnsiTheme="minorHAnsi" w:cstheme="minorHAnsi"/>
          <w:color w:val="000000" w:themeColor="text1"/>
          <w:sz w:val="26"/>
          <w:szCs w:val="26"/>
        </w:rPr>
        <w:t>.</w:t>
      </w:r>
      <w:r w:rsidRPr="00B46928">
        <w:rPr>
          <w:rFonts w:asciiTheme="minorHAnsi" w:hAnsiTheme="minorHAnsi" w:cstheme="minorHAnsi"/>
          <w:color w:val="000000" w:themeColor="text1"/>
          <w:sz w:val="26"/>
          <w:szCs w:val="26"/>
        </w:rPr>
        <w:t xml:space="preserve"> nr. 3</w:t>
      </w:r>
      <w:r w:rsidR="00760BB2" w:rsidRPr="00B46928">
        <w:rPr>
          <w:rFonts w:asciiTheme="minorHAnsi" w:hAnsiTheme="minorHAnsi" w:cstheme="minorHAnsi"/>
          <w:color w:val="000000" w:themeColor="text1"/>
          <w:sz w:val="26"/>
          <w:szCs w:val="26"/>
        </w:rPr>
        <w:t>/</w:t>
      </w:r>
      <w:r w:rsidRPr="00B46928">
        <w:rPr>
          <w:rFonts w:asciiTheme="minorHAnsi" w:hAnsiTheme="minorHAnsi" w:cstheme="minorHAnsi"/>
          <w:color w:val="000000" w:themeColor="text1"/>
          <w:sz w:val="26"/>
          <w:szCs w:val="26"/>
        </w:rPr>
        <w:t>30.01.2025, completată prin Hotărârea Plenului C</w:t>
      </w:r>
      <w:r w:rsidR="00760BB2" w:rsidRPr="00B46928">
        <w:rPr>
          <w:rFonts w:asciiTheme="minorHAnsi" w:hAnsiTheme="minorHAnsi" w:cstheme="minorHAnsi"/>
          <w:color w:val="000000" w:themeColor="text1"/>
          <w:sz w:val="26"/>
          <w:szCs w:val="26"/>
        </w:rPr>
        <w:t>.</w:t>
      </w:r>
      <w:r w:rsidRPr="00B46928">
        <w:rPr>
          <w:rFonts w:asciiTheme="minorHAnsi" w:hAnsiTheme="minorHAnsi" w:cstheme="minorHAnsi"/>
          <w:color w:val="000000" w:themeColor="text1"/>
          <w:sz w:val="26"/>
          <w:szCs w:val="26"/>
        </w:rPr>
        <w:t>S</w:t>
      </w:r>
      <w:r w:rsidR="00760BB2" w:rsidRPr="00B46928">
        <w:rPr>
          <w:rFonts w:asciiTheme="minorHAnsi" w:hAnsiTheme="minorHAnsi" w:cstheme="minorHAnsi"/>
          <w:color w:val="000000" w:themeColor="text1"/>
          <w:sz w:val="26"/>
          <w:szCs w:val="26"/>
        </w:rPr>
        <w:t>.</w:t>
      </w:r>
      <w:r w:rsidRPr="00B46928">
        <w:rPr>
          <w:rFonts w:asciiTheme="minorHAnsi" w:hAnsiTheme="minorHAnsi" w:cstheme="minorHAnsi"/>
          <w:color w:val="000000" w:themeColor="text1"/>
          <w:sz w:val="26"/>
          <w:szCs w:val="26"/>
        </w:rPr>
        <w:t>M</w:t>
      </w:r>
      <w:r w:rsidR="00760BB2" w:rsidRPr="00B46928">
        <w:rPr>
          <w:rFonts w:asciiTheme="minorHAnsi" w:hAnsiTheme="minorHAnsi" w:cstheme="minorHAnsi"/>
          <w:color w:val="000000" w:themeColor="text1"/>
          <w:sz w:val="26"/>
          <w:szCs w:val="26"/>
        </w:rPr>
        <w:t>.</w:t>
      </w:r>
      <w:r w:rsidRPr="00B46928">
        <w:rPr>
          <w:rFonts w:asciiTheme="minorHAnsi" w:hAnsiTheme="minorHAnsi" w:cstheme="minorHAnsi"/>
          <w:color w:val="000000" w:themeColor="text1"/>
          <w:sz w:val="26"/>
          <w:szCs w:val="26"/>
        </w:rPr>
        <w:t xml:space="preserve"> nr. 114</w:t>
      </w:r>
      <w:r w:rsidR="00760BB2" w:rsidRPr="00B46928">
        <w:rPr>
          <w:rFonts w:asciiTheme="minorHAnsi" w:hAnsiTheme="minorHAnsi" w:cstheme="minorHAnsi"/>
          <w:color w:val="000000" w:themeColor="text1"/>
          <w:sz w:val="26"/>
          <w:szCs w:val="26"/>
        </w:rPr>
        <w:t>/</w:t>
      </w:r>
      <w:r w:rsidRPr="00B46928">
        <w:rPr>
          <w:rFonts w:asciiTheme="minorHAnsi" w:hAnsiTheme="minorHAnsi" w:cstheme="minorHAnsi"/>
          <w:color w:val="000000" w:themeColor="text1"/>
          <w:sz w:val="26"/>
          <w:szCs w:val="26"/>
        </w:rPr>
        <w:t>18.09.2025;</w:t>
      </w:r>
      <w:r w:rsidR="00B46928" w:rsidRPr="00B46928">
        <w:t xml:space="preserve"> </w:t>
      </w:r>
      <w:r w:rsidR="00B46928" w:rsidRPr="00132694">
        <w:rPr>
          <w:rFonts w:asciiTheme="minorHAnsi" w:hAnsiTheme="minorHAnsi" w:cstheme="minorHAnsi"/>
          <w:sz w:val="26"/>
          <w:szCs w:val="26"/>
        </w:rPr>
        <w:t xml:space="preserve">prin Hotărârea Plenului C.S.M. nr. 156/27.11.2025 s-a dispus modificarea Programului de formare inițială a auditorilor de justiție din anul II (promoția 2024-2026), după cum urmează: Anexa I - Organizarea stagiului de practică în cadrul instanțelor pentru auditorii de justiție de anul al II-lea, caietele de practică aferente stagiului desfășurat la instanțe în perioada </w:t>
      </w:r>
      <w:bookmarkStart w:id="89" w:name="_Hlk219205519"/>
      <w:r w:rsidR="00B46928" w:rsidRPr="00132694">
        <w:rPr>
          <w:rFonts w:asciiTheme="minorHAnsi" w:hAnsiTheme="minorHAnsi" w:cstheme="minorHAnsi"/>
          <w:sz w:val="26"/>
          <w:szCs w:val="26"/>
        </w:rPr>
        <w:t>13</w:t>
      </w:r>
      <w:r w:rsidR="008A6D5C" w:rsidRPr="00132694">
        <w:rPr>
          <w:rFonts w:asciiTheme="minorHAnsi" w:hAnsiTheme="minorHAnsi" w:cstheme="minorHAnsi"/>
          <w:sz w:val="26"/>
          <w:szCs w:val="26"/>
        </w:rPr>
        <w:t xml:space="preserve"> octombrie </w:t>
      </w:r>
      <w:r w:rsidR="00B46928" w:rsidRPr="00132694">
        <w:rPr>
          <w:rFonts w:asciiTheme="minorHAnsi" w:hAnsiTheme="minorHAnsi" w:cstheme="minorHAnsi"/>
          <w:sz w:val="26"/>
          <w:szCs w:val="26"/>
        </w:rPr>
        <w:t>2025</w:t>
      </w:r>
      <w:r w:rsidR="008A6D5C" w:rsidRPr="00132694">
        <w:rPr>
          <w:rFonts w:asciiTheme="minorHAnsi" w:hAnsiTheme="minorHAnsi" w:cstheme="minorHAnsi"/>
          <w:sz w:val="26"/>
          <w:szCs w:val="26"/>
        </w:rPr>
        <w:t xml:space="preserve"> </w:t>
      </w:r>
      <w:r w:rsidR="00B46928" w:rsidRPr="00132694">
        <w:rPr>
          <w:rFonts w:asciiTheme="minorHAnsi" w:hAnsiTheme="minorHAnsi" w:cstheme="minorHAnsi"/>
          <w:sz w:val="26"/>
          <w:szCs w:val="26"/>
        </w:rPr>
        <w:t>-</w:t>
      </w:r>
      <w:r w:rsidR="008A6D5C" w:rsidRPr="00132694">
        <w:rPr>
          <w:rFonts w:asciiTheme="minorHAnsi" w:hAnsiTheme="minorHAnsi" w:cstheme="minorHAnsi"/>
          <w:sz w:val="26"/>
          <w:szCs w:val="26"/>
        </w:rPr>
        <w:t xml:space="preserve"> </w:t>
      </w:r>
      <w:r w:rsidR="00B46928" w:rsidRPr="00132694">
        <w:rPr>
          <w:rFonts w:asciiTheme="minorHAnsi" w:hAnsiTheme="minorHAnsi" w:cstheme="minorHAnsi"/>
          <w:sz w:val="26"/>
          <w:szCs w:val="26"/>
        </w:rPr>
        <w:t>16</w:t>
      </w:r>
      <w:r w:rsidR="008A6D5C" w:rsidRPr="00132694">
        <w:rPr>
          <w:rFonts w:asciiTheme="minorHAnsi" w:hAnsiTheme="minorHAnsi" w:cstheme="minorHAnsi"/>
          <w:sz w:val="26"/>
          <w:szCs w:val="26"/>
        </w:rPr>
        <w:t xml:space="preserve"> ianuarie </w:t>
      </w:r>
      <w:r w:rsidR="00B46928" w:rsidRPr="00132694">
        <w:rPr>
          <w:rFonts w:asciiTheme="minorHAnsi" w:hAnsiTheme="minorHAnsi" w:cstheme="minorHAnsi"/>
          <w:sz w:val="26"/>
          <w:szCs w:val="26"/>
        </w:rPr>
        <w:t xml:space="preserve">2026 </w:t>
      </w:r>
      <w:bookmarkEnd w:id="89"/>
      <w:r w:rsidR="00B46928" w:rsidRPr="00132694">
        <w:rPr>
          <w:rFonts w:asciiTheme="minorHAnsi" w:hAnsiTheme="minorHAnsi" w:cstheme="minorHAnsi"/>
          <w:sz w:val="26"/>
          <w:szCs w:val="26"/>
        </w:rPr>
        <w:t>se depun până la data de 16</w:t>
      </w:r>
      <w:r w:rsidR="00233D70" w:rsidRPr="00132694">
        <w:rPr>
          <w:rFonts w:asciiTheme="minorHAnsi" w:hAnsiTheme="minorHAnsi" w:cstheme="minorHAnsi"/>
          <w:sz w:val="26"/>
          <w:szCs w:val="26"/>
        </w:rPr>
        <w:t xml:space="preserve"> ianuarie </w:t>
      </w:r>
      <w:r w:rsidR="00B46928" w:rsidRPr="00132694">
        <w:rPr>
          <w:rFonts w:asciiTheme="minorHAnsi" w:hAnsiTheme="minorHAnsi" w:cstheme="minorHAnsi"/>
          <w:sz w:val="26"/>
          <w:szCs w:val="26"/>
        </w:rPr>
        <w:t xml:space="preserve">2026; Anexa II - Organizarea stagiului de practică în cadrul parchetelor pentru </w:t>
      </w:r>
      <w:r w:rsidR="00B46928" w:rsidRPr="00132694">
        <w:rPr>
          <w:rFonts w:asciiTheme="minorHAnsi" w:hAnsiTheme="minorHAnsi" w:cstheme="minorHAnsi"/>
          <w:sz w:val="26"/>
          <w:szCs w:val="26"/>
        </w:rPr>
        <w:lastRenderedPageBreak/>
        <w:t xml:space="preserve">auditorii de justiție de anul al II-lea, caietele de practică aferente stagiului desfășurat la parchete în perioada </w:t>
      </w:r>
      <w:r w:rsidR="00BD1C0E" w:rsidRPr="00132694">
        <w:rPr>
          <w:rFonts w:asciiTheme="minorHAnsi" w:hAnsiTheme="minorHAnsi" w:cstheme="minorHAnsi"/>
          <w:sz w:val="26"/>
          <w:szCs w:val="26"/>
        </w:rPr>
        <w:t xml:space="preserve">13 octombrie 2025 - 16 ianuarie 2026 </w:t>
      </w:r>
      <w:r w:rsidR="00B46928" w:rsidRPr="00132694">
        <w:rPr>
          <w:rFonts w:asciiTheme="minorHAnsi" w:hAnsiTheme="minorHAnsi" w:cstheme="minorHAnsi"/>
          <w:sz w:val="26"/>
          <w:szCs w:val="26"/>
        </w:rPr>
        <w:t>se depun până la data de 16.01.2026; prin Hotărârea Consiliului științific al I.N.M. nr. 10/10.12.2025 a fost avizată completarea programului de formare inițială pentru auditorii de justiție din anul al II-lea (promoția 2024 – 2026) cu o serie de ateliere facultative la disciplina Tehnici de audiere a minorilor în context judiciar; propunerea a fost comunicată Consiliului Superior al Magistraturii, în vederea aprobării.</w:t>
      </w:r>
    </w:p>
    <w:p w14:paraId="13A7883B" w14:textId="45EA84CD" w:rsidR="00021845" w:rsidRPr="001862D3" w:rsidRDefault="00021845" w:rsidP="00281400">
      <w:pPr>
        <w:pStyle w:val="ListParagraph"/>
        <w:keepNext/>
        <w:keepLines/>
        <w:numPr>
          <w:ilvl w:val="0"/>
          <w:numId w:val="25"/>
        </w:numPr>
        <w:shd w:val="clear" w:color="auto" w:fill="FFFFFF" w:themeFill="background1"/>
        <w:spacing w:line="276" w:lineRule="auto"/>
        <w:ind w:right="45"/>
        <w:jc w:val="both"/>
        <w:rPr>
          <w:rFonts w:asciiTheme="minorHAnsi" w:hAnsiTheme="minorHAnsi" w:cstheme="minorHAnsi"/>
          <w:color w:val="000000" w:themeColor="text1"/>
          <w:sz w:val="26"/>
          <w:szCs w:val="26"/>
        </w:rPr>
      </w:pPr>
      <w:bookmarkStart w:id="90" w:name="_Hlk210812591"/>
      <w:r w:rsidRPr="001862D3">
        <w:rPr>
          <w:rFonts w:asciiTheme="minorHAnsi" w:hAnsiTheme="minorHAnsi" w:cstheme="minorHAnsi"/>
          <w:color w:val="000000" w:themeColor="text1"/>
          <w:sz w:val="26"/>
          <w:szCs w:val="26"/>
        </w:rPr>
        <w:t xml:space="preserve">programului de formare inițială pentru anul I (promoția 2024 – 2026) </w:t>
      </w:r>
      <w:bookmarkEnd w:id="90"/>
      <w:r w:rsidRPr="001862D3">
        <w:rPr>
          <w:rFonts w:asciiTheme="minorHAnsi" w:hAnsiTheme="minorHAnsi" w:cstheme="minorHAnsi"/>
          <w:color w:val="000000" w:themeColor="text1"/>
          <w:sz w:val="26"/>
          <w:szCs w:val="26"/>
        </w:rPr>
        <w:t>și programului de formare inițială pentru anul al II-lea (promoția 2023 – 2025), ambele aprobate prin Hotărârea Plenului C</w:t>
      </w:r>
      <w:r w:rsidR="003463FD">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S</w:t>
      </w:r>
      <w:r w:rsidR="003463FD">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M</w:t>
      </w:r>
      <w:r w:rsidR="003463FD">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 xml:space="preserve"> nr. 41</w:t>
      </w:r>
      <w:r w:rsidR="00760BB2">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21.03.2024, completată prin Hotărârea Plenului C</w:t>
      </w:r>
      <w:r w:rsidR="003463FD">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S</w:t>
      </w:r>
      <w:r w:rsidR="003463FD">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M</w:t>
      </w:r>
      <w:r w:rsidR="003463FD">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 xml:space="preserve"> nr. 161</w:t>
      </w:r>
      <w:r w:rsidR="003463FD">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24.07.2024 și Hotărârea Plenului C</w:t>
      </w:r>
      <w:r w:rsidR="003463FD">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S</w:t>
      </w:r>
      <w:r w:rsidR="003463FD">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M</w:t>
      </w:r>
      <w:r w:rsidR="003463FD">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 xml:space="preserve"> nr. 178</w:t>
      </w:r>
      <w:r w:rsidR="003463FD">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 xml:space="preserve">24.09.2024. </w:t>
      </w:r>
    </w:p>
    <w:p w14:paraId="1D2204D2" w14:textId="111E9E1D" w:rsidR="00021845" w:rsidRPr="001862D3" w:rsidRDefault="00021845" w:rsidP="009E3AD8">
      <w:pPr>
        <w:keepNext/>
        <w:keepLines/>
        <w:shd w:val="clear" w:color="auto" w:fill="FFFFFF" w:themeFill="background1"/>
        <w:spacing w:line="276" w:lineRule="auto"/>
        <w:ind w:right="45" w:firstLine="720"/>
        <w:jc w:val="both"/>
        <w:rPr>
          <w:rFonts w:asciiTheme="minorHAnsi" w:hAnsiTheme="minorHAnsi" w:cstheme="minorHAnsi"/>
          <w:color w:val="000000" w:themeColor="text1"/>
          <w:sz w:val="26"/>
          <w:szCs w:val="26"/>
        </w:rPr>
      </w:pPr>
      <w:r w:rsidRPr="001862D3">
        <w:rPr>
          <w:rFonts w:asciiTheme="minorHAnsi" w:hAnsiTheme="minorHAnsi" w:cstheme="minorHAnsi"/>
          <w:color w:val="000000" w:themeColor="text1"/>
          <w:sz w:val="26"/>
          <w:szCs w:val="26"/>
        </w:rPr>
        <w:t>La momentul raportării, I</w:t>
      </w:r>
      <w:r w:rsidR="003463FD">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N</w:t>
      </w:r>
      <w:r w:rsidR="003463FD">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M</w:t>
      </w:r>
      <w:r w:rsidR="003463FD">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 xml:space="preserve"> realizează formarea unui număr total de 551 de auditori de justiție, din</w:t>
      </w:r>
      <w:r w:rsidR="00C460C7">
        <w:rPr>
          <w:rFonts w:asciiTheme="minorHAnsi" w:hAnsiTheme="minorHAnsi" w:cstheme="minorHAnsi"/>
          <w:color w:val="000000" w:themeColor="text1"/>
          <w:sz w:val="26"/>
          <w:szCs w:val="26"/>
        </w:rPr>
        <w:t>tre</w:t>
      </w:r>
      <w:r w:rsidRPr="001862D3">
        <w:rPr>
          <w:rFonts w:asciiTheme="minorHAnsi" w:hAnsiTheme="minorHAnsi" w:cstheme="minorHAnsi"/>
          <w:color w:val="000000" w:themeColor="text1"/>
          <w:sz w:val="26"/>
          <w:szCs w:val="26"/>
        </w:rPr>
        <w:t xml:space="preserve"> care 249 în anul I și 302 în anul al II-lea.</w:t>
      </w:r>
    </w:p>
    <w:p w14:paraId="026626B0" w14:textId="48178B0A" w:rsidR="00021845" w:rsidRPr="001862D3" w:rsidRDefault="00021845" w:rsidP="009E3AD8">
      <w:pPr>
        <w:spacing w:line="276" w:lineRule="auto"/>
        <w:ind w:firstLine="708"/>
        <w:jc w:val="both"/>
        <w:rPr>
          <w:rFonts w:asciiTheme="minorHAnsi" w:hAnsiTheme="minorHAnsi" w:cstheme="minorHAnsi"/>
          <w:bCs/>
          <w:color w:val="000000" w:themeColor="text1"/>
          <w:sz w:val="26"/>
          <w:szCs w:val="26"/>
        </w:rPr>
      </w:pPr>
      <w:r w:rsidRPr="001862D3">
        <w:rPr>
          <w:rFonts w:asciiTheme="minorHAnsi" w:hAnsiTheme="minorHAnsi" w:cstheme="minorHAnsi"/>
          <w:bCs/>
          <w:color w:val="000000" w:themeColor="text1"/>
          <w:sz w:val="26"/>
          <w:szCs w:val="26"/>
        </w:rPr>
        <w:t>Programele de formare</w:t>
      </w:r>
      <w:r w:rsidRPr="001862D3">
        <w:rPr>
          <w:rFonts w:asciiTheme="minorHAnsi" w:hAnsiTheme="minorHAnsi" w:cstheme="minorHAnsi"/>
          <w:b/>
          <w:color w:val="000000" w:themeColor="text1"/>
          <w:sz w:val="26"/>
          <w:szCs w:val="26"/>
        </w:rPr>
        <w:t xml:space="preserve"> </w:t>
      </w:r>
      <w:r w:rsidRPr="001862D3">
        <w:rPr>
          <w:rFonts w:asciiTheme="minorHAnsi" w:hAnsiTheme="minorHAnsi" w:cstheme="minorHAnsi"/>
          <w:bCs/>
          <w:color w:val="000000" w:themeColor="text1"/>
          <w:sz w:val="26"/>
          <w:szCs w:val="26"/>
        </w:rPr>
        <w:t>pentru</w:t>
      </w:r>
      <w:r w:rsidRPr="001862D3">
        <w:rPr>
          <w:rFonts w:asciiTheme="minorHAnsi" w:hAnsiTheme="minorHAnsi" w:cstheme="minorHAnsi"/>
          <w:b/>
          <w:color w:val="000000" w:themeColor="text1"/>
          <w:sz w:val="26"/>
          <w:szCs w:val="26"/>
        </w:rPr>
        <w:t xml:space="preserve"> </w:t>
      </w:r>
      <w:r w:rsidRPr="001862D3">
        <w:rPr>
          <w:rFonts w:asciiTheme="minorHAnsi" w:hAnsiTheme="minorHAnsi" w:cstheme="minorHAnsi"/>
          <w:bCs/>
          <w:color w:val="000000" w:themeColor="text1"/>
          <w:sz w:val="26"/>
          <w:szCs w:val="26"/>
        </w:rPr>
        <w:t xml:space="preserve">promoțiile 2024 – 2026 și 2025 – 2027 au fost configurate, sub aspectul structurii și al conținutului, pentru a asigura o formare cuprinzătoare și practică pe parcursul anilor de studiu, astfel încât să corespundă dispozițiilor art. 26 alin. (3) din </w:t>
      </w:r>
      <w:r w:rsidRPr="00C460C7">
        <w:rPr>
          <w:rFonts w:asciiTheme="minorHAnsi" w:hAnsiTheme="minorHAnsi" w:cstheme="minorHAnsi"/>
          <w:bCs/>
          <w:color w:val="000000" w:themeColor="text1"/>
          <w:sz w:val="26"/>
          <w:szCs w:val="26"/>
        </w:rPr>
        <w:t>Legea nr.</w:t>
      </w:r>
      <w:r w:rsidR="00C460C7">
        <w:rPr>
          <w:rFonts w:asciiTheme="minorHAnsi" w:hAnsiTheme="minorHAnsi" w:cstheme="minorHAnsi"/>
          <w:bCs/>
          <w:color w:val="000000" w:themeColor="text1"/>
          <w:sz w:val="26"/>
          <w:szCs w:val="26"/>
        </w:rPr>
        <w:t xml:space="preserve"> </w:t>
      </w:r>
      <w:r w:rsidRPr="00C460C7">
        <w:rPr>
          <w:rFonts w:asciiTheme="minorHAnsi" w:hAnsiTheme="minorHAnsi" w:cstheme="minorHAnsi"/>
          <w:bCs/>
          <w:color w:val="000000" w:themeColor="text1"/>
          <w:sz w:val="26"/>
          <w:szCs w:val="26"/>
        </w:rPr>
        <w:t>303/2022 privind statutul judecătorilor și procurorilor</w:t>
      </w:r>
      <w:r w:rsidRPr="001862D3">
        <w:rPr>
          <w:rFonts w:asciiTheme="minorHAnsi" w:hAnsiTheme="minorHAnsi" w:cstheme="minorHAnsi"/>
          <w:bCs/>
          <w:color w:val="000000" w:themeColor="text1"/>
          <w:sz w:val="26"/>
          <w:szCs w:val="26"/>
        </w:rPr>
        <w:t xml:space="preserve">, respectiv dispozițiilor din </w:t>
      </w:r>
      <w:r w:rsidRPr="00C460C7">
        <w:rPr>
          <w:rFonts w:asciiTheme="minorHAnsi" w:hAnsiTheme="minorHAnsi" w:cstheme="minorHAnsi"/>
          <w:bCs/>
          <w:color w:val="000000" w:themeColor="text1"/>
          <w:sz w:val="26"/>
          <w:szCs w:val="26"/>
        </w:rPr>
        <w:t>O</w:t>
      </w:r>
      <w:r w:rsidR="00D3410C">
        <w:rPr>
          <w:rFonts w:asciiTheme="minorHAnsi" w:hAnsiTheme="minorHAnsi" w:cstheme="minorHAnsi"/>
          <w:bCs/>
          <w:color w:val="000000" w:themeColor="text1"/>
          <w:sz w:val="26"/>
          <w:szCs w:val="26"/>
        </w:rPr>
        <w:t xml:space="preserve">.U.G. </w:t>
      </w:r>
      <w:r w:rsidRPr="00C460C7">
        <w:rPr>
          <w:rFonts w:asciiTheme="minorHAnsi" w:hAnsiTheme="minorHAnsi" w:cstheme="minorHAnsi"/>
          <w:bCs/>
          <w:color w:val="000000" w:themeColor="text1"/>
          <w:sz w:val="26"/>
          <w:szCs w:val="26"/>
        </w:rPr>
        <w:t>nr. 146/2024 pentru instituirea unei măsuri temporare privind durata cursurilor de formare iniţială în cadrul I</w:t>
      </w:r>
      <w:r w:rsidR="00C460C7">
        <w:rPr>
          <w:rFonts w:asciiTheme="minorHAnsi" w:hAnsiTheme="minorHAnsi" w:cstheme="minorHAnsi"/>
          <w:bCs/>
          <w:color w:val="000000" w:themeColor="text1"/>
          <w:sz w:val="26"/>
          <w:szCs w:val="26"/>
        </w:rPr>
        <w:t>.N.M.</w:t>
      </w:r>
      <w:r w:rsidRPr="001862D3">
        <w:rPr>
          <w:rFonts w:asciiTheme="minorHAnsi" w:hAnsiTheme="minorHAnsi" w:cstheme="minorHAnsi"/>
          <w:bCs/>
          <w:i/>
          <w:iCs/>
          <w:color w:val="000000" w:themeColor="text1"/>
          <w:sz w:val="26"/>
          <w:szCs w:val="26"/>
        </w:rPr>
        <w:t xml:space="preserve">, </w:t>
      </w:r>
      <w:r w:rsidRPr="001862D3">
        <w:rPr>
          <w:rFonts w:asciiTheme="minorHAnsi" w:hAnsiTheme="minorHAnsi" w:cstheme="minorHAnsi"/>
          <w:bCs/>
          <w:color w:val="000000" w:themeColor="text1"/>
          <w:sz w:val="26"/>
          <w:szCs w:val="26"/>
        </w:rPr>
        <w:t>referitoare la necesitatea efectuării unui stagiu de practică având o durată de minim 3 luni în primul an și de minim 6 luni în al doilea an.</w:t>
      </w:r>
    </w:p>
    <w:p w14:paraId="23E6E29D" w14:textId="14F8239D" w:rsidR="00021845" w:rsidRPr="001862D3" w:rsidRDefault="00021845" w:rsidP="009E3AD8">
      <w:pPr>
        <w:shd w:val="clear" w:color="auto" w:fill="FFFFFF" w:themeFill="background1"/>
        <w:spacing w:line="276" w:lineRule="auto"/>
        <w:ind w:right="43" w:firstLine="709"/>
        <w:jc w:val="both"/>
        <w:rPr>
          <w:rFonts w:asciiTheme="minorHAnsi" w:hAnsiTheme="minorHAnsi" w:cstheme="minorHAnsi"/>
          <w:bCs/>
          <w:color w:val="000000" w:themeColor="text1"/>
          <w:sz w:val="26"/>
          <w:szCs w:val="26"/>
        </w:rPr>
      </w:pPr>
      <w:r w:rsidRPr="001862D3">
        <w:rPr>
          <w:rFonts w:asciiTheme="minorHAnsi" w:hAnsiTheme="minorHAnsi" w:cstheme="minorHAnsi"/>
          <w:bCs/>
          <w:color w:val="000000" w:themeColor="text1"/>
          <w:sz w:val="26"/>
          <w:szCs w:val="26"/>
        </w:rPr>
        <w:t xml:space="preserve">În privința celor două promoții sus-menționate sunt aplicabile dispozițiile art. 283 din </w:t>
      </w:r>
      <w:r w:rsidRPr="00C460C7">
        <w:rPr>
          <w:rFonts w:asciiTheme="minorHAnsi" w:hAnsiTheme="minorHAnsi" w:cstheme="minorHAnsi"/>
          <w:bCs/>
          <w:color w:val="000000" w:themeColor="text1"/>
          <w:sz w:val="26"/>
          <w:szCs w:val="26"/>
        </w:rPr>
        <w:t>Legea nr.</w:t>
      </w:r>
      <w:r w:rsidR="00E95F73" w:rsidRPr="00C460C7">
        <w:rPr>
          <w:rFonts w:asciiTheme="minorHAnsi" w:hAnsiTheme="minorHAnsi" w:cstheme="minorHAnsi"/>
          <w:bCs/>
          <w:color w:val="000000" w:themeColor="text1"/>
          <w:sz w:val="26"/>
          <w:szCs w:val="26"/>
        </w:rPr>
        <w:t xml:space="preserve"> </w:t>
      </w:r>
      <w:r w:rsidRPr="00C460C7">
        <w:rPr>
          <w:rFonts w:asciiTheme="minorHAnsi" w:hAnsiTheme="minorHAnsi" w:cstheme="minorHAnsi"/>
          <w:bCs/>
          <w:color w:val="000000" w:themeColor="text1"/>
          <w:sz w:val="26"/>
          <w:szCs w:val="26"/>
        </w:rPr>
        <w:t>303/2022 privind statutul judecătorilor și procurorilor</w:t>
      </w:r>
      <w:r w:rsidR="00C460C7">
        <w:rPr>
          <w:rFonts w:asciiTheme="minorHAnsi" w:hAnsiTheme="minorHAnsi" w:cstheme="minorHAnsi"/>
          <w:bCs/>
          <w:color w:val="000000" w:themeColor="text1"/>
          <w:sz w:val="26"/>
          <w:szCs w:val="26"/>
        </w:rPr>
        <w:t xml:space="preserve"> şi ale O.U.G. nr. 146/2024 </w:t>
      </w:r>
      <w:r w:rsidRPr="001862D3">
        <w:rPr>
          <w:rFonts w:asciiTheme="minorHAnsi" w:hAnsiTheme="minorHAnsi" w:cstheme="minorHAnsi"/>
          <w:bCs/>
          <w:color w:val="000000" w:themeColor="text1"/>
          <w:sz w:val="26"/>
          <w:szCs w:val="26"/>
        </w:rPr>
        <w:t>potrivit cărora durata cursurilor de formare profesională este de 2 ani.  În aplicarea acestora, auditorii de justiție admiși în urma concursurilor organizate în perioadele iulie 2023 – martie 2024, respectiv iulie 2024 – aprilie 2025, vor formula opțiunea pentru profesia de judecător sau procuror după absolvirea I</w:t>
      </w:r>
      <w:r w:rsidR="008E5215">
        <w:rPr>
          <w:rFonts w:asciiTheme="minorHAnsi" w:hAnsiTheme="minorHAnsi" w:cstheme="minorHAnsi"/>
          <w:bCs/>
          <w:color w:val="000000" w:themeColor="text1"/>
          <w:sz w:val="26"/>
          <w:szCs w:val="26"/>
        </w:rPr>
        <w:t>.</w:t>
      </w:r>
      <w:r w:rsidRPr="001862D3">
        <w:rPr>
          <w:rFonts w:asciiTheme="minorHAnsi" w:hAnsiTheme="minorHAnsi" w:cstheme="minorHAnsi"/>
          <w:bCs/>
          <w:color w:val="000000" w:themeColor="text1"/>
          <w:sz w:val="26"/>
          <w:szCs w:val="26"/>
        </w:rPr>
        <w:t>N</w:t>
      </w:r>
      <w:r w:rsidR="008E5215">
        <w:rPr>
          <w:rFonts w:asciiTheme="minorHAnsi" w:hAnsiTheme="minorHAnsi" w:cstheme="minorHAnsi"/>
          <w:bCs/>
          <w:color w:val="000000" w:themeColor="text1"/>
          <w:sz w:val="26"/>
          <w:szCs w:val="26"/>
        </w:rPr>
        <w:t>.</w:t>
      </w:r>
      <w:r w:rsidRPr="001862D3">
        <w:rPr>
          <w:rFonts w:asciiTheme="minorHAnsi" w:hAnsiTheme="minorHAnsi" w:cstheme="minorHAnsi"/>
          <w:bCs/>
          <w:color w:val="000000" w:themeColor="text1"/>
          <w:sz w:val="26"/>
          <w:szCs w:val="26"/>
        </w:rPr>
        <w:t>M</w:t>
      </w:r>
      <w:r w:rsidR="008E5215">
        <w:rPr>
          <w:rFonts w:asciiTheme="minorHAnsi" w:hAnsiTheme="minorHAnsi" w:cstheme="minorHAnsi"/>
          <w:bCs/>
          <w:color w:val="000000" w:themeColor="text1"/>
          <w:sz w:val="26"/>
          <w:szCs w:val="26"/>
        </w:rPr>
        <w:t>.</w:t>
      </w:r>
      <w:r w:rsidRPr="001862D3">
        <w:rPr>
          <w:rFonts w:asciiTheme="minorHAnsi" w:hAnsiTheme="minorHAnsi" w:cstheme="minorHAnsi"/>
          <w:bCs/>
          <w:color w:val="000000" w:themeColor="text1"/>
          <w:sz w:val="26"/>
          <w:szCs w:val="26"/>
        </w:rPr>
        <w:t xml:space="preserve">, beneficiind, prin urmare, pe parcursul celor 2 ani, de o formare comună. </w:t>
      </w:r>
    </w:p>
    <w:p w14:paraId="6B906F1C" w14:textId="77777777" w:rsidR="00021845" w:rsidRPr="001862D3" w:rsidRDefault="00021845" w:rsidP="009E3AD8">
      <w:pPr>
        <w:shd w:val="clear" w:color="auto" w:fill="FFFFFF" w:themeFill="background1"/>
        <w:spacing w:line="276" w:lineRule="auto"/>
        <w:ind w:right="43" w:firstLine="709"/>
        <w:jc w:val="both"/>
        <w:rPr>
          <w:rFonts w:asciiTheme="minorHAnsi" w:hAnsiTheme="minorHAnsi" w:cstheme="minorHAnsi"/>
          <w:bCs/>
          <w:color w:val="000000" w:themeColor="text1"/>
          <w:sz w:val="26"/>
          <w:szCs w:val="26"/>
        </w:rPr>
      </w:pPr>
      <w:r w:rsidRPr="001862D3">
        <w:rPr>
          <w:rFonts w:asciiTheme="minorHAnsi" w:hAnsiTheme="minorHAnsi" w:cstheme="minorHAnsi"/>
          <w:bCs/>
          <w:color w:val="000000" w:themeColor="text1"/>
          <w:sz w:val="26"/>
          <w:szCs w:val="26"/>
        </w:rPr>
        <w:t>În consecință, structura, conținutul și calendarul programelor de formare au avut în vedere dispozițiile sus-menționate.</w:t>
      </w:r>
    </w:p>
    <w:p w14:paraId="1F03805B" w14:textId="7F450D64" w:rsidR="00021845" w:rsidRPr="001862D3" w:rsidRDefault="00021845" w:rsidP="009E3AD8">
      <w:pPr>
        <w:shd w:val="clear" w:color="auto" w:fill="FFFFFF" w:themeFill="background1"/>
        <w:spacing w:line="276" w:lineRule="auto"/>
        <w:ind w:right="43" w:firstLine="709"/>
        <w:jc w:val="both"/>
        <w:rPr>
          <w:rFonts w:asciiTheme="minorHAnsi" w:hAnsiTheme="minorHAnsi" w:cstheme="minorHAnsi"/>
          <w:bCs/>
          <w:color w:val="000000" w:themeColor="text1"/>
          <w:sz w:val="26"/>
          <w:szCs w:val="26"/>
        </w:rPr>
      </w:pPr>
      <w:r w:rsidRPr="001862D3">
        <w:rPr>
          <w:rFonts w:asciiTheme="minorHAnsi" w:hAnsiTheme="minorHAnsi" w:cstheme="minorHAnsi"/>
          <w:bCs/>
          <w:color w:val="000000" w:themeColor="text1"/>
          <w:sz w:val="26"/>
          <w:szCs w:val="26"/>
        </w:rPr>
        <w:t>Activitatea auditorilor de justiție este în continuare centrată pe aprofundarea cunoștințelor de drept, prin aplicații practice și pe dezvoltarea abilităților specifice profesiilor de judecător și procuror, conform programelor de studiu. În programul de formare inițială sunt incluse nu numai discipline juridice, dar și discipline și alte activități care vizează dezvoltarea de abilități non juridice, necesare exercitării corespunzătoare a profesiei de judecător</w:t>
      </w:r>
      <w:r w:rsidR="00DB4F51">
        <w:rPr>
          <w:rFonts w:asciiTheme="minorHAnsi" w:hAnsiTheme="minorHAnsi" w:cstheme="minorHAnsi"/>
          <w:bCs/>
          <w:color w:val="000000" w:themeColor="text1"/>
          <w:sz w:val="26"/>
          <w:szCs w:val="26"/>
        </w:rPr>
        <w:t xml:space="preserve"> şi </w:t>
      </w:r>
      <w:r w:rsidRPr="001862D3">
        <w:rPr>
          <w:rFonts w:asciiTheme="minorHAnsi" w:hAnsiTheme="minorHAnsi" w:cstheme="minorHAnsi"/>
          <w:bCs/>
          <w:color w:val="000000" w:themeColor="text1"/>
          <w:sz w:val="26"/>
          <w:szCs w:val="26"/>
        </w:rPr>
        <w:t xml:space="preserve">procuror. </w:t>
      </w:r>
    </w:p>
    <w:p w14:paraId="4298D8E4" w14:textId="4D7EFFC6" w:rsidR="00021845" w:rsidRPr="00DB4F51" w:rsidRDefault="00021845" w:rsidP="0092714E">
      <w:pPr>
        <w:autoSpaceDE w:val="0"/>
        <w:autoSpaceDN w:val="0"/>
        <w:adjustRightInd w:val="0"/>
        <w:spacing w:line="276" w:lineRule="auto"/>
        <w:ind w:firstLine="708"/>
        <w:jc w:val="both"/>
        <w:rPr>
          <w:rFonts w:asciiTheme="minorHAnsi" w:eastAsia="Calibri" w:hAnsiTheme="minorHAnsi" w:cstheme="minorHAnsi"/>
          <w:color w:val="000000" w:themeColor="text1"/>
          <w:sz w:val="26"/>
          <w:szCs w:val="26"/>
        </w:rPr>
      </w:pPr>
      <w:r w:rsidRPr="00DB4F51">
        <w:rPr>
          <w:rFonts w:asciiTheme="minorHAnsi" w:eastAsia="Calibri" w:hAnsiTheme="minorHAnsi" w:cstheme="minorHAnsi"/>
          <w:color w:val="000000" w:themeColor="text1"/>
          <w:sz w:val="26"/>
          <w:szCs w:val="26"/>
        </w:rPr>
        <w:t>Programul de formare inițială aferent anului I 2025 – 2026 (promoția 2025 – 2027) urmărește, în mare, structura și calendarul anului de formare anterior, cu următoarele elemente de noutate</w:t>
      </w:r>
      <w:r w:rsidR="0092714E">
        <w:rPr>
          <w:rFonts w:asciiTheme="minorHAnsi" w:eastAsia="Calibri" w:hAnsiTheme="minorHAnsi" w:cstheme="minorHAnsi"/>
          <w:color w:val="000000" w:themeColor="text1"/>
          <w:sz w:val="26"/>
          <w:szCs w:val="26"/>
        </w:rPr>
        <w:t xml:space="preserve"> î</w:t>
      </w:r>
      <w:r w:rsidRPr="00DB4F51">
        <w:rPr>
          <w:rFonts w:asciiTheme="minorHAnsi" w:eastAsia="Calibri" w:hAnsiTheme="minorHAnsi" w:cstheme="minorHAnsi"/>
          <w:color w:val="000000" w:themeColor="text1"/>
          <w:sz w:val="26"/>
          <w:szCs w:val="26"/>
        </w:rPr>
        <w:t>n ceea ce privește conținutul și metodologia de formare:</w:t>
      </w:r>
    </w:p>
    <w:p w14:paraId="7CC57459" w14:textId="77777777" w:rsidR="00021845" w:rsidRPr="001862D3" w:rsidRDefault="00021845" w:rsidP="00281400">
      <w:pPr>
        <w:numPr>
          <w:ilvl w:val="0"/>
          <w:numId w:val="26"/>
        </w:numPr>
        <w:spacing w:after="160" w:line="276" w:lineRule="auto"/>
        <w:contextualSpacing/>
        <w:jc w:val="both"/>
        <w:rPr>
          <w:rFonts w:asciiTheme="minorHAnsi" w:eastAsia="Aptos" w:hAnsiTheme="minorHAnsi" w:cstheme="minorHAnsi"/>
          <w:color w:val="000000" w:themeColor="text1"/>
          <w:kern w:val="2"/>
          <w:sz w:val="26"/>
          <w:szCs w:val="26"/>
          <w14:ligatures w14:val="standardContextual"/>
        </w:rPr>
      </w:pPr>
      <w:r w:rsidRPr="001862D3">
        <w:rPr>
          <w:rFonts w:asciiTheme="minorHAnsi" w:eastAsia="Aptos" w:hAnsiTheme="minorHAnsi" w:cstheme="minorHAnsi"/>
          <w:color w:val="000000" w:themeColor="text1"/>
          <w:kern w:val="2"/>
          <w:sz w:val="26"/>
          <w:szCs w:val="26"/>
          <w14:ligatures w14:val="standardContextual"/>
        </w:rPr>
        <w:t>includerea unui modul de discipline opționale, menit să asigure dezvoltarea de abilități necesare exercitării profesiei;</w:t>
      </w:r>
    </w:p>
    <w:p w14:paraId="3E0D6C26" w14:textId="77777777" w:rsidR="00021845" w:rsidRPr="001862D3" w:rsidRDefault="00021845" w:rsidP="00281400">
      <w:pPr>
        <w:numPr>
          <w:ilvl w:val="0"/>
          <w:numId w:val="26"/>
        </w:numPr>
        <w:spacing w:after="160" w:line="276" w:lineRule="auto"/>
        <w:contextualSpacing/>
        <w:jc w:val="both"/>
        <w:rPr>
          <w:rFonts w:asciiTheme="minorHAnsi" w:eastAsia="Aptos" w:hAnsiTheme="minorHAnsi" w:cstheme="minorHAnsi"/>
          <w:color w:val="000000" w:themeColor="text1"/>
          <w:kern w:val="2"/>
          <w:sz w:val="26"/>
          <w:szCs w:val="26"/>
          <w14:ligatures w14:val="standardContextual"/>
        </w:rPr>
      </w:pPr>
      <w:r w:rsidRPr="001862D3">
        <w:rPr>
          <w:rFonts w:asciiTheme="minorHAnsi" w:eastAsia="Aptos" w:hAnsiTheme="minorHAnsi" w:cstheme="minorHAnsi"/>
          <w:color w:val="000000" w:themeColor="text1"/>
          <w:kern w:val="2"/>
          <w:sz w:val="26"/>
          <w:szCs w:val="26"/>
          <w14:ligatures w14:val="standardContextual"/>
        </w:rPr>
        <w:t xml:space="preserve">includerea Comunicării ca disciplină distinctă, cu un număr de ore de formare dublu faţă de numărul de ore alocat în anul precedent în cadrul disciplinei </w:t>
      </w:r>
      <w:bookmarkStart w:id="91" w:name="_Hlk210999513"/>
      <w:r w:rsidRPr="001862D3">
        <w:rPr>
          <w:rFonts w:asciiTheme="minorHAnsi" w:eastAsia="Aptos" w:hAnsiTheme="minorHAnsi" w:cstheme="minorHAnsi"/>
          <w:color w:val="000000" w:themeColor="text1"/>
          <w:kern w:val="2"/>
          <w:sz w:val="26"/>
          <w:szCs w:val="26"/>
          <w14:ligatures w14:val="standardContextual"/>
        </w:rPr>
        <w:t>Etică și conduită profesională</w:t>
      </w:r>
      <w:bookmarkEnd w:id="91"/>
      <w:r w:rsidRPr="001862D3">
        <w:rPr>
          <w:rFonts w:asciiTheme="minorHAnsi" w:eastAsia="Aptos" w:hAnsiTheme="minorHAnsi" w:cstheme="minorHAnsi"/>
          <w:color w:val="000000" w:themeColor="text1"/>
          <w:kern w:val="2"/>
          <w:sz w:val="26"/>
          <w:szCs w:val="26"/>
          <w14:ligatures w14:val="standardContextual"/>
        </w:rPr>
        <w:t>;</w:t>
      </w:r>
    </w:p>
    <w:p w14:paraId="23FAC459" w14:textId="299433E0" w:rsidR="00021845" w:rsidRPr="001862D3" w:rsidRDefault="00021845" w:rsidP="00281400">
      <w:pPr>
        <w:numPr>
          <w:ilvl w:val="0"/>
          <w:numId w:val="26"/>
        </w:numPr>
        <w:spacing w:after="160" w:line="276" w:lineRule="auto"/>
        <w:contextualSpacing/>
        <w:jc w:val="both"/>
        <w:rPr>
          <w:rFonts w:asciiTheme="minorHAnsi" w:eastAsia="Aptos" w:hAnsiTheme="minorHAnsi" w:cstheme="minorHAnsi"/>
          <w:color w:val="000000" w:themeColor="text1"/>
          <w:kern w:val="2"/>
          <w:sz w:val="26"/>
          <w:szCs w:val="26"/>
          <w14:ligatures w14:val="standardContextual"/>
        </w:rPr>
      </w:pPr>
      <w:r w:rsidRPr="001862D3">
        <w:rPr>
          <w:rFonts w:asciiTheme="minorHAnsi" w:eastAsia="Aptos" w:hAnsiTheme="minorHAnsi" w:cstheme="minorHAnsi"/>
          <w:color w:val="000000" w:themeColor="text1"/>
          <w:kern w:val="2"/>
          <w:sz w:val="26"/>
          <w:szCs w:val="26"/>
          <w14:ligatures w14:val="standardContextual"/>
        </w:rPr>
        <w:t xml:space="preserve">regândirea formatului proceselor simulate prin implicarea, alături de formatorii disciplinelor fundamentale și a celor de specialitate, a formatorilor din cadrul catedrelor </w:t>
      </w:r>
      <w:r w:rsidRPr="001862D3">
        <w:rPr>
          <w:rFonts w:asciiTheme="minorHAnsi" w:eastAsia="Aptos" w:hAnsiTheme="minorHAnsi" w:cstheme="minorHAnsi"/>
          <w:color w:val="000000" w:themeColor="text1"/>
          <w:kern w:val="2"/>
          <w:sz w:val="26"/>
          <w:szCs w:val="26"/>
          <w14:ligatures w14:val="standardContextual"/>
        </w:rPr>
        <w:lastRenderedPageBreak/>
        <w:t>C</w:t>
      </w:r>
      <w:r w:rsidR="008E5215">
        <w:rPr>
          <w:rFonts w:asciiTheme="minorHAnsi" w:eastAsia="Aptos" w:hAnsiTheme="minorHAnsi" w:cstheme="minorHAnsi"/>
          <w:color w:val="000000" w:themeColor="text1"/>
          <w:kern w:val="2"/>
          <w:sz w:val="26"/>
          <w:szCs w:val="26"/>
          <w14:ligatures w14:val="standardContextual"/>
        </w:rPr>
        <w:t>.</w:t>
      </w:r>
      <w:r w:rsidRPr="001862D3">
        <w:rPr>
          <w:rFonts w:asciiTheme="minorHAnsi" w:eastAsia="Aptos" w:hAnsiTheme="minorHAnsi" w:cstheme="minorHAnsi"/>
          <w:color w:val="000000" w:themeColor="text1"/>
          <w:kern w:val="2"/>
          <w:sz w:val="26"/>
          <w:szCs w:val="26"/>
          <w14:ligatures w14:val="standardContextual"/>
        </w:rPr>
        <w:t>E</w:t>
      </w:r>
      <w:r w:rsidR="008E5215">
        <w:rPr>
          <w:rFonts w:asciiTheme="minorHAnsi" w:eastAsia="Aptos" w:hAnsiTheme="minorHAnsi" w:cstheme="minorHAnsi"/>
          <w:color w:val="000000" w:themeColor="text1"/>
          <w:kern w:val="2"/>
          <w:sz w:val="26"/>
          <w:szCs w:val="26"/>
          <w14:ligatures w14:val="standardContextual"/>
        </w:rPr>
        <w:t>.</w:t>
      </w:r>
      <w:r w:rsidRPr="001862D3">
        <w:rPr>
          <w:rFonts w:asciiTheme="minorHAnsi" w:eastAsia="Aptos" w:hAnsiTheme="minorHAnsi" w:cstheme="minorHAnsi"/>
          <w:color w:val="000000" w:themeColor="text1"/>
          <w:kern w:val="2"/>
          <w:sz w:val="26"/>
          <w:szCs w:val="26"/>
          <w14:ligatures w14:val="standardContextual"/>
        </w:rPr>
        <w:t>D</w:t>
      </w:r>
      <w:r w:rsidR="008E5215">
        <w:rPr>
          <w:rFonts w:asciiTheme="minorHAnsi" w:eastAsia="Aptos" w:hAnsiTheme="minorHAnsi" w:cstheme="minorHAnsi"/>
          <w:color w:val="000000" w:themeColor="text1"/>
          <w:kern w:val="2"/>
          <w:sz w:val="26"/>
          <w:szCs w:val="26"/>
          <w14:ligatures w14:val="standardContextual"/>
        </w:rPr>
        <w:t>.</w:t>
      </w:r>
      <w:r w:rsidRPr="001862D3">
        <w:rPr>
          <w:rFonts w:asciiTheme="minorHAnsi" w:eastAsia="Aptos" w:hAnsiTheme="minorHAnsi" w:cstheme="minorHAnsi"/>
          <w:color w:val="000000" w:themeColor="text1"/>
          <w:kern w:val="2"/>
          <w:sz w:val="26"/>
          <w:szCs w:val="26"/>
          <w14:ligatures w14:val="standardContextual"/>
        </w:rPr>
        <w:t>O</w:t>
      </w:r>
      <w:r w:rsidR="008E5215">
        <w:rPr>
          <w:rFonts w:asciiTheme="minorHAnsi" w:eastAsia="Aptos" w:hAnsiTheme="minorHAnsi" w:cstheme="minorHAnsi"/>
          <w:color w:val="000000" w:themeColor="text1"/>
          <w:kern w:val="2"/>
          <w:sz w:val="26"/>
          <w:szCs w:val="26"/>
          <w14:ligatures w14:val="standardContextual"/>
        </w:rPr>
        <w:t>.</w:t>
      </w:r>
      <w:r w:rsidRPr="001862D3">
        <w:rPr>
          <w:rFonts w:asciiTheme="minorHAnsi" w:eastAsia="Aptos" w:hAnsiTheme="minorHAnsi" w:cstheme="minorHAnsi"/>
          <w:color w:val="000000" w:themeColor="text1"/>
          <w:kern w:val="2"/>
          <w:sz w:val="26"/>
          <w:szCs w:val="26"/>
          <w14:ligatures w14:val="standardContextual"/>
        </w:rPr>
        <w:t xml:space="preserve"> și Dreptul U</w:t>
      </w:r>
      <w:r w:rsidR="008E5215">
        <w:rPr>
          <w:rFonts w:asciiTheme="minorHAnsi" w:eastAsia="Aptos" w:hAnsiTheme="minorHAnsi" w:cstheme="minorHAnsi"/>
          <w:color w:val="000000" w:themeColor="text1"/>
          <w:kern w:val="2"/>
          <w:sz w:val="26"/>
          <w:szCs w:val="26"/>
          <w14:ligatures w14:val="standardContextual"/>
        </w:rPr>
        <w:t>.</w:t>
      </w:r>
      <w:r w:rsidRPr="001862D3">
        <w:rPr>
          <w:rFonts w:asciiTheme="minorHAnsi" w:eastAsia="Aptos" w:hAnsiTheme="minorHAnsi" w:cstheme="minorHAnsi"/>
          <w:color w:val="000000" w:themeColor="text1"/>
          <w:kern w:val="2"/>
          <w:sz w:val="26"/>
          <w:szCs w:val="26"/>
          <w14:ligatures w14:val="standardContextual"/>
        </w:rPr>
        <w:t>E</w:t>
      </w:r>
      <w:r w:rsidR="008E5215">
        <w:rPr>
          <w:rFonts w:asciiTheme="minorHAnsi" w:eastAsia="Aptos" w:hAnsiTheme="minorHAnsi" w:cstheme="minorHAnsi"/>
          <w:color w:val="000000" w:themeColor="text1"/>
          <w:kern w:val="2"/>
          <w:sz w:val="26"/>
          <w:szCs w:val="26"/>
          <w14:ligatures w14:val="standardContextual"/>
        </w:rPr>
        <w:t>.</w:t>
      </w:r>
      <w:r w:rsidRPr="001862D3">
        <w:rPr>
          <w:rFonts w:asciiTheme="minorHAnsi" w:eastAsia="Aptos" w:hAnsiTheme="minorHAnsi" w:cstheme="minorHAnsi"/>
          <w:color w:val="000000" w:themeColor="text1"/>
          <w:kern w:val="2"/>
          <w:sz w:val="26"/>
          <w:szCs w:val="26"/>
          <w14:ligatures w14:val="standardContextual"/>
        </w:rPr>
        <w:t xml:space="preserve">, Comunicare, Etică și conduită profesională şi a </w:t>
      </w:r>
      <w:r w:rsidRPr="001862D3">
        <w:rPr>
          <w:rFonts w:asciiTheme="minorHAnsi" w:eastAsia="Calibri" w:hAnsiTheme="minorHAnsi" w:cstheme="minorHAnsi"/>
          <w:color w:val="000000" w:themeColor="text1"/>
          <w:sz w:val="26"/>
          <w:szCs w:val="26"/>
        </w:rPr>
        <w:t>Compartimentului de psihologie a personalului din cadrul I</w:t>
      </w:r>
      <w:r w:rsidR="008E5215">
        <w:rPr>
          <w:rFonts w:asciiTheme="minorHAnsi" w:eastAsia="Calibri" w:hAnsiTheme="minorHAnsi" w:cstheme="minorHAnsi"/>
          <w:color w:val="000000" w:themeColor="text1"/>
          <w:sz w:val="26"/>
          <w:szCs w:val="26"/>
        </w:rPr>
        <w:t>.</w:t>
      </w:r>
      <w:r w:rsidRPr="001862D3">
        <w:rPr>
          <w:rFonts w:asciiTheme="minorHAnsi" w:eastAsia="Calibri" w:hAnsiTheme="minorHAnsi" w:cstheme="minorHAnsi"/>
          <w:color w:val="000000" w:themeColor="text1"/>
          <w:sz w:val="26"/>
          <w:szCs w:val="26"/>
        </w:rPr>
        <w:t>N</w:t>
      </w:r>
      <w:r w:rsidR="008E5215">
        <w:rPr>
          <w:rFonts w:asciiTheme="minorHAnsi" w:eastAsia="Calibri" w:hAnsiTheme="minorHAnsi" w:cstheme="minorHAnsi"/>
          <w:color w:val="000000" w:themeColor="text1"/>
          <w:sz w:val="26"/>
          <w:szCs w:val="26"/>
        </w:rPr>
        <w:t>.</w:t>
      </w:r>
      <w:r w:rsidRPr="001862D3">
        <w:rPr>
          <w:rFonts w:asciiTheme="minorHAnsi" w:eastAsia="Calibri" w:hAnsiTheme="minorHAnsi" w:cstheme="minorHAnsi"/>
          <w:color w:val="000000" w:themeColor="text1"/>
          <w:sz w:val="26"/>
          <w:szCs w:val="26"/>
        </w:rPr>
        <w:t>M</w:t>
      </w:r>
      <w:r w:rsidR="008E5215">
        <w:rPr>
          <w:rFonts w:asciiTheme="minorHAnsi" w:eastAsia="Calibri" w:hAnsiTheme="minorHAnsi" w:cstheme="minorHAnsi"/>
          <w:color w:val="000000" w:themeColor="text1"/>
          <w:sz w:val="26"/>
          <w:szCs w:val="26"/>
        </w:rPr>
        <w:t>.</w:t>
      </w:r>
      <w:r w:rsidRPr="001862D3">
        <w:rPr>
          <w:rFonts w:asciiTheme="minorHAnsi" w:eastAsia="Aptos" w:hAnsiTheme="minorHAnsi" w:cstheme="minorHAnsi"/>
          <w:color w:val="000000" w:themeColor="text1"/>
          <w:kern w:val="2"/>
          <w:sz w:val="26"/>
          <w:szCs w:val="26"/>
          <w14:ligatures w14:val="standardContextual"/>
        </w:rPr>
        <w:t>;</w:t>
      </w:r>
    </w:p>
    <w:p w14:paraId="664B5C4D" w14:textId="47208A9E" w:rsidR="00021845" w:rsidRPr="001862D3" w:rsidRDefault="00021845" w:rsidP="00281400">
      <w:pPr>
        <w:numPr>
          <w:ilvl w:val="0"/>
          <w:numId w:val="26"/>
        </w:numPr>
        <w:spacing w:after="160" w:line="276" w:lineRule="auto"/>
        <w:contextualSpacing/>
        <w:jc w:val="both"/>
        <w:rPr>
          <w:rFonts w:asciiTheme="minorHAnsi" w:eastAsia="Aptos" w:hAnsiTheme="minorHAnsi" w:cstheme="minorHAnsi"/>
          <w:color w:val="000000" w:themeColor="text1"/>
          <w:kern w:val="2"/>
          <w:sz w:val="26"/>
          <w:szCs w:val="26"/>
          <w14:ligatures w14:val="standardContextual"/>
        </w:rPr>
      </w:pPr>
      <w:r w:rsidRPr="001862D3">
        <w:rPr>
          <w:rFonts w:asciiTheme="minorHAnsi" w:eastAsia="Calibri" w:hAnsiTheme="minorHAnsi" w:cstheme="minorHAnsi"/>
          <w:color w:val="000000" w:themeColor="text1"/>
          <w:sz w:val="26"/>
          <w:szCs w:val="26"/>
        </w:rPr>
        <w:t>evidențierea participării la activități internaționale, precum Competiția THEMIS și programul A</w:t>
      </w:r>
      <w:r w:rsidR="008A2CC8">
        <w:rPr>
          <w:rFonts w:asciiTheme="minorHAnsi" w:eastAsia="Calibri" w:hAnsiTheme="minorHAnsi" w:cstheme="minorHAnsi"/>
          <w:color w:val="000000" w:themeColor="text1"/>
          <w:sz w:val="26"/>
          <w:szCs w:val="26"/>
        </w:rPr>
        <w:t>.</w:t>
      </w:r>
      <w:r w:rsidRPr="001862D3">
        <w:rPr>
          <w:rFonts w:asciiTheme="minorHAnsi" w:eastAsia="Calibri" w:hAnsiTheme="minorHAnsi" w:cstheme="minorHAnsi"/>
          <w:color w:val="000000" w:themeColor="text1"/>
          <w:sz w:val="26"/>
          <w:szCs w:val="26"/>
        </w:rPr>
        <w:t>I</w:t>
      </w:r>
      <w:r w:rsidR="008A2CC8">
        <w:rPr>
          <w:rFonts w:asciiTheme="minorHAnsi" w:eastAsia="Calibri" w:hAnsiTheme="minorHAnsi" w:cstheme="minorHAnsi"/>
          <w:color w:val="000000" w:themeColor="text1"/>
          <w:sz w:val="26"/>
          <w:szCs w:val="26"/>
        </w:rPr>
        <w:t>.</w:t>
      </w:r>
      <w:r w:rsidRPr="001862D3">
        <w:rPr>
          <w:rFonts w:asciiTheme="minorHAnsi" w:eastAsia="Calibri" w:hAnsiTheme="minorHAnsi" w:cstheme="minorHAnsi"/>
          <w:color w:val="000000" w:themeColor="text1"/>
          <w:sz w:val="26"/>
          <w:szCs w:val="26"/>
        </w:rPr>
        <w:t>A</w:t>
      </w:r>
      <w:r w:rsidR="008A2CC8">
        <w:rPr>
          <w:rFonts w:asciiTheme="minorHAnsi" w:eastAsia="Calibri" w:hAnsiTheme="minorHAnsi" w:cstheme="minorHAnsi"/>
          <w:color w:val="000000" w:themeColor="text1"/>
          <w:sz w:val="26"/>
          <w:szCs w:val="26"/>
        </w:rPr>
        <w:t>.</w:t>
      </w:r>
      <w:r w:rsidRPr="001862D3">
        <w:rPr>
          <w:rFonts w:asciiTheme="minorHAnsi" w:eastAsia="Calibri" w:hAnsiTheme="minorHAnsi" w:cstheme="minorHAnsi"/>
          <w:color w:val="000000" w:themeColor="text1"/>
          <w:sz w:val="26"/>
          <w:szCs w:val="26"/>
        </w:rPr>
        <w:t>K</w:t>
      </w:r>
      <w:r w:rsidR="008A2CC8">
        <w:rPr>
          <w:rFonts w:asciiTheme="minorHAnsi" w:eastAsia="Calibri" w:hAnsiTheme="minorHAnsi" w:cstheme="minorHAnsi"/>
          <w:color w:val="000000" w:themeColor="text1"/>
          <w:sz w:val="26"/>
          <w:szCs w:val="26"/>
        </w:rPr>
        <w:t>.</w:t>
      </w:r>
      <w:r w:rsidRPr="001862D3">
        <w:rPr>
          <w:rFonts w:asciiTheme="minorHAnsi" w:eastAsia="Calibri" w:hAnsiTheme="minorHAnsi" w:cstheme="minorHAnsi"/>
          <w:color w:val="000000" w:themeColor="text1"/>
          <w:sz w:val="26"/>
          <w:szCs w:val="26"/>
        </w:rPr>
        <w:t>O</w:t>
      </w:r>
      <w:r w:rsidR="008A2CC8">
        <w:rPr>
          <w:rFonts w:asciiTheme="minorHAnsi" w:eastAsia="Calibri" w:hAnsiTheme="minorHAnsi" w:cstheme="minorHAnsi"/>
          <w:color w:val="000000" w:themeColor="text1"/>
          <w:sz w:val="26"/>
          <w:szCs w:val="26"/>
        </w:rPr>
        <w:t>.</w:t>
      </w:r>
      <w:r w:rsidRPr="001862D3">
        <w:rPr>
          <w:rFonts w:asciiTheme="minorHAnsi" w:eastAsia="Calibri" w:hAnsiTheme="minorHAnsi" w:cstheme="minorHAnsi"/>
          <w:color w:val="000000" w:themeColor="text1"/>
          <w:sz w:val="26"/>
          <w:szCs w:val="26"/>
        </w:rPr>
        <w:t>S</w:t>
      </w:r>
      <w:r w:rsidR="008A2CC8">
        <w:rPr>
          <w:rFonts w:asciiTheme="minorHAnsi" w:eastAsia="Calibri" w:hAnsiTheme="minorHAnsi" w:cstheme="minorHAnsi"/>
          <w:color w:val="000000" w:themeColor="text1"/>
          <w:sz w:val="26"/>
          <w:szCs w:val="26"/>
        </w:rPr>
        <w:t>.</w:t>
      </w:r>
      <w:r w:rsidRPr="001862D3">
        <w:rPr>
          <w:rFonts w:asciiTheme="minorHAnsi" w:eastAsia="Calibri" w:hAnsiTheme="minorHAnsi" w:cstheme="minorHAnsi"/>
          <w:color w:val="000000" w:themeColor="text1"/>
          <w:sz w:val="26"/>
          <w:szCs w:val="26"/>
        </w:rPr>
        <w:t>, în dosarul profesional al auditorilor de justiție, contribuind astfel la consolidarea profilului lor profesional; recunoașterea implicării în activitățile internaționale ca avantaj în cadrul selecțiilor pentru programele de tip școală de vară organizate de E</w:t>
      </w:r>
      <w:r w:rsidR="00DE0769">
        <w:rPr>
          <w:rFonts w:asciiTheme="minorHAnsi" w:eastAsia="Calibri" w:hAnsiTheme="minorHAnsi" w:cstheme="minorHAnsi"/>
          <w:color w:val="000000" w:themeColor="text1"/>
          <w:sz w:val="26"/>
          <w:szCs w:val="26"/>
        </w:rPr>
        <w:t>.</w:t>
      </w:r>
      <w:r w:rsidRPr="001862D3">
        <w:rPr>
          <w:rFonts w:asciiTheme="minorHAnsi" w:eastAsia="Calibri" w:hAnsiTheme="minorHAnsi" w:cstheme="minorHAnsi"/>
          <w:color w:val="000000" w:themeColor="text1"/>
          <w:sz w:val="26"/>
          <w:szCs w:val="26"/>
        </w:rPr>
        <w:t>J</w:t>
      </w:r>
      <w:r w:rsidR="00DE0769">
        <w:rPr>
          <w:rFonts w:asciiTheme="minorHAnsi" w:eastAsia="Calibri" w:hAnsiTheme="minorHAnsi" w:cstheme="minorHAnsi"/>
          <w:color w:val="000000" w:themeColor="text1"/>
          <w:sz w:val="26"/>
          <w:szCs w:val="26"/>
        </w:rPr>
        <w:t>.</w:t>
      </w:r>
      <w:r w:rsidRPr="001862D3">
        <w:rPr>
          <w:rFonts w:asciiTheme="minorHAnsi" w:eastAsia="Calibri" w:hAnsiTheme="minorHAnsi" w:cstheme="minorHAnsi"/>
          <w:color w:val="000000" w:themeColor="text1"/>
          <w:sz w:val="26"/>
          <w:szCs w:val="26"/>
        </w:rPr>
        <w:t>T</w:t>
      </w:r>
      <w:r w:rsidR="00DE0769">
        <w:rPr>
          <w:rFonts w:asciiTheme="minorHAnsi" w:eastAsia="Calibri" w:hAnsiTheme="minorHAnsi" w:cstheme="minorHAnsi"/>
          <w:color w:val="000000" w:themeColor="text1"/>
          <w:sz w:val="26"/>
          <w:szCs w:val="26"/>
        </w:rPr>
        <w:t>.</w:t>
      </w:r>
      <w:r w:rsidRPr="001862D3">
        <w:rPr>
          <w:rFonts w:asciiTheme="minorHAnsi" w:eastAsia="Calibri" w:hAnsiTheme="minorHAnsi" w:cstheme="minorHAnsi"/>
          <w:color w:val="000000" w:themeColor="text1"/>
          <w:sz w:val="26"/>
          <w:szCs w:val="26"/>
        </w:rPr>
        <w:t>N</w:t>
      </w:r>
      <w:r w:rsidR="00DE0769">
        <w:rPr>
          <w:rFonts w:asciiTheme="minorHAnsi" w:eastAsia="Calibri" w:hAnsiTheme="minorHAnsi" w:cstheme="minorHAnsi"/>
          <w:color w:val="000000" w:themeColor="text1"/>
          <w:sz w:val="26"/>
          <w:szCs w:val="26"/>
        </w:rPr>
        <w:t>.</w:t>
      </w:r>
      <w:r w:rsidRPr="001862D3">
        <w:rPr>
          <w:rFonts w:asciiTheme="minorHAnsi" w:eastAsia="Calibri" w:hAnsiTheme="minorHAnsi" w:cstheme="minorHAnsi"/>
          <w:color w:val="000000" w:themeColor="text1"/>
          <w:sz w:val="26"/>
          <w:szCs w:val="26"/>
        </w:rPr>
        <w:t>, precum și pentru alte activități naționale și internaționale dedicate auditorilor de justiție;</w:t>
      </w:r>
    </w:p>
    <w:p w14:paraId="7420EB3C" w14:textId="77777777" w:rsidR="00021845" w:rsidRPr="001862D3" w:rsidRDefault="00021845" w:rsidP="00281400">
      <w:pPr>
        <w:numPr>
          <w:ilvl w:val="0"/>
          <w:numId w:val="26"/>
        </w:numPr>
        <w:spacing w:after="160" w:line="276" w:lineRule="auto"/>
        <w:contextualSpacing/>
        <w:jc w:val="both"/>
        <w:rPr>
          <w:rFonts w:asciiTheme="minorHAnsi" w:eastAsia="Aptos" w:hAnsiTheme="minorHAnsi" w:cstheme="minorHAnsi"/>
          <w:color w:val="000000" w:themeColor="text1"/>
          <w:kern w:val="2"/>
          <w:sz w:val="26"/>
          <w:szCs w:val="26"/>
          <w14:ligatures w14:val="standardContextual"/>
        </w:rPr>
      </w:pPr>
      <w:r w:rsidRPr="001862D3">
        <w:rPr>
          <w:rFonts w:asciiTheme="minorHAnsi" w:eastAsia="Calibri" w:hAnsiTheme="minorHAnsi" w:cstheme="minorHAnsi"/>
          <w:color w:val="000000" w:themeColor="text1"/>
          <w:sz w:val="26"/>
          <w:szCs w:val="26"/>
        </w:rPr>
        <w:t>reflectarea performanțelor obținute de auditorii calificați în Marea Finală a Competiției THEMIS în evaluările aferente domeniilor de studiu din programul de formare inițială, prin raportare la categoria competițională;</w:t>
      </w:r>
    </w:p>
    <w:p w14:paraId="2DED40E7" w14:textId="77777777" w:rsidR="00021845" w:rsidRPr="001862D3" w:rsidRDefault="00021845" w:rsidP="00281400">
      <w:pPr>
        <w:numPr>
          <w:ilvl w:val="0"/>
          <w:numId w:val="26"/>
        </w:numPr>
        <w:spacing w:after="160" w:line="276" w:lineRule="auto"/>
        <w:contextualSpacing/>
        <w:jc w:val="both"/>
        <w:rPr>
          <w:rFonts w:asciiTheme="minorHAnsi" w:eastAsia="Aptos" w:hAnsiTheme="minorHAnsi" w:cstheme="minorHAnsi"/>
          <w:color w:val="000000" w:themeColor="text1"/>
          <w:kern w:val="2"/>
          <w:sz w:val="26"/>
          <w:szCs w:val="26"/>
          <w14:ligatures w14:val="standardContextual"/>
        </w:rPr>
      </w:pPr>
      <w:r w:rsidRPr="001862D3">
        <w:rPr>
          <w:rFonts w:asciiTheme="minorHAnsi" w:eastAsia="Aptos" w:hAnsiTheme="minorHAnsi" w:cstheme="minorHAnsi"/>
          <w:color w:val="000000" w:themeColor="text1"/>
          <w:kern w:val="2"/>
          <w:sz w:val="26"/>
          <w:szCs w:val="26"/>
          <w14:ligatures w14:val="standardContextual"/>
        </w:rPr>
        <w:t>diversificarea și creșterea numărului activităților extracurriculare și acordarea unei ponderi, în evaluarea finală, a participării auditorilor de justiție la acest tip de activități; </w:t>
      </w:r>
    </w:p>
    <w:p w14:paraId="01DFAB2C" w14:textId="77777777" w:rsidR="00021845" w:rsidRPr="001862D3" w:rsidRDefault="00021845" w:rsidP="00281400">
      <w:pPr>
        <w:numPr>
          <w:ilvl w:val="0"/>
          <w:numId w:val="26"/>
        </w:numPr>
        <w:spacing w:after="160" w:line="276" w:lineRule="auto"/>
        <w:contextualSpacing/>
        <w:jc w:val="both"/>
        <w:rPr>
          <w:rFonts w:asciiTheme="minorHAnsi" w:eastAsia="Aptos" w:hAnsiTheme="minorHAnsi" w:cstheme="minorHAnsi"/>
          <w:color w:val="000000" w:themeColor="text1"/>
          <w:kern w:val="2"/>
          <w:sz w:val="26"/>
          <w:szCs w:val="26"/>
          <w14:ligatures w14:val="standardContextual"/>
        </w:rPr>
      </w:pPr>
      <w:r w:rsidRPr="001862D3">
        <w:rPr>
          <w:rFonts w:asciiTheme="minorHAnsi" w:eastAsia="Aptos" w:hAnsiTheme="minorHAnsi" w:cstheme="minorHAnsi"/>
          <w:color w:val="000000" w:themeColor="text1"/>
          <w:kern w:val="2"/>
          <w:sz w:val="26"/>
          <w:szCs w:val="26"/>
          <w14:ligatures w14:val="standardContextual"/>
        </w:rPr>
        <w:t>implicarea tuturor auditorilor de justiție în activități de voluntariat;</w:t>
      </w:r>
    </w:p>
    <w:p w14:paraId="7CB674DF" w14:textId="77777777" w:rsidR="00021845" w:rsidRPr="001862D3" w:rsidRDefault="00021845" w:rsidP="00281400">
      <w:pPr>
        <w:numPr>
          <w:ilvl w:val="0"/>
          <w:numId w:val="26"/>
        </w:numPr>
        <w:spacing w:after="160" w:line="276" w:lineRule="auto"/>
        <w:contextualSpacing/>
        <w:jc w:val="both"/>
        <w:rPr>
          <w:rFonts w:asciiTheme="minorHAnsi" w:eastAsia="Aptos" w:hAnsiTheme="minorHAnsi" w:cstheme="minorHAnsi"/>
          <w:color w:val="000000" w:themeColor="text1"/>
          <w:kern w:val="2"/>
          <w:sz w:val="26"/>
          <w:szCs w:val="26"/>
          <w14:ligatures w14:val="standardContextual"/>
        </w:rPr>
      </w:pPr>
      <w:r w:rsidRPr="001862D3">
        <w:rPr>
          <w:rFonts w:asciiTheme="minorHAnsi" w:eastAsia="Aptos" w:hAnsiTheme="minorHAnsi" w:cstheme="minorHAnsi"/>
          <w:color w:val="000000" w:themeColor="text1"/>
          <w:kern w:val="2"/>
          <w:sz w:val="26"/>
          <w:szCs w:val="26"/>
          <w14:ligatures w14:val="standardContextual"/>
        </w:rPr>
        <w:t xml:space="preserve">consolidarea colaborării cu alte instituții și profesii și extinderea rețelei de parteneri instituționali; </w:t>
      </w:r>
    </w:p>
    <w:p w14:paraId="7EAE9090" w14:textId="77777777" w:rsidR="00021845" w:rsidRPr="001862D3" w:rsidRDefault="00021845" w:rsidP="00281400">
      <w:pPr>
        <w:numPr>
          <w:ilvl w:val="0"/>
          <w:numId w:val="26"/>
        </w:numPr>
        <w:spacing w:after="160" w:line="276" w:lineRule="auto"/>
        <w:contextualSpacing/>
        <w:jc w:val="both"/>
        <w:rPr>
          <w:rFonts w:asciiTheme="minorHAnsi" w:eastAsia="Aptos" w:hAnsiTheme="minorHAnsi" w:cstheme="minorHAnsi"/>
          <w:color w:val="000000" w:themeColor="text1"/>
          <w:kern w:val="2"/>
          <w:sz w:val="26"/>
          <w:szCs w:val="26"/>
          <w14:ligatures w14:val="standardContextual"/>
        </w:rPr>
      </w:pPr>
      <w:r w:rsidRPr="001862D3">
        <w:rPr>
          <w:rFonts w:asciiTheme="minorHAnsi" w:eastAsia="Aptos" w:hAnsiTheme="minorHAnsi" w:cstheme="minorHAnsi"/>
          <w:color w:val="000000" w:themeColor="text1"/>
          <w:kern w:val="2"/>
          <w:sz w:val="26"/>
          <w:szCs w:val="26"/>
          <w14:ligatures w14:val="standardContextual"/>
        </w:rPr>
        <w:t>cooptarea unor formatori din cadrul École Nationale de la Magistrature (Franța) și Escuela Judicial (Spania) pentru desfașurarea modulului opțional „Protecția drepturilor fundamentale în spațiul european – în limba franceză și spaniolă”;</w:t>
      </w:r>
    </w:p>
    <w:p w14:paraId="09ECD755" w14:textId="77777777" w:rsidR="00021845" w:rsidRPr="001862D3" w:rsidRDefault="00021845" w:rsidP="00281400">
      <w:pPr>
        <w:numPr>
          <w:ilvl w:val="0"/>
          <w:numId w:val="26"/>
        </w:numPr>
        <w:spacing w:after="160" w:line="276" w:lineRule="auto"/>
        <w:contextualSpacing/>
        <w:jc w:val="both"/>
        <w:rPr>
          <w:rFonts w:asciiTheme="minorHAnsi" w:eastAsia="Aptos" w:hAnsiTheme="minorHAnsi" w:cstheme="minorHAnsi"/>
          <w:color w:val="000000" w:themeColor="text1"/>
          <w:kern w:val="2"/>
          <w:sz w:val="26"/>
          <w:szCs w:val="26"/>
          <w14:ligatures w14:val="standardContextual"/>
        </w:rPr>
      </w:pPr>
      <w:r w:rsidRPr="001862D3">
        <w:rPr>
          <w:rFonts w:asciiTheme="minorHAnsi" w:eastAsia="Aptos" w:hAnsiTheme="minorHAnsi" w:cstheme="minorHAnsi"/>
          <w:color w:val="000000" w:themeColor="text1"/>
          <w:kern w:val="2"/>
          <w:sz w:val="26"/>
          <w:szCs w:val="26"/>
          <w14:ligatures w14:val="standardContextual"/>
        </w:rPr>
        <w:t>integrarea tehnologiilor digitale în activitatea de formare, atât din perspectiva conţinutului formării, cât şi din perspectiva metodelor de formare (tutoriale, videoclipuri de formare, platforme digitale etc.);</w:t>
      </w:r>
    </w:p>
    <w:p w14:paraId="5E0D8476" w14:textId="77777777" w:rsidR="00021845" w:rsidRPr="001862D3" w:rsidRDefault="00021845" w:rsidP="00281400">
      <w:pPr>
        <w:numPr>
          <w:ilvl w:val="0"/>
          <w:numId w:val="26"/>
        </w:numPr>
        <w:spacing w:line="276" w:lineRule="auto"/>
        <w:contextualSpacing/>
        <w:jc w:val="both"/>
        <w:rPr>
          <w:rFonts w:asciiTheme="minorHAnsi" w:eastAsia="Aptos" w:hAnsiTheme="minorHAnsi" w:cstheme="minorHAnsi"/>
          <w:color w:val="000000" w:themeColor="text1"/>
          <w:kern w:val="2"/>
          <w:sz w:val="26"/>
          <w:szCs w:val="26"/>
          <w14:ligatures w14:val="standardContextual"/>
        </w:rPr>
      </w:pPr>
      <w:r w:rsidRPr="001862D3">
        <w:rPr>
          <w:rFonts w:asciiTheme="minorHAnsi" w:eastAsia="Aptos" w:hAnsiTheme="minorHAnsi" w:cstheme="minorHAnsi"/>
          <w:color w:val="000000" w:themeColor="text1"/>
          <w:kern w:val="2"/>
          <w:sz w:val="26"/>
          <w:szCs w:val="26"/>
          <w14:ligatures w14:val="standardContextual"/>
        </w:rPr>
        <w:t>prevederea, ca metodă de evaluare a auditorilor de justiție aferentă materiilor prevăzute în programul de formare inițială, exclusiv a evaluării finale, realizată prin acordare de notă sau calificativ.</w:t>
      </w:r>
    </w:p>
    <w:p w14:paraId="479F7FA1" w14:textId="3649A414" w:rsidR="00021845" w:rsidRPr="00E32612" w:rsidRDefault="00021845" w:rsidP="009E3AD8">
      <w:pPr>
        <w:spacing w:line="276" w:lineRule="auto"/>
        <w:ind w:firstLine="708"/>
        <w:rPr>
          <w:rFonts w:asciiTheme="minorHAnsi" w:eastAsia="Calibri" w:hAnsiTheme="minorHAnsi" w:cstheme="minorHAnsi"/>
          <w:color w:val="000000" w:themeColor="text1"/>
          <w:sz w:val="26"/>
          <w:szCs w:val="26"/>
        </w:rPr>
      </w:pPr>
      <w:r w:rsidRPr="00E32612">
        <w:rPr>
          <w:rFonts w:asciiTheme="minorHAnsi" w:eastAsia="Calibri" w:hAnsiTheme="minorHAnsi" w:cstheme="minorHAnsi"/>
          <w:color w:val="000000" w:themeColor="text1"/>
          <w:sz w:val="26"/>
          <w:szCs w:val="26"/>
        </w:rPr>
        <w:t>În ceea ce privește structura și calendarul</w:t>
      </w:r>
      <w:r w:rsidR="0092714E">
        <w:rPr>
          <w:rFonts w:asciiTheme="minorHAnsi" w:eastAsia="Calibri" w:hAnsiTheme="minorHAnsi" w:cstheme="minorHAnsi"/>
          <w:color w:val="000000" w:themeColor="text1"/>
          <w:sz w:val="26"/>
          <w:szCs w:val="26"/>
        </w:rPr>
        <w:t>, au fost introduse următoarele elemente:</w:t>
      </w:r>
    </w:p>
    <w:p w14:paraId="4CF01862" w14:textId="671D2720" w:rsidR="00021845" w:rsidRPr="001862D3" w:rsidRDefault="00021845" w:rsidP="00281400">
      <w:pPr>
        <w:numPr>
          <w:ilvl w:val="0"/>
          <w:numId w:val="27"/>
        </w:numPr>
        <w:autoSpaceDE w:val="0"/>
        <w:autoSpaceDN w:val="0"/>
        <w:adjustRightInd w:val="0"/>
        <w:spacing w:line="276" w:lineRule="auto"/>
        <w:contextualSpacing/>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t>creșterea numărului de săptămâni de formare alocate fiecăruia dintre cele două semestre ale anului, respectiv de la 30 de săptămâni, în anul anterior, la 32</w:t>
      </w:r>
      <w:r w:rsidR="00E32612">
        <w:rPr>
          <w:rFonts w:asciiTheme="minorHAnsi" w:eastAsia="Calibri" w:hAnsiTheme="minorHAnsi" w:cstheme="minorHAnsi"/>
          <w:color w:val="000000" w:themeColor="text1"/>
          <w:sz w:val="26"/>
          <w:szCs w:val="26"/>
        </w:rPr>
        <w:t xml:space="preserve"> de săptămâni</w:t>
      </w:r>
      <w:r w:rsidRPr="001862D3">
        <w:rPr>
          <w:rFonts w:asciiTheme="minorHAnsi" w:eastAsia="Calibri" w:hAnsiTheme="minorHAnsi" w:cstheme="minorHAnsi"/>
          <w:color w:val="000000" w:themeColor="text1"/>
          <w:sz w:val="26"/>
          <w:szCs w:val="26"/>
        </w:rPr>
        <w:t>;</w:t>
      </w:r>
    </w:p>
    <w:p w14:paraId="31E439B9" w14:textId="77777777" w:rsidR="00021845" w:rsidRPr="001862D3" w:rsidRDefault="00021845" w:rsidP="00281400">
      <w:pPr>
        <w:numPr>
          <w:ilvl w:val="0"/>
          <w:numId w:val="27"/>
        </w:numPr>
        <w:autoSpaceDE w:val="0"/>
        <w:autoSpaceDN w:val="0"/>
        <w:adjustRightInd w:val="0"/>
        <w:spacing w:line="276" w:lineRule="auto"/>
        <w:contextualSpacing/>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t>parcurgerea într-o singură etapă a stagiului practic în cadrul instanțelor și al parchetelor, pe durata a 12 săptămâni succesive;</w:t>
      </w:r>
    </w:p>
    <w:p w14:paraId="1B874B0C" w14:textId="77BDE24E" w:rsidR="00021845" w:rsidRPr="001862D3" w:rsidRDefault="00021845" w:rsidP="00281400">
      <w:pPr>
        <w:numPr>
          <w:ilvl w:val="0"/>
          <w:numId w:val="27"/>
        </w:numPr>
        <w:autoSpaceDE w:val="0"/>
        <w:autoSpaceDN w:val="0"/>
        <w:adjustRightInd w:val="0"/>
        <w:spacing w:after="160" w:line="276" w:lineRule="auto"/>
        <w:contextualSpacing/>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t>regândirea st</w:t>
      </w:r>
      <w:r w:rsidR="00896FAC">
        <w:rPr>
          <w:rFonts w:asciiTheme="minorHAnsi" w:eastAsia="Calibri" w:hAnsiTheme="minorHAnsi" w:cstheme="minorHAnsi"/>
          <w:color w:val="000000" w:themeColor="text1"/>
          <w:sz w:val="26"/>
          <w:szCs w:val="26"/>
        </w:rPr>
        <w:t>r</w:t>
      </w:r>
      <w:r w:rsidRPr="001862D3">
        <w:rPr>
          <w:rFonts w:asciiTheme="minorHAnsi" w:eastAsia="Calibri" w:hAnsiTheme="minorHAnsi" w:cstheme="minorHAnsi"/>
          <w:color w:val="000000" w:themeColor="text1"/>
          <w:sz w:val="26"/>
          <w:szCs w:val="26"/>
        </w:rPr>
        <w:t>ucturii anului de studiu, astfel încât să se evite programarea de activități de formare pe parcursul lunilor de vacanță judecătorească.</w:t>
      </w:r>
    </w:p>
    <w:p w14:paraId="0B3185ED" w14:textId="77777777" w:rsidR="00021845" w:rsidRPr="00E32612" w:rsidRDefault="00021845" w:rsidP="009E3AD8">
      <w:pPr>
        <w:spacing w:line="276" w:lineRule="auto"/>
        <w:ind w:firstLine="709"/>
        <w:jc w:val="both"/>
        <w:rPr>
          <w:rFonts w:asciiTheme="minorHAnsi" w:eastAsia="Calibri" w:hAnsiTheme="minorHAnsi" w:cstheme="minorHAnsi"/>
          <w:color w:val="000000" w:themeColor="text1"/>
          <w:sz w:val="26"/>
          <w:szCs w:val="26"/>
        </w:rPr>
      </w:pPr>
      <w:r w:rsidRPr="00E32612">
        <w:rPr>
          <w:rFonts w:asciiTheme="minorHAnsi" w:eastAsia="Calibri" w:hAnsiTheme="minorHAnsi" w:cstheme="minorHAnsi"/>
          <w:color w:val="000000" w:themeColor="text1"/>
          <w:sz w:val="26"/>
          <w:szCs w:val="26"/>
        </w:rPr>
        <w:t>Structura anului I cuprinde 60 de săptămâni, desfășurate potrivit următorului calendar:</w:t>
      </w:r>
    </w:p>
    <w:p w14:paraId="05EB8BF3" w14:textId="77777777" w:rsidR="00021845" w:rsidRPr="00E32612" w:rsidRDefault="00021845" w:rsidP="00281400">
      <w:pPr>
        <w:numPr>
          <w:ilvl w:val="0"/>
          <w:numId w:val="29"/>
        </w:numPr>
        <w:spacing w:after="160" w:line="276" w:lineRule="auto"/>
        <w:ind w:left="709" w:hanging="349"/>
        <w:contextualSpacing/>
        <w:jc w:val="both"/>
        <w:rPr>
          <w:rFonts w:asciiTheme="minorHAnsi" w:eastAsia="Calibri" w:hAnsiTheme="minorHAnsi" w:cstheme="minorHAnsi"/>
          <w:color w:val="000000" w:themeColor="text1"/>
          <w:sz w:val="26"/>
          <w:szCs w:val="26"/>
        </w:rPr>
      </w:pPr>
      <w:r w:rsidRPr="00E32612">
        <w:rPr>
          <w:rFonts w:asciiTheme="minorHAnsi" w:eastAsia="Calibri" w:hAnsiTheme="minorHAnsi" w:cstheme="minorHAnsi"/>
          <w:color w:val="000000" w:themeColor="text1"/>
          <w:sz w:val="26"/>
          <w:szCs w:val="26"/>
        </w:rPr>
        <w:t>32 de săptămâni de formare efectivă sub formă de cursuri și seminare:</w:t>
      </w:r>
    </w:p>
    <w:p w14:paraId="38649B41" w14:textId="77777777" w:rsidR="00021845" w:rsidRPr="00E32612" w:rsidRDefault="00021845" w:rsidP="00281400">
      <w:pPr>
        <w:numPr>
          <w:ilvl w:val="0"/>
          <w:numId w:val="30"/>
        </w:numPr>
        <w:spacing w:after="160" w:line="276" w:lineRule="auto"/>
        <w:ind w:left="1276" w:hanging="218"/>
        <w:contextualSpacing/>
        <w:jc w:val="both"/>
        <w:rPr>
          <w:rFonts w:asciiTheme="minorHAnsi" w:eastAsia="Calibri" w:hAnsiTheme="minorHAnsi" w:cstheme="minorHAnsi"/>
          <w:color w:val="000000" w:themeColor="text1"/>
          <w:sz w:val="26"/>
          <w:szCs w:val="26"/>
        </w:rPr>
      </w:pPr>
      <w:r w:rsidRPr="00E32612">
        <w:rPr>
          <w:rFonts w:asciiTheme="minorHAnsi" w:eastAsia="Calibri" w:hAnsiTheme="minorHAnsi" w:cstheme="minorHAnsi"/>
          <w:color w:val="000000" w:themeColor="text1"/>
          <w:sz w:val="26"/>
          <w:szCs w:val="26"/>
        </w:rPr>
        <w:t>semestrul I (16 săptămâni): 29.09.2025 – 06.02.2026;</w:t>
      </w:r>
    </w:p>
    <w:p w14:paraId="06A4EC60" w14:textId="77777777" w:rsidR="00021845" w:rsidRPr="00E32612" w:rsidRDefault="00021845" w:rsidP="00281400">
      <w:pPr>
        <w:numPr>
          <w:ilvl w:val="0"/>
          <w:numId w:val="30"/>
        </w:numPr>
        <w:spacing w:after="160" w:line="276" w:lineRule="auto"/>
        <w:ind w:left="1276" w:hanging="218"/>
        <w:contextualSpacing/>
        <w:jc w:val="both"/>
        <w:rPr>
          <w:rFonts w:asciiTheme="minorHAnsi" w:eastAsia="Calibri" w:hAnsiTheme="minorHAnsi" w:cstheme="minorHAnsi"/>
          <w:color w:val="000000" w:themeColor="text1"/>
          <w:sz w:val="26"/>
          <w:szCs w:val="26"/>
        </w:rPr>
      </w:pPr>
      <w:r w:rsidRPr="00E32612">
        <w:rPr>
          <w:rFonts w:asciiTheme="minorHAnsi" w:eastAsia="Calibri" w:hAnsiTheme="minorHAnsi" w:cstheme="minorHAnsi"/>
          <w:color w:val="000000" w:themeColor="text1"/>
          <w:sz w:val="26"/>
          <w:szCs w:val="26"/>
        </w:rPr>
        <w:t>semestrul al II-lea (16 săptămâni): 23.02.2026 – 19.06.2026;</w:t>
      </w:r>
    </w:p>
    <w:p w14:paraId="000CD79A" w14:textId="77777777" w:rsidR="00021845" w:rsidRPr="00E32612" w:rsidRDefault="00021845" w:rsidP="00281400">
      <w:pPr>
        <w:numPr>
          <w:ilvl w:val="0"/>
          <w:numId w:val="29"/>
        </w:numPr>
        <w:spacing w:after="160" w:line="276" w:lineRule="auto"/>
        <w:ind w:left="709" w:hanging="349"/>
        <w:contextualSpacing/>
        <w:jc w:val="both"/>
        <w:rPr>
          <w:rFonts w:asciiTheme="minorHAnsi" w:eastAsia="Calibri" w:hAnsiTheme="minorHAnsi" w:cstheme="minorHAnsi"/>
          <w:color w:val="000000" w:themeColor="text1"/>
          <w:sz w:val="26"/>
          <w:szCs w:val="26"/>
        </w:rPr>
      </w:pPr>
      <w:r w:rsidRPr="00E32612">
        <w:rPr>
          <w:rFonts w:asciiTheme="minorHAnsi" w:eastAsia="Calibri" w:hAnsiTheme="minorHAnsi" w:cstheme="minorHAnsi"/>
          <w:color w:val="000000" w:themeColor="text1"/>
          <w:sz w:val="26"/>
          <w:szCs w:val="26"/>
        </w:rPr>
        <w:t>12 săptămâni de stagiu de observare în cadrul instanțelor și al parchetelor: 12.05.2025 – 26.09.2025;</w:t>
      </w:r>
    </w:p>
    <w:p w14:paraId="07B7CF51" w14:textId="77777777" w:rsidR="00021845" w:rsidRPr="00E32612" w:rsidRDefault="00021845" w:rsidP="00281400">
      <w:pPr>
        <w:numPr>
          <w:ilvl w:val="0"/>
          <w:numId w:val="29"/>
        </w:numPr>
        <w:spacing w:after="160" w:line="276" w:lineRule="auto"/>
        <w:ind w:left="709" w:hanging="349"/>
        <w:contextualSpacing/>
        <w:jc w:val="both"/>
        <w:rPr>
          <w:rFonts w:asciiTheme="minorHAnsi" w:eastAsia="Calibri" w:hAnsiTheme="minorHAnsi" w:cstheme="minorHAnsi"/>
          <w:color w:val="000000" w:themeColor="text1"/>
          <w:sz w:val="26"/>
          <w:szCs w:val="26"/>
        </w:rPr>
      </w:pPr>
      <w:r w:rsidRPr="00E32612">
        <w:rPr>
          <w:rFonts w:asciiTheme="minorHAnsi" w:eastAsia="Calibri" w:hAnsiTheme="minorHAnsi" w:cstheme="minorHAnsi"/>
          <w:color w:val="000000" w:themeColor="text1"/>
          <w:sz w:val="26"/>
          <w:szCs w:val="26"/>
        </w:rPr>
        <w:t>1 săptămână dedicată exclusiv proceselor simulate: 04 – 08.05.2026;</w:t>
      </w:r>
    </w:p>
    <w:p w14:paraId="31991BE3" w14:textId="77777777" w:rsidR="00021845" w:rsidRPr="00E32612" w:rsidRDefault="00021845" w:rsidP="00281400">
      <w:pPr>
        <w:numPr>
          <w:ilvl w:val="0"/>
          <w:numId w:val="29"/>
        </w:numPr>
        <w:spacing w:after="160" w:line="276" w:lineRule="auto"/>
        <w:ind w:left="709" w:hanging="349"/>
        <w:contextualSpacing/>
        <w:jc w:val="both"/>
        <w:rPr>
          <w:rFonts w:asciiTheme="minorHAnsi" w:eastAsia="Calibri" w:hAnsiTheme="minorHAnsi" w:cstheme="minorHAnsi"/>
          <w:color w:val="000000" w:themeColor="text1"/>
          <w:sz w:val="26"/>
          <w:szCs w:val="26"/>
        </w:rPr>
      </w:pPr>
      <w:r w:rsidRPr="00E32612">
        <w:rPr>
          <w:rFonts w:asciiTheme="minorHAnsi" w:eastAsia="Calibri" w:hAnsiTheme="minorHAnsi" w:cstheme="minorHAnsi"/>
          <w:color w:val="000000" w:themeColor="text1"/>
          <w:sz w:val="26"/>
          <w:szCs w:val="26"/>
        </w:rPr>
        <w:t xml:space="preserve">7 săptămâni de vacanță: 04.08.2025 – 29.08.2025 și 22.12.2025 – 09.01.2026; </w:t>
      </w:r>
    </w:p>
    <w:p w14:paraId="59CFA335" w14:textId="77777777" w:rsidR="00021845" w:rsidRPr="00E32612" w:rsidRDefault="00021845" w:rsidP="00281400">
      <w:pPr>
        <w:numPr>
          <w:ilvl w:val="0"/>
          <w:numId w:val="29"/>
        </w:numPr>
        <w:spacing w:after="160" w:line="276" w:lineRule="auto"/>
        <w:ind w:left="709" w:hanging="349"/>
        <w:contextualSpacing/>
        <w:jc w:val="both"/>
        <w:rPr>
          <w:rFonts w:asciiTheme="minorHAnsi" w:eastAsia="Calibri" w:hAnsiTheme="minorHAnsi" w:cstheme="minorHAnsi"/>
          <w:color w:val="000000" w:themeColor="text1"/>
          <w:sz w:val="26"/>
          <w:szCs w:val="26"/>
        </w:rPr>
      </w:pPr>
      <w:r w:rsidRPr="00E32612">
        <w:rPr>
          <w:rFonts w:asciiTheme="minorHAnsi" w:eastAsia="Calibri" w:hAnsiTheme="minorHAnsi" w:cstheme="minorHAnsi"/>
          <w:color w:val="000000" w:themeColor="text1"/>
          <w:sz w:val="26"/>
          <w:szCs w:val="26"/>
        </w:rPr>
        <w:t>4 săptămâni de sesiune de evaluare: 09.02.2026 – 20.02.2026 și 22.06.2026 – 03.07.2026;</w:t>
      </w:r>
    </w:p>
    <w:p w14:paraId="0DB5046B" w14:textId="77777777" w:rsidR="00021845" w:rsidRPr="00E32612" w:rsidRDefault="00021845" w:rsidP="00281400">
      <w:pPr>
        <w:numPr>
          <w:ilvl w:val="0"/>
          <w:numId w:val="29"/>
        </w:numPr>
        <w:spacing w:after="160" w:line="276" w:lineRule="auto"/>
        <w:ind w:left="709" w:hanging="349"/>
        <w:contextualSpacing/>
        <w:jc w:val="both"/>
        <w:rPr>
          <w:rFonts w:asciiTheme="minorHAnsi" w:eastAsia="Calibri" w:hAnsiTheme="minorHAnsi" w:cstheme="minorHAnsi"/>
          <w:color w:val="000000" w:themeColor="text1"/>
          <w:sz w:val="26"/>
          <w:szCs w:val="26"/>
        </w:rPr>
      </w:pPr>
      <w:r w:rsidRPr="00E32612">
        <w:rPr>
          <w:rFonts w:asciiTheme="minorHAnsi" w:eastAsia="Calibri" w:hAnsiTheme="minorHAnsi" w:cstheme="minorHAnsi"/>
          <w:color w:val="000000" w:themeColor="text1"/>
          <w:sz w:val="26"/>
          <w:szCs w:val="26"/>
        </w:rPr>
        <w:t>activitate de voluntariat: 07.07.2025 – 01.08.2025 (și pe toată durata formării).</w:t>
      </w:r>
    </w:p>
    <w:p w14:paraId="1DEDBC55" w14:textId="7463203A" w:rsidR="00021845" w:rsidRPr="001862D3" w:rsidRDefault="00021845" w:rsidP="009E3AD8">
      <w:pPr>
        <w:spacing w:line="276" w:lineRule="auto"/>
        <w:ind w:firstLine="709"/>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lastRenderedPageBreak/>
        <w:t xml:space="preserve">Stabilirea pe parcursul anului I a unui stagiu cu o durată de </w:t>
      </w:r>
      <w:r w:rsidRPr="00132694">
        <w:rPr>
          <w:rFonts w:asciiTheme="minorHAnsi" w:eastAsia="Calibri" w:hAnsiTheme="minorHAnsi" w:cstheme="minorHAnsi"/>
          <w:sz w:val="26"/>
          <w:szCs w:val="26"/>
        </w:rPr>
        <w:t xml:space="preserve">12 săptămâni </w:t>
      </w:r>
      <w:r w:rsidR="00C00103" w:rsidRPr="00132694">
        <w:rPr>
          <w:rFonts w:asciiTheme="minorHAnsi" w:eastAsia="Calibri" w:hAnsiTheme="minorHAnsi" w:cstheme="minorHAnsi"/>
          <w:sz w:val="26"/>
          <w:szCs w:val="26"/>
        </w:rPr>
        <w:t xml:space="preserve">a </w:t>
      </w:r>
      <w:r w:rsidRPr="00132694">
        <w:rPr>
          <w:rFonts w:asciiTheme="minorHAnsi" w:eastAsia="Calibri" w:hAnsiTheme="minorHAnsi" w:cstheme="minorHAnsi"/>
          <w:sz w:val="26"/>
          <w:szCs w:val="26"/>
        </w:rPr>
        <w:t>determin</w:t>
      </w:r>
      <w:r w:rsidR="00C00103" w:rsidRPr="00132694">
        <w:rPr>
          <w:rFonts w:asciiTheme="minorHAnsi" w:eastAsia="Calibri" w:hAnsiTheme="minorHAnsi" w:cstheme="minorHAnsi"/>
          <w:sz w:val="26"/>
          <w:szCs w:val="26"/>
        </w:rPr>
        <w:t>at</w:t>
      </w:r>
      <w:r w:rsidRPr="00132694">
        <w:rPr>
          <w:rFonts w:asciiTheme="minorHAnsi" w:eastAsia="Calibri" w:hAnsiTheme="minorHAnsi" w:cstheme="minorHAnsi"/>
          <w:sz w:val="26"/>
          <w:szCs w:val="26"/>
        </w:rPr>
        <w:t xml:space="preserve"> ca </w:t>
      </w:r>
      <w:r w:rsidRPr="001862D3">
        <w:rPr>
          <w:rFonts w:asciiTheme="minorHAnsi" w:eastAsia="Calibri" w:hAnsiTheme="minorHAnsi" w:cstheme="minorHAnsi"/>
          <w:color w:val="000000" w:themeColor="text1"/>
          <w:sz w:val="26"/>
          <w:szCs w:val="26"/>
        </w:rPr>
        <w:t xml:space="preserve">și în acest an unele dintre disciplinele de specialitate, precum dreptul administrativ, litigiile cu profesioniști și dreptul familiei să fie studiate, de către această promoție, în modulul aferent celui de al doilea an de formare. </w:t>
      </w:r>
    </w:p>
    <w:p w14:paraId="445EBC5B" w14:textId="77777777" w:rsidR="00021845" w:rsidRPr="001862D3" w:rsidRDefault="00021845" w:rsidP="009E3AD8">
      <w:pPr>
        <w:spacing w:line="276" w:lineRule="auto"/>
        <w:ind w:firstLine="709"/>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t xml:space="preserve">În ceea ce privește disciplinele fundamentale (drept civil și procesual civil, drept penal și procesual penal), acestea se studiază în continuare pe parcursul întregului an I, cu o frecvență săptămânală, fiind alocat un număr egal de seminare și cursuri pentru aspectele de drept substanțial și a celor de procedură. </w:t>
      </w:r>
    </w:p>
    <w:p w14:paraId="016CC0BC" w14:textId="77777777" w:rsidR="00021845" w:rsidRPr="001862D3" w:rsidRDefault="00021845" w:rsidP="009E3AD8">
      <w:pPr>
        <w:spacing w:line="276" w:lineRule="auto"/>
        <w:ind w:firstLine="709"/>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t xml:space="preserve">Având în vedere importanța acordată </w:t>
      </w:r>
      <w:r w:rsidRPr="00221994">
        <w:rPr>
          <w:rFonts w:asciiTheme="minorHAnsi" w:eastAsia="Calibri" w:hAnsiTheme="minorHAnsi" w:cstheme="minorHAnsi"/>
          <w:color w:val="000000" w:themeColor="text1"/>
          <w:sz w:val="26"/>
          <w:szCs w:val="26"/>
        </w:rPr>
        <w:t>caracterului practic</w:t>
      </w:r>
      <w:r w:rsidRPr="001862D3">
        <w:rPr>
          <w:rFonts w:asciiTheme="minorHAnsi" w:eastAsia="Calibri" w:hAnsiTheme="minorHAnsi" w:cstheme="minorHAnsi"/>
          <w:b/>
          <w:bCs/>
          <w:color w:val="000000" w:themeColor="text1"/>
          <w:sz w:val="26"/>
          <w:szCs w:val="26"/>
        </w:rPr>
        <w:t xml:space="preserve"> </w:t>
      </w:r>
      <w:r w:rsidRPr="001862D3">
        <w:rPr>
          <w:rFonts w:asciiTheme="minorHAnsi" w:eastAsia="Calibri" w:hAnsiTheme="minorHAnsi" w:cstheme="minorHAnsi"/>
          <w:color w:val="000000" w:themeColor="text1"/>
          <w:sz w:val="26"/>
          <w:szCs w:val="26"/>
        </w:rPr>
        <w:t>al formării, în desfășurarea seminarelor din cadrul tuturor disciplinelor juridice studiate sunt incluse activități care presupun studiul dosarelor, discutarea aspectelor de doctrină și practică judiciară în mod aplicat în funcție de spețele abordate, formularea de soluții, redactarea actelor de procedură.</w:t>
      </w:r>
    </w:p>
    <w:p w14:paraId="442A9F53" w14:textId="77777777" w:rsidR="00021845" w:rsidRPr="001862D3" w:rsidRDefault="00021845" w:rsidP="009E3AD8">
      <w:pPr>
        <w:spacing w:line="276" w:lineRule="auto"/>
        <w:ind w:firstLine="720"/>
        <w:jc w:val="both"/>
        <w:rPr>
          <w:rFonts w:asciiTheme="minorHAnsi" w:eastAsia="Calibri" w:hAnsiTheme="minorHAnsi" w:cstheme="minorHAnsi"/>
          <w:iCs/>
          <w:color w:val="000000" w:themeColor="text1"/>
          <w:sz w:val="26"/>
          <w:szCs w:val="26"/>
        </w:rPr>
      </w:pPr>
      <w:r w:rsidRPr="001862D3">
        <w:rPr>
          <w:rFonts w:asciiTheme="minorHAnsi" w:eastAsia="Calibri" w:hAnsiTheme="minorHAnsi" w:cstheme="minorHAnsi"/>
          <w:iCs/>
          <w:color w:val="000000" w:themeColor="text1"/>
          <w:sz w:val="26"/>
          <w:szCs w:val="26"/>
        </w:rPr>
        <w:t xml:space="preserve">Caracterul practic al formării este asigurat, în egală măsură, prin realizarea de procese, secvențe simulate și exerciții, incluse în mod obligatoriu în planurile de seminar aferente disciplinelor de studiu. Discutarea unor elemente de </w:t>
      </w:r>
      <w:r w:rsidRPr="00221994">
        <w:rPr>
          <w:rFonts w:asciiTheme="minorHAnsi" w:eastAsia="Calibri" w:hAnsiTheme="minorHAnsi" w:cstheme="minorHAnsi"/>
          <w:iCs/>
          <w:color w:val="000000" w:themeColor="text1"/>
          <w:sz w:val="26"/>
          <w:szCs w:val="26"/>
        </w:rPr>
        <w:t>case management</w:t>
      </w:r>
      <w:r w:rsidRPr="001862D3">
        <w:rPr>
          <w:rFonts w:asciiTheme="minorHAnsi" w:eastAsia="Calibri" w:hAnsiTheme="minorHAnsi" w:cstheme="minorHAnsi"/>
          <w:iCs/>
          <w:color w:val="000000" w:themeColor="text1"/>
          <w:sz w:val="26"/>
          <w:szCs w:val="26"/>
        </w:rPr>
        <w:t xml:space="preserve"> (buna gestionare a cauzelor) și </w:t>
      </w:r>
      <w:r w:rsidRPr="00221994">
        <w:rPr>
          <w:rFonts w:asciiTheme="minorHAnsi" w:eastAsia="Calibri" w:hAnsiTheme="minorHAnsi" w:cstheme="minorHAnsi"/>
          <w:iCs/>
          <w:color w:val="000000" w:themeColor="text1"/>
          <w:sz w:val="26"/>
          <w:szCs w:val="26"/>
        </w:rPr>
        <w:t>scriere juridică</w:t>
      </w:r>
      <w:r w:rsidRPr="001862D3">
        <w:rPr>
          <w:rFonts w:asciiTheme="minorHAnsi" w:eastAsia="Calibri" w:hAnsiTheme="minorHAnsi" w:cstheme="minorHAnsi"/>
          <w:iCs/>
          <w:color w:val="000000" w:themeColor="text1"/>
          <w:sz w:val="26"/>
          <w:szCs w:val="26"/>
        </w:rPr>
        <w:t xml:space="preserve"> contribuie, deopotrivă, la consolidarea caracterului practic al formării inițiale.</w:t>
      </w:r>
    </w:p>
    <w:p w14:paraId="322F0161" w14:textId="77777777" w:rsidR="00021845" w:rsidRPr="001862D3" w:rsidRDefault="00021845" w:rsidP="009E3AD8">
      <w:pPr>
        <w:spacing w:line="276" w:lineRule="auto"/>
        <w:ind w:firstLine="720"/>
        <w:jc w:val="both"/>
        <w:rPr>
          <w:rFonts w:asciiTheme="minorHAnsi" w:eastAsia="Calibri" w:hAnsiTheme="minorHAnsi" w:cstheme="minorHAnsi"/>
          <w:iCs/>
          <w:color w:val="000000" w:themeColor="text1"/>
          <w:sz w:val="26"/>
          <w:szCs w:val="26"/>
        </w:rPr>
      </w:pPr>
      <w:r w:rsidRPr="001862D3">
        <w:rPr>
          <w:rFonts w:asciiTheme="minorHAnsi" w:eastAsia="Calibri" w:hAnsiTheme="minorHAnsi" w:cstheme="minorHAnsi"/>
          <w:iCs/>
          <w:color w:val="000000" w:themeColor="text1"/>
          <w:sz w:val="26"/>
          <w:szCs w:val="26"/>
        </w:rPr>
        <w:t xml:space="preserve">Sunt deosebit de relevante, în acest context, competențele de comunicare și ascultare, gestionarea situațiilor dificile, lucrul în echipă, respectarea regulilor deontologice și adoptarea unei atitudini profesionale adecvate, care să echilibreze autoritatea cu empatia. Dezvoltarea acestor competențe este esențială, fiind necesar ca auditorii de justiție să devină conștienți de impactul comportamentului propriu în mediul de lucru, precum și în societate. </w:t>
      </w:r>
    </w:p>
    <w:p w14:paraId="5054BD74" w14:textId="616DA2A4" w:rsidR="00021845" w:rsidRPr="001862D3" w:rsidRDefault="00021845" w:rsidP="009E3AD8">
      <w:pPr>
        <w:spacing w:line="276" w:lineRule="auto"/>
        <w:ind w:firstLine="720"/>
        <w:jc w:val="both"/>
        <w:rPr>
          <w:rFonts w:asciiTheme="minorHAnsi" w:eastAsia="Calibri" w:hAnsiTheme="minorHAnsi" w:cstheme="minorHAnsi"/>
          <w:iCs/>
          <w:color w:val="000000" w:themeColor="text1"/>
          <w:sz w:val="26"/>
          <w:szCs w:val="26"/>
        </w:rPr>
      </w:pPr>
      <w:r w:rsidRPr="001862D3">
        <w:rPr>
          <w:rFonts w:asciiTheme="minorHAnsi" w:eastAsia="Calibri" w:hAnsiTheme="minorHAnsi" w:cstheme="minorHAnsi"/>
          <w:iCs/>
          <w:color w:val="000000" w:themeColor="text1"/>
          <w:sz w:val="26"/>
          <w:szCs w:val="26"/>
        </w:rPr>
        <w:t>Pentru a atinge aceste obiective, actualul program de formare inițială extinde studiul materiilor non-juridice, prin includerea unor materii precum</w:t>
      </w:r>
      <w:r w:rsidR="0092714E">
        <w:rPr>
          <w:rFonts w:asciiTheme="minorHAnsi" w:eastAsia="Calibri" w:hAnsiTheme="minorHAnsi" w:cstheme="minorHAnsi"/>
          <w:iCs/>
          <w:color w:val="000000" w:themeColor="text1"/>
          <w:sz w:val="26"/>
          <w:szCs w:val="26"/>
        </w:rPr>
        <w:t xml:space="preserve"> </w:t>
      </w:r>
      <w:r w:rsidRPr="001862D3">
        <w:rPr>
          <w:rFonts w:asciiTheme="minorHAnsi" w:eastAsia="Calibri" w:hAnsiTheme="minorHAnsi" w:cstheme="minorHAnsi"/>
          <w:iCs/>
          <w:color w:val="000000" w:themeColor="text1"/>
          <w:sz w:val="26"/>
          <w:szCs w:val="26"/>
        </w:rPr>
        <w:t>comunicarea și dezvoltarea personală, aspecte de economie comportamentală, sociologie, psihologie și etică.</w:t>
      </w:r>
    </w:p>
    <w:p w14:paraId="5DF4F576" w14:textId="7F714244" w:rsidR="00021845" w:rsidRPr="001862D3" w:rsidRDefault="00021845" w:rsidP="009E3AD8">
      <w:pPr>
        <w:spacing w:line="276" w:lineRule="auto"/>
        <w:ind w:firstLine="720"/>
        <w:jc w:val="both"/>
        <w:rPr>
          <w:rFonts w:asciiTheme="minorHAnsi" w:eastAsia="Calibri" w:hAnsiTheme="minorHAnsi" w:cstheme="minorHAnsi"/>
          <w:iCs/>
          <w:color w:val="000000" w:themeColor="text1"/>
          <w:sz w:val="26"/>
          <w:szCs w:val="26"/>
        </w:rPr>
      </w:pPr>
      <w:r w:rsidRPr="00221994">
        <w:rPr>
          <w:rFonts w:asciiTheme="minorHAnsi" w:eastAsia="Calibri" w:hAnsiTheme="minorHAnsi" w:cstheme="minorHAnsi"/>
          <w:iCs/>
          <w:color w:val="000000" w:themeColor="text1"/>
          <w:sz w:val="26"/>
          <w:szCs w:val="26"/>
        </w:rPr>
        <w:t>Caracterul interdisciplinar</w:t>
      </w:r>
      <w:r w:rsidRPr="001862D3">
        <w:rPr>
          <w:rFonts w:asciiTheme="minorHAnsi" w:eastAsia="Calibri" w:hAnsiTheme="minorHAnsi" w:cstheme="minorHAnsi"/>
          <w:iCs/>
          <w:color w:val="000000" w:themeColor="text1"/>
          <w:sz w:val="26"/>
          <w:szCs w:val="26"/>
        </w:rPr>
        <w:t xml:space="preserve"> al formării implică asimilarea cunoștințelor și dobândirea abilităților necesare pentru exercitarea viitoarei profesii într-un mod integrat. De exemplu, procesele simulate permit aplicarea practică a cunoștințelor într-un cadru complex, auditorii de justiție putând să înțeleagă mai bine cum se interconectează anumite discipline, inclusiv noțiunile de drept al Uniunii și cele privind aplicarea C</w:t>
      </w:r>
      <w:r w:rsidR="00D86FE2">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E</w:t>
      </w:r>
      <w:r w:rsidR="00D86FE2">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D</w:t>
      </w:r>
      <w:r w:rsidR="00D86FE2">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O</w:t>
      </w:r>
      <w:r w:rsidR="00D86FE2">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 Astfel, sunt organizate, în continuare, procese simulate, gestionate de echipe mixte de formatori din catedrele disciplinelor non-juridice, din catedra aferentă materiei juridice relevante prin raportare la obiectul dosarului, precum și din catedrele Dreptul U</w:t>
      </w:r>
      <w:r w:rsidR="00337F6D">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E</w:t>
      </w:r>
      <w:r w:rsidR="00337F6D">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 xml:space="preserve"> şi C</w:t>
      </w:r>
      <w:r w:rsidR="00337F6D">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E</w:t>
      </w:r>
      <w:r w:rsidR="00337F6D">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D</w:t>
      </w:r>
      <w:r w:rsidR="00337F6D">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O</w:t>
      </w:r>
      <w:r w:rsidR="00337F6D">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 xml:space="preserve">. La aceste activități sunt cooptați, în continuare, avocați stagiari și formatori ai Institutului Național pentru Pregătirea și Perfecționarea Avocaților, precum și cursanți ai Școlii Naționale de Grefieri, pentru o mai bună înțelegere a rolului altor profesii juridice. </w:t>
      </w:r>
    </w:p>
    <w:p w14:paraId="1979A668" w14:textId="77777777" w:rsidR="00021845" w:rsidRPr="001862D3" w:rsidRDefault="00021845" w:rsidP="009E3AD8">
      <w:pPr>
        <w:spacing w:line="276" w:lineRule="auto"/>
        <w:ind w:firstLine="720"/>
        <w:jc w:val="both"/>
        <w:rPr>
          <w:rFonts w:asciiTheme="minorHAnsi" w:eastAsia="Calibri" w:hAnsiTheme="minorHAnsi" w:cstheme="minorHAnsi"/>
          <w:iCs/>
          <w:color w:val="000000" w:themeColor="text1"/>
          <w:sz w:val="26"/>
          <w:szCs w:val="26"/>
        </w:rPr>
      </w:pPr>
      <w:r w:rsidRPr="00513ABE">
        <w:rPr>
          <w:rFonts w:asciiTheme="minorHAnsi" w:eastAsia="Calibri" w:hAnsiTheme="minorHAnsi" w:cstheme="minorHAnsi"/>
          <w:iCs/>
          <w:color w:val="000000" w:themeColor="text1"/>
          <w:sz w:val="26"/>
          <w:szCs w:val="26"/>
        </w:rPr>
        <w:t>Consolidarea caracterului unitar al formării inițiale și al evaluării</w:t>
      </w:r>
      <w:r w:rsidRPr="001862D3">
        <w:rPr>
          <w:rFonts w:asciiTheme="minorHAnsi" w:eastAsia="Calibri" w:hAnsiTheme="minorHAnsi" w:cstheme="minorHAnsi"/>
          <w:iCs/>
          <w:color w:val="000000" w:themeColor="text1"/>
          <w:sz w:val="26"/>
          <w:szCs w:val="26"/>
        </w:rPr>
        <w:t xml:space="preserve"> auditorilor de justiție reprezintă un pilon esențial în asigurarea unui nivel de pregătire consistent și eficace. Aceasta se realizează, printre altele, prin standardizarea planurilor de seminar și armonizarea metodologiilor de instruire și evaluare. Utilizarea unor materiale didactice coordonate și integrate, comune formatorilor de la fiecare disciplină, o colaborare strânsă între formatori de la discipline complementare, organizarea și evaluarea activităților potrivit unor criterii unitare, evaluările standardizate, dar și un dialog continuu al personalului de instruire este în măsură să contribuie </w:t>
      </w:r>
      <w:r w:rsidRPr="001862D3">
        <w:rPr>
          <w:rFonts w:asciiTheme="minorHAnsi" w:eastAsia="Calibri" w:hAnsiTheme="minorHAnsi" w:cstheme="minorHAnsi"/>
          <w:iCs/>
          <w:color w:val="000000" w:themeColor="text1"/>
          <w:sz w:val="26"/>
          <w:szCs w:val="26"/>
        </w:rPr>
        <w:lastRenderedPageBreak/>
        <w:t xml:space="preserve">la eliminarea discrepanțelor în ceea ce privește dobândirea de competențe, facilitând o tranziție fluidă și echitabilă în rolurile profesionale viitoare. </w:t>
      </w:r>
    </w:p>
    <w:p w14:paraId="6AF1A4E4" w14:textId="77777777" w:rsidR="00021845" w:rsidRPr="001862D3" w:rsidRDefault="00021845" w:rsidP="009E3AD8">
      <w:pPr>
        <w:spacing w:line="276" w:lineRule="auto"/>
        <w:ind w:firstLine="708"/>
        <w:jc w:val="both"/>
        <w:rPr>
          <w:rFonts w:asciiTheme="minorHAnsi" w:hAnsiTheme="minorHAnsi" w:cstheme="minorHAnsi"/>
          <w:bCs/>
          <w:color w:val="000000" w:themeColor="text1"/>
          <w:sz w:val="26"/>
          <w:szCs w:val="26"/>
        </w:rPr>
      </w:pPr>
      <w:r w:rsidRPr="001862D3">
        <w:rPr>
          <w:rFonts w:asciiTheme="minorHAnsi" w:eastAsia="Calibri" w:hAnsiTheme="minorHAnsi" w:cstheme="minorHAnsi"/>
          <w:iCs/>
          <w:color w:val="000000" w:themeColor="text1"/>
          <w:sz w:val="26"/>
          <w:szCs w:val="26"/>
        </w:rPr>
        <w:t>Evaluarea auditorilor de justiție prin acordare de notă/calificativ este realizată pentru fiecare disciplină potrivit programului de formare. Ca element de noutate,</w:t>
      </w:r>
      <w:r w:rsidRPr="001862D3">
        <w:rPr>
          <w:rFonts w:asciiTheme="minorHAnsi" w:hAnsiTheme="minorHAnsi" w:cstheme="minorHAnsi"/>
          <w:bCs/>
          <w:color w:val="000000" w:themeColor="text1"/>
          <w:sz w:val="26"/>
          <w:szCs w:val="26"/>
        </w:rPr>
        <w:t xml:space="preserve"> în ceea ce privește evaluarea continuă, aceasta nu mai este realizată prin acordarea de notă/calificativ și nu mai constituie o componentă a notei finale a disciplinei. Formatorii acordă feedback auditorilor de justiție în privința participării acestora la seminare și la progresul înregistrat, cu titlu de regularitate, potrivit criteriilor de evaluare stabilite prin formularele de evaluare continuă. Feedbackul acordat are un caracter individualizat şi vizează nevoile specifice și obiectivele de învățare ale fiecărui auditor de justiție, cu scopul de a stimula dezvoltarea competențelor profesionale și de a oferi recomandări fundamentate pentru perfecționare. Acest feedback acordat pentru evaluare continuă nu presupune acordarea de note.</w:t>
      </w:r>
    </w:p>
    <w:p w14:paraId="534FB91C" w14:textId="67170CF9" w:rsidR="00021845" w:rsidRPr="001862D3" w:rsidRDefault="00021845" w:rsidP="009E3AD8">
      <w:pPr>
        <w:spacing w:line="276" w:lineRule="auto"/>
        <w:ind w:firstLine="720"/>
        <w:jc w:val="both"/>
        <w:rPr>
          <w:rFonts w:asciiTheme="minorHAnsi" w:eastAsia="Calibri" w:hAnsiTheme="minorHAnsi" w:cstheme="minorHAnsi"/>
          <w:color w:val="000000" w:themeColor="text1"/>
          <w:sz w:val="26"/>
          <w:szCs w:val="26"/>
        </w:rPr>
      </w:pPr>
      <w:r w:rsidRPr="00513ABE">
        <w:rPr>
          <w:rFonts w:asciiTheme="minorHAnsi" w:eastAsia="Calibri" w:hAnsiTheme="minorHAnsi" w:cstheme="minorHAnsi"/>
          <w:iCs/>
          <w:color w:val="000000" w:themeColor="text1"/>
          <w:sz w:val="26"/>
          <w:szCs w:val="26"/>
        </w:rPr>
        <w:t>Asigurarea unei formări complexe și complete presupune ca</w:t>
      </w:r>
      <w:r w:rsidRPr="001862D3">
        <w:rPr>
          <w:rFonts w:asciiTheme="minorHAnsi" w:eastAsia="Calibri" w:hAnsiTheme="minorHAnsi" w:cstheme="minorHAnsi"/>
          <w:iCs/>
          <w:color w:val="000000" w:themeColor="text1"/>
          <w:sz w:val="26"/>
          <w:szCs w:val="26"/>
        </w:rPr>
        <w:t xml:space="preserve">, la finalul programului de pregătire, auditorii de justiție să cunoască contextul social și economic în care își vor desfășura activitatea. Astfel, </w:t>
      </w:r>
      <w:r w:rsidRPr="001862D3">
        <w:rPr>
          <w:rFonts w:asciiTheme="minorHAnsi" w:eastAsia="Calibri" w:hAnsiTheme="minorHAnsi" w:cstheme="minorHAnsi"/>
          <w:color w:val="000000" w:themeColor="text1"/>
          <w:sz w:val="26"/>
          <w:szCs w:val="26"/>
        </w:rPr>
        <w:t>având în vedere necesitatea formării unui profil de magistrat capabil să răspundă dinamicilor societății contemporane și provocărilor generate de evoluțiile rapide ale acesteia, se continuă seria activităților extracurriculare. Aceste activități, care includ conferințe, ateliere și vizite organizate periodic, joacă un rol esențial în dezvoltarea abilităților practice și în conturarea unei perspective ample asupra problematicilor sociale.</w:t>
      </w:r>
    </w:p>
    <w:p w14:paraId="347D51CC" w14:textId="7398CDC2" w:rsidR="00021845" w:rsidRPr="001862D3" w:rsidRDefault="00021845" w:rsidP="009E3AD8">
      <w:pPr>
        <w:spacing w:line="276" w:lineRule="auto"/>
        <w:ind w:firstLine="720"/>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t>Un accent deosebit este pus pe tematici precum: securitatea cibernetică și protecția datelor cu caracter personal, tehnici de luare a deciziilor, managementul timpului, erorile judiciare și impactul acestora, metode speciale de investigare a anumitor tipuri de infracțiuni, posibilităţi de detectare</w:t>
      </w:r>
      <w:r w:rsidR="00513ABE">
        <w:rPr>
          <w:rFonts w:asciiTheme="minorHAnsi" w:eastAsia="Calibri" w:hAnsiTheme="minorHAnsi" w:cstheme="minorHAnsi"/>
          <w:color w:val="000000" w:themeColor="text1"/>
          <w:sz w:val="26"/>
          <w:szCs w:val="26"/>
        </w:rPr>
        <w:t xml:space="preserve"> </w:t>
      </w:r>
      <w:r w:rsidRPr="001862D3">
        <w:rPr>
          <w:rFonts w:asciiTheme="minorHAnsi" w:eastAsia="Calibri" w:hAnsiTheme="minorHAnsi" w:cstheme="minorHAnsi"/>
          <w:color w:val="000000" w:themeColor="text1"/>
          <w:sz w:val="26"/>
          <w:szCs w:val="26"/>
        </w:rPr>
        <w:t xml:space="preserve">a </w:t>
      </w:r>
      <w:r w:rsidR="00513ABE">
        <w:rPr>
          <w:rFonts w:asciiTheme="minorHAnsi" w:eastAsia="Calibri" w:hAnsiTheme="minorHAnsi" w:cstheme="minorHAnsi"/>
          <w:color w:val="000000" w:themeColor="text1"/>
          <w:sz w:val="26"/>
          <w:szCs w:val="26"/>
        </w:rPr>
        <w:t>comportamentului simulat</w:t>
      </w:r>
      <w:r w:rsidRPr="001862D3">
        <w:rPr>
          <w:rFonts w:asciiTheme="minorHAnsi" w:eastAsia="Calibri" w:hAnsiTheme="minorHAnsi" w:cstheme="minorHAnsi"/>
          <w:color w:val="000000" w:themeColor="text1"/>
          <w:sz w:val="26"/>
          <w:szCs w:val="26"/>
        </w:rPr>
        <w:t xml:space="preserve"> în context judiciar, conduita profesională și interacțiunea cu alte categorii profesionale din cadrul sistemului judiciar.</w:t>
      </w:r>
    </w:p>
    <w:p w14:paraId="46B7C4CB" w14:textId="77777777" w:rsidR="00021845" w:rsidRPr="00513ABE" w:rsidRDefault="00021845" w:rsidP="009E3AD8">
      <w:pPr>
        <w:spacing w:line="276" w:lineRule="auto"/>
        <w:ind w:firstLine="709"/>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t xml:space="preserve">Ca element de noutate față de anul de formare anterior, auditorii de justiție din anul I au optat, în funcție de interesul manifestat în sensul dezvoltării anumitor abilităţi, pentru una dintre </w:t>
      </w:r>
      <w:r w:rsidRPr="00513ABE">
        <w:rPr>
          <w:rFonts w:asciiTheme="minorHAnsi" w:eastAsia="Calibri" w:hAnsiTheme="minorHAnsi" w:cstheme="minorHAnsi"/>
          <w:color w:val="000000" w:themeColor="text1"/>
          <w:sz w:val="26"/>
          <w:szCs w:val="26"/>
        </w:rPr>
        <w:t>disciplinele incluse într-un pol dedicat:</w:t>
      </w:r>
    </w:p>
    <w:p w14:paraId="130576BE" w14:textId="77777777" w:rsidR="00021845" w:rsidRPr="00513ABE" w:rsidRDefault="00021845" w:rsidP="00281400">
      <w:pPr>
        <w:numPr>
          <w:ilvl w:val="0"/>
          <w:numId w:val="28"/>
        </w:numPr>
        <w:spacing w:after="160" w:line="276" w:lineRule="auto"/>
        <w:ind w:left="1080"/>
        <w:contextualSpacing/>
        <w:jc w:val="both"/>
        <w:rPr>
          <w:rFonts w:asciiTheme="minorHAnsi" w:eastAsia="Calibri" w:hAnsiTheme="minorHAnsi" w:cstheme="minorHAnsi"/>
          <w:color w:val="000000" w:themeColor="text1"/>
          <w:sz w:val="26"/>
          <w:szCs w:val="26"/>
        </w:rPr>
      </w:pPr>
      <w:r w:rsidRPr="00513ABE">
        <w:rPr>
          <w:rFonts w:asciiTheme="minorHAnsi" w:eastAsia="Calibri" w:hAnsiTheme="minorHAnsi" w:cstheme="minorHAnsi"/>
          <w:color w:val="000000" w:themeColor="text1"/>
          <w:sz w:val="26"/>
          <w:szCs w:val="26"/>
        </w:rPr>
        <w:t xml:space="preserve">Tehnici de audiere a minorilor în context judiciar </w:t>
      </w:r>
    </w:p>
    <w:p w14:paraId="53A90614" w14:textId="77777777" w:rsidR="00021845" w:rsidRPr="00513ABE" w:rsidRDefault="00021845" w:rsidP="009E3AD8">
      <w:pPr>
        <w:spacing w:line="276" w:lineRule="auto"/>
        <w:ind w:firstLine="720"/>
        <w:jc w:val="both"/>
        <w:rPr>
          <w:rFonts w:asciiTheme="minorHAnsi" w:eastAsia="Calibri" w:hAnsiTheme="minorHAnsi" w:cstheme="minorHAnsi"/>
          <w:color w:val="000000" w:themeColor="text1"/>
          <w:sz w:val="26"/>
          <w:szCs w:val="26"/>
        </w:rPr>
      </w:pPr>
      <w:r w:rsidRPr="00513ABE">
        <w:rPr>
          <w:rFonts w:asciiTheme="minorHAnsi" w:eastAsia="Calibri" w:hAnsiTheme="minorHAnsi" w:cstheme="minorHAnsi"/>
          <w:color w:val="000000" w:themeColor="text1"/>
          <w:sz w:val="26"/>
          <w:szCs w:val="26"/>
        </w:rPr>
        <w:t xml:space="preserve">Disciplina are ca scop dobândirea unor cunoștințe și abilități de bază în gestionarea interacțiunii cu minorii implicați în proceduri penale și civile, în special a unor abilități de realizare a interviului de investigație. </w:t>
      </w:r>
    </w:p>
    <w:p w14:paraId="165B09CE" w14:textId="77777777" w:rsidR="00021845" w:rsidRPr="00513ABE" w:rsidRDefault="00021845" w:rsidP="00281400">
      <w:pPr>
        <w:numPr>
          <w:ilvl w:val="0"/>
          <w:numId w:val="28"/>
        </w:numPr>
        <w:spacing w:after="160" w:line="276" w:lineRule="auto"/>
        <w:ind w:left="1080"/>
        <w:contextualSpacing/>
        <w:jc w:val="both"/>
        <w:rPr>
          <w:rFonts w:asciiTheme="minorHAnsi" w:eastAsia="Calibri" w:hAnsiTheme="minorHAnsi" w:cstheme="minorHAnsi"/>
          <w:color w:val="000000" w:themeColor="text1"/>
          <w:sz w:val="26"/>
          <w:szCs w:val="26"/>
        </w:rPr>
      </w:pPr>
      <w:r w:rsidRPr="00513ABE">
        <w:rPr>
          <w:rFonts w:asciiTheme="minorHAnsi" w:eastAsia="Calibri" w:hAnsiTheme="minorHAnsi" w:cstheme="minorHAnsi"/>
          <w:color w:val="000000" w:themeColor="text1"/>
          <w:sz w:val="26"/>
          <w:szCs w:val="26"/>
        </w:rPr>
        <w:t>Demnitatea magistraturii. Lecții ale istoriei</w:t>
      </w:r>
    </w:p>
    <w:p w14:paraId="3D93E3D3" w14:textId="77777777" w:rsidR="00021845" w:rsidRPr="00513ABE" w:rsidRDefault="00021845" w:rsidP="009E3AD8">
      <w:pPr>
        <w:spacing w:line="276" w:lineRule="auto"/>
        <w:ind w:firstLine="708"/>
        <w:jc w:val="both"/>
        <w:rPr>
          <w:rFonts w:asciiTheme="minorHAnsi" w:eastAsia="Calibri" w:hAnsiTheme="minorHAnsi" w:cstheme="minorHAnsi"/>
          <w:color w:val="000000" w:themeColor="text1"/>
          <w:sz w:val="26"/>
          <w:szCs w:val="26"/>
        </w:rPr>
      </w:pPr>
      <w:r w:rsidRPr="00513ABE">
        <w:rPr>
          <w:rFonts w:asciiTheme="minorHAnsi" w:eastAsia="Calibri" w:hAnsiTheme="minorHAnsi" w:cstheme="minorHAnsi"/>
          <w:color w:val="000000" w:themeColor="text1"/>
          <w:sz w:val="26"/>
          <w:szCs w:val="26"/>
        </w:rPr>
        <w:t>Obiectivul acestei discipline este înțelegerea valorilor fundamentale ale magistraturii și rolul său în societate, prin prisma lecțiilor oferite de istorie în scopul dezvoltării unui simț al demnității profesiei și conștientizarea importanței independenței și integrității.</w:t>
      </w:r>
    </w:p>
    <w:p w14:paraId="6D97F422" w14:textId="77777777" w:rsidR="00021845" w:rsidRPr="00513ABE" w:rsidRDefault="00021845" w:rsidP="00281400">
      <w:pPr>
        <w:keepNext/>
        <w:numPr>
          <w:ilvl w:val="0"/>
          <w:numId w:val="28"/>
        </w:numPr>
        <w:spacing w:after="160" w:line="276" w:lineRule="auto"/>
        <w:ind w:left="1080"/>
        <w:contextualSpacing/>
        <w:jc w:val="both"/>
        <w:rPr>
          <w:rFonts w:asciiTheme="minorHAnsi" w:eastAsia="Calibri" w:hAnsiTheme="minorHAnsi" w:cstheme="minorHAnsi"/>
          <w:color w:val="000000" w:themeColor="text1"/>
          <w:sz w:val="26"/>
          <w:szCs w:val="26"/>
        </w:rPr>
      </w:pPr>
      <w:r w:rsidRPr="00513ABE">
        <w:rPr>
          <w:rFonts w:asciiTheme="minorHAnsi" w:eastAsia="Calibri" w:hAnsiTheme="minorHAnsi" w:cstheme="minorHAnsi"/>
          <w:color w:val="000000" w:themeColor="text1"/>
          <w:sz w:val="26"/>
          <w:szCs w:val="26"/>
        </w:rPr>
        <w:t>Metodologia actului de justiție</w:t>
      </w:r>
    </w:p>
    <w:p w14:paraId="797DBE6D" w14:textId="77777777" w:rsidR="00021845" w:rsidRPr="001862D3" w:rsidRDefault="00021845" w:rsidP="002D2047">
      <w:pPr>
        <w:keepNext/>
        <w:spacing w:line="276" w:lineRule="auto"/>
        <w:ind w:firstLine="708"/>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t>Această disciplină are drept obiectiv de formare perfecționarea tehnicilor de redactare, motivare și gestionare a dosarelor, în scopul de a dezvolta capacitatea de a elabora acte judiciare bine fundamentate, coerente și accesibile părților.</w:t>
      </w:r>
    </w:p>
    <w:p w14:paraId="67FF4206" w14:textId="77777777" w:rsidR="00021845" w:rsidRPr="00513ABE" w:rsidRDefault="00021845" w:rsidP="00281400">
      <w:pPr>
        <w:numPr>
          <w:ilvl w:val="0"/>
          <w:numId w:val="28"/>
        </w:numPr>
        <w:spacing w:after="160" w:line="276" w:lineRule="auto"/>
        <w:ind w:left="1080"/>
        <w:contextualSpacing/>
        <w:jc w:val="both"/>
        <w:rPr>
          <w:rFonts w:asciiTheme="minorHAnsi" w:eastAsia="Calibri" w:hAnsiTheme="minorHAnsi" w:cstheme="minorHAnsi"/>
          <w:color w:val="000000" w:themeColor="text1"/>
          <w:sz w:val="26"/>
          <w:szCs w:val="26"/>
        </w:rPr>
      </w:pPr>
      <w:r w:rsidRPr="00513ABE">
        <w:rPr>
          <w:rFonts w:asciiTheme="minorHAnsi" w:eastAsia="Calibri" w:hAnsiTheme="minorHAnsi" w:cstheme="minorHAnsi"/>
          <w:color w:val="000000" w:themeColor="text1"/>
          <w:sz w:val="26"/>
          <w:szCs w:val="26"/>
        </w:rPr>
        <w:t>Public speaking</w:t>
      </w:r>
    </w:p>
    <w:p w14:paraId="619485C0" w14:textId="77777777" w:rsidR="00DF5A18" w:rsidRDefault="00021845" w:rsidP="00DF5A18">
      <w:pPr>
        <w:spacing w:line="276" w:lineRule="auto"/>
        <w:ind w:firstLine="708"/>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t>Disciplina vizează dezvoltarea abilităților de comunicare publică necesare pentru interacțiunea cu părțile, colegii și societatea, prin deprinderea unor tehnici de vorbire în public, gestionarea emoțiilor, adaptarea mesajului la audiență și limbajul non-verbal.</w:t>
      </w:r>
      <w:bookmarkStart w:id="92" w:name="_Hlk187743177"/>
      <w:bookmarkStart w:id="93" w:name="_Hlk187755880"/>
    </w:p>
    <w:p w14:paraId="54718F50" w14:textId="4F2588E2" w:rsidR="00021845" w:rsidRPr="00DF5A18" w:rsidRDefault="00021845" w:rsidP="00281400">
      <w:pPr>
        <w:numPr>
          <w:ilvl w:val="0"/>
          <w:numId w:val="28"/>
        </w:numPr>
        <w:tabs>
          <w:tab w:val="left" w:pos="1080"/>
        </w:tabs>
        <w:spacing w:after="160" w:line="276" w:lineRule="auto"/>
        <w:ind w:left="720" w:firstLine="0"/>
        <w:contextualSpacing/>
        <w:jc w:val="both"/>
        <w:rPr>
          <w:rFonts w:asciiTheme="minorHAnsi" w:eastAsia="Calibri" w:hAnsiTheme="minorHAnsi" w:cstheme="minorHAnsi"/>
          <w:color w:val="000000" w:themeColor="text1"/>
          <w:sz w:val="26"/>
          <w:szCs w:val="26"/>
        </w:rPr>
      </w:pPr>
      <w:r w:rsidRPr="00DF5A18">
        <w:rPr>
          <w:rFonts w:asciiTheme="minorHAnsi" w:eastAsia="Calibri" w:hAnsiTheme="minorHAnsi" w:cstheme="minorHAnsi"/>
          <w:color w:val="000000" w:themeColor="text1"/>
          <w:sz w:val="26"/>
          <w:szCs w:val="26"/>
        </w:rPr>
        <w:lastRenderedPageBreak/>
        <w:t>Protecția drepturilor fundamentale în spațiul european – în limba engleză, în limba</w:t>
      </w:r>
      <w:r w:rsidR="00DF5A18" w:rsidRPr="00DF5A18">
        <w:rPr>
          <w:rFonts w:asciiTheme="minorHAnsi" w:eastAsia="Calibri" w:hAnsiTheme="minorHAnsi" w:cstheme="minorHAnsi"/>
          <w:color w:val="000000" w:themeColor="text1"/>
          <w:sz w:val="26"/>
          <w:szCs w:val="26"/>
        </w:rPr>
        <w:t xml:space="preserve"> </w:t>
      </w:r>
      <w:r w:rsidR="00DF5A18">
        <w:rPr>
          <w:rFonts w:asciiTheme="minorHAnsi" w:eastAsia="Calibri" w:hAnsiTheme="minorHAnsi" w:cstheme="minorHAnsi"/>
          <w:color w:val="000000" w:themeColor="text1"/>
          <w:sz w:val="26"/>
          <w:szCs w:val="26"/>
        </w:rPr>
        <w:t>f</w:t>
      </w:r>
      <w:r w:rsidRPr="00DF5A18">
        <w:rPr>
          <w:rFonts w:asciiTheme="minorHAnsi" w:eastAsia="Calibri" w:hAnsiTheme="minorHAnsi" w:cstheme="minorHAnsi"/>
          <w:color w:val="000000" w:themeColor="text1"/>
          <w:sz w:val="26"/>
          <w:szCs w:val="26"/>
        </w:rPr>
        <w:t>ranceză</w:t>
      </w:r>
      <w:bookmarkEnd w:id="92"/>
      <w:r w:rsidRPr="00DF5A18">
        <w:rPr>
          <w:rFonts w:asciiTheme="minorHAnsi" w:eastAsia="Calibri" w:hAnsiTheme="minorHAnsi" w:cstheme="minorHAnsi"/>
          <w:color w:val="000000" w:themeColor="text1"/>
          <w:sz w:val="26"/>
          <w:szCs w:val="26"/>
        </w:rPr>
        <w:t xml:space="preserve"> și în limba spaniolă</w:t>
      </w:r>
    </w:p>
    <w:p w14:paraId="2393D2BF" w14:textId="6FC90545" w:rsidR="00021845" w:rsidRPr="001862D3" w:rsidRDefault="00021845" w:rsidP="009E3AD8">
      <w:pPr>
        <w:spacing w:line="276" w:lineRule="auto"/>
        <w:ind w:firstLine="708"/>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t>Această disciplină are ca obiectiv dezvoltarea competențelor lingvistice și juridice pentru aplicarea corectă a standardelor europene privind drepturile fundamentale. Disciplina include studierea jurisprudenței C</w:t>
      </w:r>
      <w:r w:rsidR="00AF131E">
        <w:rPr>
          <w:rFonts w:asciiTheme="minorHAnsi" w:eastAsia="Calibri" w:hAnsiTheme="minorHAnsi" w:cstheme="minorHAnsi"/>
          <w:color w:val="000000" w:themeColor="text1"/>
          <w:sz w:val="26"/>
          <w:szCs w:val="26"/>
        </w:rPr>
        <w:t>.</w:t>
      </w:r>
      <w:r w:rsidRPr="001862D3">
        <w:rPr>
          <w:rFonts w:asciiTheme="minorHAnsi" w:eastAsia="Calibri" w:hAnsiTheme="minorHAnsi" w:cstheme="minorHAnsi"/>
          <w:color w:val="000000" w:themeColor="text1"/>
          <w:sz w:val="26"/>
          <w:szCs w:val="26"/>
        </w:rPr>
        <w:t>E</w:t>
      </w:r>
      <w:r w:rsidR="00AF131E">
        <w:rPr>
          <w:rFonts w:asciiTheme="minorHAnsi" w:eastAsia="Calibri" w:hAnsiTheme="minorHAnsi" w:cstheme="minorHAnsi"/>
          <w:color w:val="000000" w:themeColor="text1"/>
          <w:sz w:val="26"/>
          <w:szCs w:val="26"/>
        </w:rPr>
        <w:t>.</w:t>
      </w:r>
      <w:r w:rsidRPr="001862D3">
        <w:rPr>
          <w:rFonts w:asciiTheme="minorHAnsi" w:eastAsia="Calibri" w:hAnsiTheme="minorHAnsi" w:cstheme="minorHAnsi"/>
          <w:color w:val="000000" w:themeColor="text1"/>
          <w:sz w:val="26"/>
          <w:szCs w:val="26"/>
        </w:rPr>
        <w:t>D</w:t>
      </w:r>
      <w:r w:rsidR="00AF131E">
        <w:rPr>
          <w:rFonts w:asciiTheme="minorHAnsi" w:eastAsia="Calibri" w:hAnsiTheme="minorHAnsi" w:cstheme="minorHAnsi"/>
          <w:color w:val="000000" w:themeColor="text1"/>
          <w:sz w:val="26"/>
          <w:szCs w:val="26"/>
        </w:rPr>
        <w:t>.</w:t>
      </w:r>
      <w:r w:rsidRPr="001862D3">
        <w:rPr>
          <w:rFonts w:asciiTheme="minorHAnsi" w:eastAsia="Calibri" w:hAnsiTheme="minorHAnsi" w:cstheme="minorHAnsi"/>
          <w:color w:val="000000" w:themeColor="text1"/>
          <w:sz w:val="26"/>
          <w:szCs w:val="26"/>
        </w:rPr>
        <w:t>O</w:t>
      </w:r>
      <w:r w:rsidR="00AF131E">
        <w:rPr>
          <w:rFonts w:asciiTheme="minorHAnsi" w:eastAsia="Calibri" w:hAnsiTheme="minorHAnsi" w:cstheme="minorHAnsi"/>
          <w:color w:val="000000" w:themeColor="text1"/>
          <w:sz w:val="26"/>
          <w:szCs w:val="26"/>
        </w:rPr>
        <w:t>.</w:t>
      </w:r>
      <w:r w:rsidRPr="001862D3">
        <w:rPr>
          <w:rFonts w:asciiTheme="minorHAnsi" w:eastAsia="Calibri" w:hAnsiTheme="minorHAnsi" w:cstheme="minorHAnsi"/>
          <w:color w:val="000000" w:themeColor="text1"/>
          <w:sz w:val="26"/>
          <w:szCs w:val="26"/>
        </w:rPr>
        <w:t xml:space="preserve"> și C</w:t>
      </w:r>
      <w:r w:rsidR="00AF131E">
        <w:rPr>
          <w:rFonts w:asciiTheme="minorHAnsi" w:eastAsia="Calibri" w:hAnsiTheme="minorHAnsi" w:cstheme="minorHAnsi"/>
          <w:color w:val="000000" w:themeColor="text1"/>
          <w:sz w:val="26"/>
          <w:szCs w:val="26"/>
        </w:rPr>
        <w:t>.</w:t>
      </w:r>
      <w:r w:rsidRPr="001862D3">
        <w:rPr>
          <w:rFonts w:asciiTheme="minorHAnsi" w:eastAsia="Calibri" w:hAnsiTheme="minorHAnsi" w:cstheme="minorHAnsi"/>
          <w:color w:val="000000" w:themeColor="text1"/>
          <w:sz w:val="26"/>
          <w:szCs w:val="26"/>
        </w:rPr>
        <w:t>J</w:t>
      </w:r>
      <w:r w:rsidR="00AF131E">
        <w:rPr>
          <w:rFonts w:asciiTheme="minorHAnsi" w:eastAsia="Calibri" w:hAnsiTheme="minorHAnsi" w:cstheme="minorHAnsi"/>
          <w:color w:val="000000" w:themeColor="text1"/>
          <w:sz w:val="26"/>
          <w:szCs w:val="26"/>
        </w:rPr>
        <w:t>.</w:t>
      </w:r>
      <w:r w:rsidRPr="001862D3">
        <w:rPr>
          <w:rFonts w:asciiTheme="minorHAnsi" w:eastAsia="Calibri" w:hAnsiTheme="minorHAnsi" w:cstheme="minorHAnsi"/>
          <w:color w:val="000000" w:themeColor="text1"/>
          <w:sz w:val="26"/>
          <w:szCs w:val="26"/>
        </w:rPr>
        <w:t>U</w:t>
      </w:r>
      <w:r w:rsidR="00AF131E">
        <w:rPr>
          <w:rFonts w:asciiTheme="minorHAnsi" w:eastAsia="Calibri" w:hAnsiTheme="minorHAnsi" w:cstheme="minorHAnsi"/>
          <w:color w:val="000000" w:themeColor="text1"/>
          <w:sz w:val="26"/>
          <w:szCs w:val="26"/>
        </w:rPr>
        <w:t>.</w:t>
      </w:r>
      <w:r w:rsidRPr="001862D3">
        <w:rPr>
          <w:rFonts w:asciiTheme="minorHAnsi" w:eastAsia="Calibri" w:hAnsiTheme="minorHAnsi" w:cstheme="minorHAnsi"/>
          <w:color w:val="000000" w:themeColor="text1"/>
          <w:sz w:val="26"/>
          <w:szCs w:val="26"/>
        </w:rPr>
        <w:t>E</w:t>
      </w:r>
      <w:r w:rsidR="00AF131E">
        <w:rPr>
          <w:rFonts w:asciiTheme="minorHAnsi" w:eastAsia="Calibri" w:hAnsiTheme="minorHAnsi" w:cstheme="minorHAnsi"/>
          <w:color w:val="000000" w:themeColor="text1"/>
          <w:sz w:val="26"/>
          <w:szCs w:val="26"/>
        </w:rPr>
        <w:t>.</w:t>
      </w:r>
      <w:r w:rsidRPr="001862D3">
        <w:rPr>
          <w:rFonts w:asciiTheme="minorHAnsi" w:eastAsia="Calibri" w:hAnsiTheme="minorHAnsi" w:cstheme="minorHAnsi"/>
          <w:color w:val="000000" w:themeColor="text1"/>
          <w:sz w:val="26"/>
          <w:szCs w:val="26"/>
        </w:rPr>
        <w:t>, utilizarea terminologiei juridice specifice și analiza unor studii de caz, permițând auditorilor să analizeze și să soluționeze cazuri complexe în acest domeniu, dar şi să utilizeze corect limbajul juridic în limba engleză, franceză sau spaniolă. Dezvoltarea unei perspective internaționale este indispensabilă pentru auditorii de justiție, care trebuie să aibă capacitatea de a înțelege și de a contribui activ la soluționarea problemelor juridice într-un cadru global interconectat, în care cooperarea judiciară este esenţială.</w:t>
      </w:r>
    </w:p>
    <w:p w14:paraId="7908A554" w14:textId="77777777" w:rsidR="00021845" w:rsidRPr="001862D3" w:rsidRDefault="00021845" w:rsidP="009E3AD8">
      <w:pPr>
        <w:spacing w:line="276" w:lineRule="auto"/>
        <w:ind w:firstLine="708"/>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t>Pentru desfășurarea modulelor în limba franceză și în limba spaniolă, Institutul beneficiază de sprijinul unor formatori din cadrul École Nationale de la Magistrature (Franța) și Escuela Judicial (Spania), magistraţi cu experienţă relevantă în formarea judiciară, precum şi de posibilitatea de a accesa resurse valoroase (inclusiv resuse bibliografice şi de cercetare). Această colaborare instituțională contribuie și la schimburile de practici dintre cele trei școli de formare profesională, pe baza legăturilor culturale și profesionale dintre state. Disciplina asigură o pregătire lingvistică și profesională necesară într-un sistem judiciar din ce în ce mai conectat la spațiul juridic european.</w:t>
      </w:r>
    </w:p>
    <w:bookmarkEnd w:id="93"/>
    <w:p w14:paraId="5BBB6D58" w14:textId="235C7928" w:rsidR="00021845" w:rsidRPr="00132694" w:rsidRDefault="00021845" w:rsidP="009E3AD8">
      <w:pPr>
        <w:spacing w:line="276" w:lineRule="auto"/>
        <w:ind w:firstLine="720"/>
        <w:jc w:val="both"/>
        <w:rPr>
          <w:rFonts w:asciiTheme="minorHAnsi" w:eastAsia="Calibri" w:hAnsiTheme="minorHAnsi" w:cstheme="minorHAnsi"/>
          <w:iCs/>
          <w:sz w:val="26"/>
          <w:szCs w:val="26"/>
        </w:rPr>
      </w:pPr>
      <w:r w:rsidRPr="001862D3">
        <w:rPr>
          <w:rFonts w:asciiTheme="minorHAnsi" w:eastAsia="Calibri" w:hAnsiTheme="minorHAnsi" w:cstheme="minorHAnsi"/>
          <w:color w:val="000000" w:themeColor="text1"/>
          <w:sz w:val="26"/>
          <w:szCs w:val="26"/>
        </w:rPr>
        <w:t xml:space="preserve">Tot cu titlu de noutate, printre activitățile </w:t>
      </w:r>
      <w:r w:rsidRPr="001862D3">
        <w:rPr>
          <w:rFonts w:asciiTheme="minorHAnsi" w:eastAsia="Calibri" w:hAnsiTheme="minorHAnsi" w:cstheme="minorHAnsi"/>
          <w:iCs/>
          <w:color w:val="000000" w:themeColor="text1"/>
          <w:sz w:val="26"/>
          <w:szCs w:val="26"/>
        </w:rPr>
        <w:t xml:space="preserve">care vizează dezvoltarea abilităților non-juridice (empatia, abilitățile de negociere, mediere și rezolvare a conflictelor, adaptarea mesajului la un public divers, comunicarea cu persoane din diverse medii sociale și culturale, colaborare și organizare, sensibilitatea față de problemele societății), este inclusă participarea auditorilor de justiție la </w:t>
      </w:r>
      <w:r w:rsidRPr="00B11E7E">
        <w:rPr>
          <w:rFonts w:asciiTheme="minorHAnsi" w:eastAsia="Calibri" w:hAnsiTheme="minorHAnsi" w:cstheme="minorHAnsi"/>
          <w:iCs/>
          <w:color w:val="000000" w:themeColor="text1"/>
          <w:sz w:val="26"/>
          <w:szCs w:val="26"/>
        </w:rPr>
        <w:t>programe de voluntariat</w:t>
      </w:r>
      <w:r w:rsidRPr="001862D3">
        <w:rPr>
          <w:rFonts w:asciiTheme="minorHAnsi" w:eastAsia="Calibri" w:hAnsiTheme="minorHAnsi" w:cstheme="minorHAnsi"/>
          <w:iCs/>
          <w:color w:val="000000" w:themeColor="text1"/>
          <w:sz w:val="26"/>
          <w:szCs w:val="26"/>
        </w:rPr>
        <w:t xml:space="preserve"> care vin în întâmpinarea nevoilor unor categorii de persoane vulnerabile (copii, persoane vârstnice, persoane cu dizabilități, victime ale consumului de droguri, victime ale violenței domestice etc.)</w:t>
      </w:r>
      <w:r w:rsidR="00B11E7E">
        <w:rPr>
          <w:rFonts w:asciiTheme="minorHAnsi" w:eastAsia="Calibri" w:hAnsiTheme="minorHAnsi" w:cstheme="minorHAnsi"/>
          <w:iCs/>
          <w:color w:val="000000" w:themeColor="text1"/>
          <w:sz w:val="26"/>
          <w:szCs w:val="26"/>
        </w:rPr>
        <w:t xml:space="preserve"> </w:t>
      </w:r>
      <w:r w:rsidRPr="001862D3">
        <w:rPr>
          <w:rFonts w:asciiTheme="minorHAnsi" w:eastAsia="Calibri" w:hAnsiTheme="minorHAnsi" w:cstheme="minorHAnsi"/>
          <w:iCs/>
          <w:color w:val="000000" w:themeColor="text1"/>
          <w:sz w:val="26"/>
          <w:szCs w:val="26"/>
        </w:rPr>
        <w:t xml:space="preserve">sau programe care au ca scop protecția mediului înconjurător, a patrimoniului cultural și altele. Implicarea individuală sau pe grupe de auditori de justiție în diverse proiecte de acest tip contribuie, implicit, la dezvoltarea personală, socială, civică și profesională a acestora, prin îmbogățirea competențelor și abilităților referite anterior, care îi ajută să fie mai bine pregătiți pentru provocările sociale și profesionale pe care le vor </w:t>
      </w:r>
      <w:r w:rsidRPr="00132694">
        <w:rPr>
          <w:rFonts w:asciiTheme="minorHAnsi" w:eastAsia="Calibri" w:hAnsiTheme="minorHAnsi" w:cstheme="minorHAnsi"/>
          <w:iCs/>
          <w:sz w:val="26"/>
          <w:szCs w:val="26"/>
        </w:rPr>
        <w:t xml:space="preserve">întâlni în carieră. </w:t>
      </w:r>
    </w:p>
    <w:p w14:paraId="0A5A1520" w14:textId="18389E1F" w:rsidR="00C300EF" w:rsidRPr="00132694" w:rsidRDefault="00C300EF" w:rsidP="00C300EF">
      <w:pPr>
        <w:spacing w:line="276" w:lineRule="auto"/>
        <w:ind w:firstLine="720"/>
        <w:jc w:val="both"/>
        <w:rPr>
          <w:rFonts w:asciiTheme="minorHAnsi" w:eastAsia="Calibri" w:hAnsiTheme="minorHAnsi" w:cstheme="minorHAnsi"/>
          <w:iCs/>
          <w:sz w:val="26"/>
          <w:szCs w:val="26"/>
        </w:rPr>
      </w:pPr>
      <w:r w:rsidRPr="00132694">
        <w:rPr>
          <w:rFonts w:asciiTheme="minorHAnsi" w:eastAsia="Calibri" w:hAnsiTheme="minorHAnsi" w:cstheme="minorHAnsi"/>
          <w:iCs/>
          <w:sz w:val="26"/>
          <w:szCs w:val="26"/>
        </w:rPr>
        <w:t xml:space="preserve">Institutul Național al Magistraturii a valorificat, pe parcursul anului 2025, în cadrul unei campanii social-media intitulate </w:t>
      </w:r>
      <w:r w:rsidR="00B703D1" w:rsidRPr="00132694">
        <w:rPr>
          <w:rFonts w:asciiTheme="minorHAnsi" w:eastAsia="Calibri" w:hAnsiTheme="minorHAnsi" w:cstheme="minorHAnsi"/>
          <w:iCs/>
          <w:sz w:val="26"/>
          <w:szCs w:val="26"/>
        </w:rPr>
        <w:t>„</w:t>
      </w:r>
      <w:r w:rsidRPr="00132694">
        <w:rPr>
          <w:rFonts w:asciiTheme="minorHAnsi" w:eastAsia="Calibri" w:hAnsiTheme="minorHAnsi" w:cstheme="minorHAnsi"/>
          <w:iCs/>
          <w:sz w:val="26"/>
          <w:szCs w:val="26"/>
        </w:rPr>
        <w:t>Jurnal de voluntar”, activitățile desfășurate de auditorii de justiție. Având 11 episoade, campania a acoperit toată sfera de activități desfășurate și a urmărit punerea în valoare a acestei componente a formării viitorilor magistrați.</w:t>
      </w:r>
    </w:p>
    <w:p w14:paraId="405E9D1D" w14:textId="208A7102" w:rsidR="00021845" w:rsidRPr="001862D3" w:rsidRDefault="00021845" w:rsidP="009E3AD8">
      <w:pPr>
        <w:spacing w:line="276" w:lineRule="auto"/>
        <w:ind w:firstLine="720"/>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t xml:space="preserve">Totodată, </w:t>
      </w:r>
      <w:r w:rsidRPr="001862D3">
        <w:rPr>
          <w:rFonts w:asciiTheme="minorHAnsi" w:eastAsia="Calibri" w:hAnsiTheme="minorHAnsi" w:cstheme="minorHAnsi"/>
          <w:iCs/>
          <w:color w:val="000000" w:themeColor="text1"/>
          <w:sz w:val="26"/>
          <w:szCs w:val="26"/>
        </w:rPr>
        <w:t>sunt dezvoltate și diversificate stagiile de practică, pe lângă cele desfășurate în cadrul instanțelor și al parchetelor de pe lângă acestea. O atenție deosebită este acordată, în continuare, parteneriatului dintre I</w:t>
      </w:r>
      <w:r w:rsidR="00D02B72">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N</w:t>
      </w:r>
      <w:r w:rsidR="00D02B72">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M</w:t>
      </w:r>
      <w:r w:rsidR="00D02B72">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 xml:space="preserve"> și I</w:t>
      </w:r>
      <w:r w:rsidR="00D95587">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N</w:t>
      </w:r>
      <w:r w:rsidR="00D95587">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P</w:t>
      </w:r>
      <w:r w:rsidR="00D95587">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P</w:t>
      </w:r>
      <w:r w:rsidR="00D95587">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A</w:t>
      </w:r>
      <w:r w:rsidR="00D95587">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 precum și între I</w:t>
      </w:r>
      <w:r w:rsidR="00D95587">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N</w:t>
      </w:r>
      <w:r w:rsidR="00D95587">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M</w:t>
      </w:r>
      <w:r w:rsidR="00D95587">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 xml:space="preserve"> și S</w:t>
      </w:r>
      <w:r w:rsidR="00D95587">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N</w:t>
      </w:r>
      <w:r w:rsidR="00D95587">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G</w:t>
      </w:r>
      <w:r w:rsidR="00D95587">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 Este de așteptat ca aceste activități interprofesionale, desfășurate de I</w:t>
      </w:r>
      <w:r w:rsidR="00D95587">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N</w:t>
      </w:r>
      <w:r w:rsidR="00D95587">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M</w:t>
      </w:r>
      <w:r w:rsidR="00D95587">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 xml:space="preserve"> prin mijlocirea I</w:t>
      </w:r>
      <w:r w:rsidR="00D95587">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N</w:t>
      </w:r>
      <w:r w:rsidR="00D95587">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P</w:t>
      </w:r>
      <w:r w:rsidR="00D95587">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P</w:t>
      </w:r>
      <w:r w:rsidR="00D95587">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A</w:t>
      </w:r>
      <w:r w:rsidR="00D95587">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 xml:space="preserve"> și S</w:t>
      </w:r>
      <w:r w:rsidR="00D95587">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N</w:t>
      </w:r>
      <w:r w:rsidR="00D95587">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G</w:t>
      </w:r>
      <w:r w:rsidR="00D95587">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 să contribuie la înțelegerea reciprocă a rolurilor și responsabilităților, dezvoltarea abilităților de comunicare interprofesională, aplicarea practică a principiilor de etică, creșterea coeziunii în cadrul sistemului judiciar și facilitarea feedback-ului bidirecțional.</w:t>
      </w:r>
    </w:p>
    <w:p w14:paraId="08BE3AB4" w14:textId="440FB284" w:rsidR="00021845" w:rsidRPr="001862D3" w:rsidRDefault="00021845" w:rsidP="009E3AD8">
      <w:pPr>
        <w:spacing w:line="276" w:lineRule="auto"/>
        <w:ind w:firstLine="708"/>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t xml:space="preserve">De asemenea, ca element de noutate, este prevăzut, pentru auditorii de justiție, un </w:t>
      </w:r>
      <w:r w:rsidRPr="00B11E7E">
        <w:rPr>
          <w:rFonts w:asciiTheme="minorHAnsi" w:eastAsia="Calibri" w:hAnsiTheme="minorHAnsi" w:cstheme="minorHAnsi"/>
          <w:color w:val="000000" w:themeColor="text1"/>
          <w:sz w:val="26"/>
          <w:szCs w:val="26"/>
        </w:rPr>
        <w:t>program vocațional, de orientare profesională și dezvoltare personală,</w:t>
      </w:r>
      <w:r w:rsidRPr="001862D3">
        <w:rPr>
          <w:rFonts w:asciiTheme="minorHAnsi" w:eastAsia="Calibri" w:hAnsiTheme="minorHAnsi" w:cstheme="minorHAnsi"/>
          <w:color w:val="000000" w:themeColor="text1"/>
          <w:sz w:val="26"/>
          <w:szCs w:val="26"/>
        </w:rPr>
        <w:t xml:space="preserve"> susținut cu implicarea </w:t>
      </w:r>
      <w:r w:rsidRPr="001862D3">
        <w:rPr>
          <w:rFonts w:asciiTheme="minorHAnsi" w:eastAsia="Calibri" w:hAnsiTheme="minorHAnsi" w:cstheme="minorHAnsi"/>
          <w:color w:val="000000" w:themeColor="text1"/>
          <w:sz w:val="26"/>
          <w:szCs w:val="26"/>
        </w:rPr>
        <w:lastRenderedPageBreak/>
        <w:t>Compartimentului de psihologie a personalului din cadrul I</w:t>
      </w:r>
      <w:r w:rsidR="00490EE9">
        <w:rPr>
          <w:rFonts w:asciiTheme="minorHAnsi" w:eastAsia="Calibri" w:hAnsiTheme="minorHAnsi" w:cstheme="minorHAnsi"/>
          <w:color w:val="000000" w:themeColor="text1"/>
          <w:sz w:val="26"/>
          <w:szCs w:val="26"/>
        </w:rPr>
        <w:t>.</w:t>
      </w:r>
      <w:r w:rsidRPr="001862D3">
        <w:rPr>
          <w:rFonts w:asciiTheme="minorHAnsi" w:eastAsia="Calibri" w:hAnsiTheme="minorHAnsi" w:cstheme="minorHAnsi"/>
          <w:color w:val="000000" w:themeColor="text1"/>
          <w:sz w:val="26"/>
          <w:szCs w:val="26"/>
        </w:rPr>
        <w:t>N</w:t>
      </w:r>
      <w:r w:rsidR="00490EE9">
        <w:rPr>
          <w:rFonts w:asciiTheme="minorHAnsi" w:eastAsia="Calibri" w:hAnsiTheme="minorHAnsi" w:cstheme="minorHAnsi"/>
          <w:color w:val="000000" w:themeColor="text1"/>
          <w:sz w:val="26"/>
          <w:szCs w:val="26"/>
        </w:rPr>
        <w:t>.</w:t>
      </w:r>
      <w:r w:rsidRPr="001862D3">
        <w:rPr>
          <w:rFonts w:asciiTheme="minorHAnsi" w:eastAsia="Calibri" w:hAnsiTheme="minorHAnsi" w:cstheme="minorHAnsi"/>
          <w:color w:val="000000" w:themeColor="text1"/>
          <w:sz w:val="26"/>
          <w:szCs w:val="26"/>
        </w:rPr>
        <w:t>M</w:t>
      </w:r>
      <w:r w:rsidR="00490EE9">
        <w:rPr>
          <w:rFonts w:asciiTheme="minorHAnsi" w:eastAsia="Calibri" w:hAnsiTheme="minorHAnsi" w:cstheme="minorHAnsi"/>
          <w:color w:val="000000" w:themeColor="text1"/>
          <w:sz w:val="26"/>
          <w:szCs w:val="26"/>
        </w:rPr>
        <w:t>.</w:t>
      </w:r>
      <w:r w:rsidRPr="001862D3">
        <w:rPr>
          <w:rFonts w:asciiTheme="minorHAnsi" w:eastAsia="Calibri" w:hAnsiTheme="minorHAnsi" w:cstheme="minorHAnsi"/>
          <w:color w:val="000000" w:themeColor="text1"/>
          <w:sz w:val="26"/>
          <w:szCs w:val="26"/>
        </w:rPr>
        <w:t>. Programul include ateliere pentru consolidarea competențelor personale, obligatorii pentru toți auditorii de justiție, precum și sesiuni individuale opționale cu psihologii din cadrul compartimentului, menite să răspundă nevoilor specifice fiecărui participant.</w:t>
      </w:r>
    </w:p>
    <w:p w14:paraId="04DEC4B7" w14:textId="77777777" w:rsidR="00021845" w:rsidRPr="001862D3" w:rsidRDefault="00021845" w:rsidP="009E3AD8">
      <w:pPr>
        <w:spacing w:line="276" w:lineRule="auto"/>
        <w:ind w:firstLine="720"/>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t xml:space="preserve">Prin integrarea tuturor acestor elemente în programul de formare, se poate asigura că auditorii de justiție nu doar că înțeleg profund aspectele tehnice și legale ale profesiei lor, dar și că sunt pregătiți să acționeze cu o conștiință a impactului social al deciziilor lor, contribuind astfel la consolidarea încrederii publice în justiție. </w:t>
      </w:r>
    </w:p>
    <w:p w14:paraId="712D523B" w14:textId="71C07B0E" w:rsidR="00021845" w:rsidRPr="001862D3" w:rsidRDefault="00021845" w:rsidP="009E3AD8">
      <w:pPr>
        <w:spacing w:line="276" w:lineRule="auto"/>
        <w:ind w:firstLine="720"/>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iCs/>
          <w:color w:val="000000" w:themeColor="text1"/>
          <w:sz w:val="26"/>
          <w:szCs w:val="26"/>
        </w:rPr>
        <w:t xml:space="preserve">În contextul în care următoarea strategie europeană de formare judiciară va pune un accent semnificativ pe digitalizare, atât din perspectiva conținutului, cât și a </w:t>
      </w:r>
      <w:r w:rsidRPr="00B11E7E">
        <w:rPr>
          <w:rFonts w:asciiTheme="minorHAnsi" w:eastAsia="Calibri" w:hAnsiTheme="minorHAnsi" w:cstheme="minorHAnsi"/>
          <w:iCs/>
          <w:color w:val="000000" w:themeColor="text1"/>
          <w:sz w:val="26"/>
          <w:szCs w:val="26"/>
        </w:rPr>
        <w:t>metodelor de formare</w:t>
      </w:r>
      <w:r w:rsidRPr="001862D3">
        <w:rPr>
          <w:rFonts w:asciiTheme="minorHAnsi" w:eastAsia="Calibri" w:hAnsiTheme="minorHAnsi" w:cstheme="minorHAnsi"/>
          <w:iCs/>
          <w:color w:val="000000" w:themeColor="text1"/>
          <w:sz w:val="26"/>
          <w:szCs w:val="26"/>
        </w:rPr>
        <w:t xml:space="preserve">, în scopul de a îmbunătăți eficiența și accesibilitatea formării judiciare la nivel european, în cadrul formării inițiale sunt utilizate și resurse de formare digitale, respectiv instrumente de e-learning dezvoltate în cadrul unor proiecte (webinarii, tutoriale și podcasturi). </w:t>
      </w:r>
      <w:r w:rsidRPr="001862D3">
        <w:rPr>
          <w:rFonts w:asciiTheme="minorHAnsi" w:eastAsia="Calibri" w:hAnsiTheme="minorHAnsi" w:cstheme="minorHAnsi"/>
          <w:color w:val="000000" w:themeColor="text1"/>
          <w:sz w:val="26"/>
          <w:szCs w:val="26"/>
        </w:rPr>
        <w:t>Totodată, în scopul inițierii auditorilor de justiție privind particularitățile ECRIS, sunt planificate activități comune cu S</w:t>
      </w:r>
      <w:r w:rsidR="00490EE9">
        <w:rPr>
          <w:rFonts w:asciiTheme="minorHAnsi" w:eastAsia="Calibri" w:hAnsiTheme="minorHAnsi" w:cstheme="minorHAnsi"/>
          <w:color w:val="000000" w:themeColor="text1"/>
          <w:sz w:val="26"/>
          <w:szCs w:val="26"/>
        </w:rPr>
        <w:t>.</w:t>
      </w:r>
      <w:r w:rsidRPr="001862D3">
        <w:rPr>
          <w:rFonts w:asciiTheme="minorHAnsi" w:eastAsia="Calibri" w:hAnsiTheme="minorHAnsi" w:cstheme="minorHAnsi"/>
          <w:color w:val="000000" w:themeColor="text1"/>
          <w:sz w:val="26"/>
          <w:szCs w:val="26"/>
        </w:rPr>
        <w:t>N</w:t>
      </w:r>
      <w:r w:rsidR="00490EE9">
        <w:rPr>
          <w:rFonts w:asciiTheme="minorHAnsi" w:eastAsia="Calibri" w:hAnsiTheme="minorHAnsi" w:cstheme="minorHAnsi"/>
          <w:color w:val="000000" w:themeColor="text1"/>
          <w:sz w:val="26"/>
          <w:szCs w:val="26"/>
        </w:rPr>
        <w:t>.</w:t>
      </w:r>
      <w:r w:rsidRPr="001862D3">
        <w:rPr>
          <w:rFonts w:asciiTheme="minorHAnsi" w:eastAsia="Calibri" w:hAnsiTheme="minorHAnsi" w:cstheme="minorHAnsi"/>
          <w:color w:val="000000" w:themeColor="text1"/>
          <w:sz w:val="26"/>
          <w:szCs w:val="26"/>
        </w:rPr>
        <w:t>G</w:t>
      </w:r>
      <w:r w:rsidR="00490EE9">
        <w:rPr>
          <w:rFonts w:asciiTheme="minorHAnsi" w:eastAsia="Calibri" w:hAnsiTheme="minorHAnsi" w:cstheme="minorHAnsi"/>
          <w:color w:val="000000" w:themeColor="text1"/>
          <w:sz w:val="26"/>
          <w:szCs w:val="26"/>
        </w:rPr>
        <w:t>.</w:t>
      </w:r>
      <w:r w:rsidRPr="001862D3">
        <w:rPr>
          <w:rFonts w:asciiTheme="minorHAnsi" w:eastAsia="Calibri" w:hAnsiTheme="minorHAnsi" w:cstheme="minorHAnsi"/>
          <w:color w:val="000000" w:themeColor="text1"/>
          <w:sz w:val="26"/>
          <w:szCs w:val="26"/>
        </w:rPr>
        <w:t>, utile atât sub aspectul dobândirii unor aptitudini practice pentru participanți, cât mai ales prin aceea că asigură conștientizarea de către auditori a etapelor necesare pentru efectuarea unei operațiuni în ECRIS și a timpului de realizare a acesteia.</w:t>
      </w:r>
    </w:p>
    <w:p w14:paraId="72B892A6" w14:textId="641731BA" w:rsidR="00021845" w:rsidRPr="001862D3" w:rsidRDefault="00021845" w:rsidP="009E3AD8">
      <w:pPr>
        <w:spacing w:line="276" w:lineRule="auto"/>
        <w:ind w:firstLine="720"/>
        <w:jc w:val="both"/>
        <w:rPr>
          <w:rFonts w:asciiTheme="minorHAnsi" w:eastAsia="Calibri" w:hAnsiTheme="minorHAnsi" w:cstheme="minorHAnsi"/>
          <w:iCs/>
          <w:color w:val="000000" w:themeColor="text1"/>
          <w:sz w:val="26"/>
          <w:szCs w:val="26"/>
        </w:rPr>
      </w:pPr>
      <w:r w:rsidRPr="001862D3">
        <w:rPr>
          <w:rFonts w:asciiTheme="minorHAnsi" w:eastAsia="Calibri" w:hAnsiTheme="minorHAnsi" w:cstheme="minorHAnsi"/>
          <w:iCs/>
          <w:color w:val="000000" w:themeColor="text1"/>
          <w:sz w:val="26"/>
          <w:szCs w:val="26"/>
        </w:rPr>
        <w:t xml:space="preserve">Încurajarea și facilitarea participării active a auditorilor de justiție la </w:t>
      </w:r>
      <w:r w:rsidRPr="002A4E0C">
        <w:rPr>
          <w:rFonts w:asciiTheme="minorHAnsi" w:eastAsia="Calibri" w:hAnsiTheme="minorHAnsi" w:cstheme="minorHAnsi"/>
          <w:iCs/>
          <w:color w:val="000000" w:themeColor="text1"/>
          <w:sz w:val="26"/>
          <w:szCs w:val="26"/>
        </w:rPr>
        <w:t>activități internaționale,</w:t>
      </w:r>
      <w:r w:rsidRPr="001862D3">
        <w:rPr>
          <w:rFonts w:asciiTheme="minorHAnsi" w:eastAsia="Calibri" w:hAnsiTheme="minorHAnsi" w:cstheme="minorHAnsi"/>
          <w:iCs/>
          <w:color w:val="000000" w:themeColor="text1"/>
          <w:sz w:val="26"/>
          <w:szCs w:val="26"/>
        </w:rPr>
        <w:t xml:space="preserve"> cum ar fi programul A</w:t>
      </w:r>
      <w:r w:rsidR="008A2CC8">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I</w:t>
      </w:r>
      <w:r w:rsidR="008A2CC8">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A</w:t>
      </w:r>
      <w:r w:rsidR="008A2CC8">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K</w:t>
      </w:r>
      <w:r w:rsidR="008A2CC8">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O</w:t>
      </w:r>
      <w:r w:rsidR="008A2CC8">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S</w:t>
      </w:r>
      <w:r w:rsidR="008A2CC8">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 xml:space="preserve"> și Competiția THEMIS ale Rețelei Europene de Formare Judiciară (E</w:t>
      </w:r>
      <w:r w:rsidR="00490EE9">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J</w:t>
      </w:r>
      <w:r w:rsidR="00490EE9">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T</w:t>
      </w:r>
      <w:r w:rsidR="00490EE9">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N</w:t>
      </w:r>
      <w:r w:rsidR="00490EE9">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 contribuie la extinderea orizonturilor profesionale și la dezvoltarea competențelor lingvistice și interculturale, precum și a abilităților de argumentare și prezentare. Participarea la programele internaționale, în general, oferă auditorilor de justiție oportunitatea de a înțelege mai bine sistemele judiciare ale altor țări, practicile și procedurile aplicabile în cazul acestora, contribuind la o mai bună apreciere a diversității judiciare la nivelul U</w:t>
      </w:r>
      <w:r w:rsidR="00490EE9">
        <w:rPr>
          <w:rFonts w:asciiTheme="minorHAnsi" w:eastAsia="Calibri" w:hAnsiTheme="minorHAnsi" w:cstheme="minorHAnsi"/>
          <w:iCs/>
          <w:color w:val="000000" w:themeColor="text1"/>
          <w:sz w:val="26"/>
          <w:szCs w:val="26"/>
        </w:rPr>
        <w:t>.</w:t>
      </w:r>
      <w:r w:rsidRPr="001862D3">
        <w:rPr>
          <w:rFonts w:asciiTheme="minorHAnsi" w:eastAsia="Calibri" w:hAnsiTheme="minorHAnsi" w:cstheme="minorHAnsi"/>
          <w:iCs/>
          <w:color w:val="000000" w:themeColor="text1"/>
          <w:sz w:val="26"/>
          <w:szCs w:val="26"/>
        </w:rPr>
        <w:t>E. În cadrul acestor activități, auditorii de justiție sunt încurajați să comunice în limbi străine și sunt expuși la medii multiculturale,</w:t>
      </w:r>
      <w:r w:rsidR="002A4E0C">
        <w:rPr>
          <w:rFonts w:asciiTheme="minorHAnsi" w:eastAsia="Calibri" w:hAnsiTheme="minorHAnsi" w:cstheme="minorHAnsi"/>
          <w:iCs/>
          <w:color w:val="000000" w:themeColor="text1"/>
          <w:sz w:val="26"/>
          <w:szCs w:val="26"/>
        </w:rPr>
        <w:t xml:space="preserve"> </w:t>
      </w:r>
      <w:r w:rsidRPr="001862D3">
        <w:rPr>
          <w:rFonts w:asciiTheme="minorHAnsi" w:eastAsia="Calibri" w:hAnsiTheme="minorHAnsi" w:cstheme="minorHAnsi"/>
          <w:iCs/>
          <w:color w:val="000000" w:themeColor="text1"/>
          <w:sz w:val="26"/>
          <w:szCs w:val="26"/>
        </w:rPr>
        <w:t>ceea ce îmbunătățește competențele de comunicare internațională și sensibilizarea culturală. Interacțiunea cu alți colegi provenind din diferite sisteme judiciare permite formarea de viitoare rețele profesionale solide, colaborări pe termen lung și suport reciproc în chestiuni juridice complexe.</w:t>
      </w:r>
    </w:p>
    <w:p w14:paraId="2DDED5D4" w14:textId="77777777" w:rsidR="00021845" w:rsidRPr="001862D3" w:rsidRDefault="00021845" w:rsidP="009E3AD8">
      <w:pPr>
        <w:shd w:val="clear" w:color="auto" w:fill="FFFFFF" w:themeFill="background1"/>
        <w:spacing w:line="276" w:lineRule="auto"/>
        <w:ind w:right="43" w:firstLine="706"/>
        <w:jc w:val="both"/>
        <w:rPr>
          <w:rFonts w:asciiTheme="minorHAnsi" w:hAnsiTheme="minorHAnsi" w:cstheme="minorHAnsi"/>
          <w:bCs/>
          <w:color w:val="000000" w:themeColor="text1"/>
          <w:sz w:val="26"/>
          <w:szCs w:val="26"/>
        </w:rPr>
      </w:pPr>
      <w:r w:rsidRPr="001862D3">
        <w:rPr>
          <w:rFonts w:asciiTheme="minorHAnsi" w:hAnsiTheme="minorHAnsi" w:cstheme="minorHAnsi"/>
          <w:bCs/>
          <w:color w:val="000000" w:themeColor="text1"/>
          <w:sz w:val="26"/>
          <w:szCs w:val="26"/>
        </w:rPr>
        <w:t>Pentru a avea posibilitatea de a cunoaște în mod direct activitățile pe care le desfășoară judecătorii și procurorii, inclusiv de a observa modul în care noțiunile teoretice de drept sunt aplicate în mod efectiv la cauze concrete, pentru a putea identifica diferitele aspecte de ordin administrativ specifice viitoarei activității profesionale, acomodarea cu viitorul mediu de lucru, precum și pentru inițierea în redactarea de acte de procedură de complexitate redusă, auditorii de justiție din anul I au efectuat, de asemenea, stagii de observare în cadrul instanțelor judecătorești și al parchetelor de pe lângă acestea.</w:t>
      </w:r>
    </w:p>
    <w:p w14:paraId="58BDF2AB" w14:textId="0EFD4C76" w:rsidR="00021845" w:rsidRPr="001862D3" w:rsidRDefault="00021845" w:rsidP="009E3AD8">
      <w:pPr>
        <w:spacing w:line="276" w:lineRule="auto"/>
        <w:ind w:firstLine="706"/>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t xml:space="preserve">De asemenea, ca prim contact al auditorilor de justiție cu activitatea desfășurată de către judecători și procurori, efectuarea stagiului de observare a asigurat deprinderea acestora cu aspectele specifice </w:t>
      </w:r>
      <w:r w:rsidR="0009174B">
        <w:rPr>
          <w:rFonts w:asciiTheme="minorHAnsi" w:eastAsia="Calibri" w:hAnsiTheme="minorHAnsi" w:cstheme="minorHAnsi"/>
          <w:color w:val="000000" w:themeColor="text1"/>
          <w:sz w:val="26"/>
          <w:szCs w:val="26"/>
        </w:rPr>
        <w:t xml:space="preserve">activităţii de judecată şi de urmărire </w:t>
      </w:r>
      <w:r w:rsidRPr="001862D3">
        <w:rPr>
          <w:rFonts w:asciiTheme="minorHAnsi" w:eastAsia="Calibri" w:hAnsiTheme="minorHAnsi" w:cstheme="minorHAnsi"/>
          <w:color w:val="000000" w:themeColor="text1"/>
          <w:sz w:val="26"/>
          <w:szCs w:val="26"/>
        </w:rPr>
        <w:t>penal</w:t>
      </w:r>
      <w:r w:rsidR="0009174B">
        <w:rPr>
          <w:rFonts w:asciiTheme="minorHAnsi" w:eastAsia="Calibri" w:hAnsiTheme="minorHAnsi" w:cstheme="minorHAnsi"/>
          <w:color w:val="000000" w:themeColor="text1"/>
          <w:sz w:val="26"/>
          <w:szCs w:val="26"/>
        </w:rPr>
        <w:t>ă</w:t>
      </w:r>
      <w:r w:rsidRPr="001862D3">
        <w:rPr>
          <w:rFonts w:asciiTheme="minorHAnsi" w:eastAsia="Calibri" w:hAnsiTheme="minorHAnsi" w:cstheme="minorHAnsi"/>
          <w:color w:val="000000" w:themeColor="text1"/>
          <w:sz w:val="26"/>
          <w:szCs w:val="26"/>
        </w:rPr>
        <w:t xml:space="preserve"> și, astfel, punerea bazelor pentru formarea cu caracter practic, desfășurată după încheierea stagiului, în cadrul cursurilor și seminarelor.</w:t>
      </w:r>
    </w:p>
    <w:p w14:paraId="0A135CFF" w14:textId="77777777" w:rsidR="00021845" w:rsidRPr="001862D3" w:rsidRDefault="00021845" w:rsidP="009E3AD8">
      <w:pPr>
        <w:spacing w:line="276" w:lineRule="auto"/>
        <w:ind w:firstLine="708"/>
        <w:jc w:val="both"/>
        <w:rPr>
          <w:rFonts w:asciiTheme="minorHAnsi" w:eastAsia="Calibri" w:hAnsiTheme="minorHAnsi" w:cstheme="minorHAnsi"/>
          <w:color w:val="000000" w:themeColor="text1"/>
          <w:sz w:val="26"/>
          <w:szCs w:val="26"/>
        </w:rPr>
      </w:pPr>
      <w:bookmarkStart w:id="94" w:name="_Hlk159489881"/>
      <w:bookmarkStart w:id="95" w:name="_Hlk159491805"/>
      <w:r w:rsidRPr="001862D3">
        <w:rPr>
          <w:rFonts w:asciiTheme="minorHAnsi" w:eastAsia="Calibri" w:hAnsiTheme="minorHAnsi" w:cstheme="minorHAnsi"/>
          <w:color w:val="000000" w:themeColor="text1"/>
          <w:sz w:val="26"/>
          <w:szCs w:val="26"/>
        </w:rPr>
        <w:t>Pe parcursul stagiului de observare</w:t>
      </w:r>
      <w:r w:rsidRPr="001862D3">
        <w:rPr>
          <w:rFonts w:asciiTheme="minorHAnsi" w:eastAsia="Calibri" w:hAnsiTheme="minorHAnsi" w:cstheme="minorHAnsi"/>
          <w:b/>
          <w:bCs/>
          <w:color w:val="000000" w:themeColor="text1"/>
          <w:sz w:val="26"/>
          <w:szCs w:val="26"/>
        </w:rPr>
        <w:t>,</w:t>
      </w:r>
      <w:r w:rsidRPr="001862D3">
        <w:rPr>
          <w:rFonts w:asciiTheme="minorHAnsi" w:eastAsia="Calibri" w:hAnsiTheme="minorHAnsi" w:cstheme="minorHAnsi"/>
          <w:color w:val="000000" w:themeColor="text1"/>
          <w:sz w:val="26"/>
          <w:szCs w:val="26"/>
        </w:rPr>
        <w:t xml:space="preserve"> activitățile desfășurate de către auditorii de justiție au fost următoarele</w:t>
      </w:r>
      <w:bookmarkEnd w:id="94"/>
      <w:bookmarkEnd w:id="95"/>
      <w:r w:rsidRPr="001862D3">
        <w:rPr>
          <w:rFonts w:asciiTheme="minorHAnsi" w:eastAsia="Calibri" w:hAnsiTheme="minorHAnsi" w:cstheme="minorHAnsi"/>
          <w:color w:val="000000" w:themeColor="text1"/>
          <w:sz w:val="26"/>
          <w:szCs w:val="26"/>
        </w:rPr>
        <w:t>:</w:t>
      </w:r>
    </w:p>
    <w:p w14:paraId="23E35212" w14:textId="77777777" w:rsidR="00021845" w:rsidRPr="002A4E0C" w:rsidRDefault="00021845" w:rsidP="00281400">
      <w:pPr>
        <w:pStyle w:val="ListParagraph"/>
        <w:numPr>
          <w:ilvl w:val="0"/>
          <w:numId w:val="24"/>
        </w:numPr>
        <w:shd w:val="clear" w:color="auto" w:fill="FFFFFF" w:themeFill="background1"/>
        <w:spacing w:line="276" w:lineRule="auto"/>
        <w:ind w:left="0" w:right="43" w:firstLine="360"/>
        <w:jc w:val="both"/>
        <w:rPr>
          <w:rFonts w:asciiTheme="minorHAnsi" w:hAnsiTheme="minorHAnsi" w:cstheme="minorHAnsi"/>
          <w:bCs/>
          <w:color w:val="000000" w:themeColor="text1"/>
          <w:sz w:val="26"/>
          <w:szCs w:val="26"/>
        </w:rPr>
      </w:pPr>
      <w:r w:rsidRPr="002A4E0C">
        <w:rPr>
          <w:rFonts w:asciiTheme="minorHAnsi" w:hAnsiTheme="minorHAnsi" w:cstheme="minorHAnsi"/>
          <w:bCs/>
          <w:color w:val="000000" w:themeColor="text1"/>
          <w:sz w:val="26"/>
          <w:szCs w:val="26"/>
        </w:rPr>
        <w:lastRenderedPageBreak/>
        <w:t>la instanțe: activitate în cadrul compartimentelor auxiliare, observarea circuitului unui dosar, participarea la ședințe de judecată, întocmirea unor fișe de dosar, participarea, alături de grefierul de ședință, la activitatea de întocmire a actelor de procedură, precum și la discuții cu judecătorul cu privire la posibilele soluții în cauzele din ședințele în care au fost prezenți.</w:t>
      </w:r>
    </w:p>
    <w:p w14:paraId="62D02F30" w14:textId="77777777" w:rsidR="00021845" w:rsidRPr="002A4E0C" w:rsidRDefault="00021845" w:rsidP="00281400">
      <w:pPr>
        <w:pStyle w:val="ListParagraph"/>
        <w:numPr>
          <w:ilvl w:val="0"/>
          <w:numId w:val="24"/>
        </w:numPr>
        <w:shd w:val="clear" w:color="auto" w:fill="FFFFFF" w:themeFill="background1"/>
        <w:spacing w:line="276" w:lineRule="auto"/>
        <w:ind w:left="0" w:right="43" w:firstLine="360"/>
        <w:jc w:val="both"/>
        <w:rPr>
          <w:rFonts w:asciiTheme="minorHAnsi" w:hAnsiTheme="minorHAnsi" w:cstheme="minorHAnsi"/>
          <w:bCs/>
          <w:color w:val="000000" w:themeColor="text1"/>
          <w:sz w:val="26"/>
          <w:szCs w:val="26"/>
        </w:rPr>
      </w:pPr>
      <w:r w:rsidRPr="002A4E0C">
        <w:rPr>
          <w:rFonts w:asciiTheme="minorHAnsi" w:hAnsiTheme="minorHAnsi" w:cstheme="minorHAnsi"/>
          <w:bCs/>
          <w:color w:val="000000" w:themeColor="text1"/>
          <w:sz w:val="26"/>
          <w:szCs w:val="26"/>
        </w:rPr>
        <w:t>la parchete: observarea procesului de înregistrare a unei plângeri, observarea circuitului unui dosar, asistarea la întocmirea actelor de procedură specifice de către procuror, participarea la ședințe de judecată în materie penală și civilă (în cauze cu participarea obligatorie a procurorului), împreună cu procurorul care își desfășoară activitatea în cadrul serviciului judiciar, studiul unor dosare, asistarea la audieri și la luarea unor măsuri preventive, participarea la ședințe de analiză a soluțiilor pronunțate de instanța de judecată.</w:t>
      </w:r>
    </w:p>
    <w:p w14:paraId="48B2A738" w14:textId="77777777" w:rsidR="00021845" w:rsidRPr="001862D3" w:rsidRDefault="00021845" w:rsidP="009E3AD8">
      <w:pPr>
        <w:spacing w:line="276" w:lineRule="auto"/>
        <w:ind w:firstLine="709"/>
        <w:jc w:val="both"/>
        <w:rPr>
          <w:rFonts w:asciiTheme="minorHAnsi" w:eastAsia="Calibri" w:hAnsiTheme="minorHAnsi" w:cstheme="minorHAnsi"/>
          <w:strike/>
          <w:color w:val="000000" w:themeColor="text1"/>
          <w:sz w:val="26"/>
          <w:szCs w:val="26"/>
        </w:rPr>
      </w:pPr>
      <w:r w:rsidRPr="007819A6">
        <w:rPr>
          <w:rFonts w:asciiTheme="minorHAnsi" w:hAnsiTheme="minorHAnsi" w:cstheme="minorHAnsi"/>
          <w:bCs/>
          <w:color w:val="000000" w:themeColor="text1"/>
          <w:sz w:val="26"/>
          <w:szCs w:val="26"/>
        </w:rPr>
        <w:t>Programul de formare inițială aferent celui de al II-lea an 2025 – 2026 (promoția 2024 – 2026)</w:t>
      </w:r>
      <w:r w:rsidRPr="001862D3">
        <w:rPr>
          <w:rFonts w:asciiTheme="minorHAnsi" w:hAnsiTheme="minorHAnsi" w:cstheme="minorHAnsi"/>
          <w:bCs/>
          <w:color w:val="000000" w:themeColor="text1"/>
          <w:sz w:val="26"/>
          <w:szCs w:val="26"/>
        </w:rPr>
        <w:t xml:space="preserve"> </w:t>
      </w:r>
      <w:r w:rsidRPr="001862D3">
        <w:rPr>
          <w:rFonts w:asciiTheme="minorHAnsi" w:eastAsia="Calibri" w:hAnsiTheme="minorHAnsi" w:cstheme="minorHAnsi"/>
          <w:color w:val="000000" w:themeColor="text1"/>
          <w:sz w:val="26"/>
          <w:szCs w:val="26"/>
        </w:rPr>
        <w:t xml:space="preserve">are un caracter generalizat, comun pentru ambele profesii, pregătirea profesională a auditorilor de justiție vizând în egală măsură atât profesia de judecător, cât și pe cea de procuror. </w:t>
      </w:r>
    </w:p>
    <w:p w14:paraId="08C5D974" w14:textId="77777777" w:rsidR="00021845" w:rsidRPr="001862D3" w:rsidRDefault="00021845" w:rsidP="009E3AD8">
      <w:pPr>
        <w:spacing w:line="276" w:lineRule="auto"/>
        <w:ind w:firstLine="709"/>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t>În cel de-al doilea an de studiu, formarea profesională a auditorilor de justiție are ca obiectiv valorificarea pregătirii de pe parcursul primului an, însușirea și dezvoltarea abilităților practice necesare exercitării viitoarei profesii, precum și aprofundarea cunoștințelor de drept, prin aplicații practice.</w:t>
      </w:r>
    </w:p>
    <w:p w14:paraId="2933DCE8" w14:textId="58336FB6" w:rsidR="00021845" w:rsidRPr="001862D3" w:rsidRDefault="00021845" w:rsidP="009E3AD8">
      <w:pPr>
        <w:spacing w:line="276" w:lineRule="auto"/>
        <w:ind w:firstLine="709"/>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t>Formarea inițială pe parcursul anului II de studiu are, prin urmare, un caracter practic și pluralist, fiind aptă să dezvolte</w:t>
      </w:r>
      <w:r w:rsidR="0022520D">
        <w:rPr>
          <w:rFonts w:asciiTheme="minorHAnsi" w:eastAsia="Calibri" w:hAnsiTheme="minorHAnsi" w:cstheme="minorHAnsi"/>
          <w:color w:val="000000" w:themeColor="text1"/>
          <w:sz w:val="26"/>
          <w:szCs w:val="26"/>
        </w:rPr>
        <w:t xml:space="preserve"> </w:t>
      </w:r>
      <w:r w:rsidRPr="001862D3">
        <w:rPr>
          <w:rFonts w:asciiTheme="minorHAnsi" w:eastAsia="Calibri" w:hAnsiTheme="minorHAnsi" w:cstheme="minorHAnsi"/>
          <w:color w:val="000000" w:themeColor="text1"/>
          <w:sz w:val="26"/>
          <w:szCs w:val="26"/>
        </w:rPr>
        <w:t>competențe instrumentale, interpersonale și sistemice. Se urmărește, de asemenea, responsabilizarea auditorilor de justiție și conștientizarea de către aceștia a rolului social al actului de justiție, înțelegerea contextului social în care urmează să își desfășoare activitatea și, implicit, însușirea și interiorizarea conceptului de disciplină judiciară.</w:t>
      </w:r>
    </w:p>
    <w:p w14:paraId="45AE78BD" w14:textId="77777777" w:rsidR="00021845" w:rsidRPr="001862D3" w:rsidRDefault="00021845" w:rsidP="009E3AD8">
      <w:pPr>
        <w:spacing w:line="276" w:lineRule="auto"/>
        <w:ind w:firstLine="709"/>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t xml:space="preserve">În lumina noilor dispoziții legale aplicabile formării profesionale inițiale a auditorilor de justiție din promoția 2024 – 2026, care au determinat modificări inclusiv sub aspectul organizării primului an de formare profesională, la elaborarea programului de formare aferent celui de al doilea an de formare au fost avute în vedere: </w:t>
      </w:r>
    </w:p>
    <w:p w14:paraId="515AB6F0" w14:textId="77777777" w:rsidR="00021845" w:rsidRPr="001862D3" w:rsidRDefault="00021845" w:rsidP="00281400">
      <w:pPr>
        <w:numPr>
          <w:ilvl w:val="0"/>
          <w:numId w:val="31"/>
        </w:numPr>
        <w:tabs>
          <w:tab w:val="left" w:pos="990"/>
        </w:tabs>
        <w:spacing w:after="160" w:line="276" w:lineRule="auto"/>
        <w:ind w:left="0" w:firstLine="709"/>
        <w:contextualSpacing/>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t>includerea următoarelor discipline de specialitate: dreptul administrativ, litigiile cu profesioniști și dreptul familiei;</w:t>
      </w:r>
    </w:p>
    <w:p w14:paraId="2028EB95" w14:textId="77777777" w:rsidR="00021845" w:rsidRPr="001862D3" w:rsidRDefault="00021845" w:rsidP="00281400">
      <w:pPr>
        <w:numPr>
          <w:ilvl w:val="0"/>
          <w:numId w:val="31"/>
        </w:numPr>
        <w:tabs>
          <w:tab w:val="left" w:pos="990"/>
        </w:tabs>
        <w:spacing w:after="160" w:line="276" w:lineRule="auto"/>
        <w:ind w:left="0" w:firstLine="709"/>
        <w:contextualSpacing/>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t>creșterea numărului de săptămâni de formare alocate modulului;</w:t>
      </w:r>
    </w:p>
    <w:p w14:paraId="5CE2772A" w14:textId="0D80B8D5" w:rsidR="00021845" w:rsidRPr="001862D3" w:rsidRDefault="00021845" w:rsidP="00281400">
      <w:pPr>
        <w:numPr>
          <w:ilvl w:val="0"/>
          <w:numId w:val="31"/>
        </w:numPr>
        <w:tabs>
          <w:tab w:val="left" w:pos="990"/>
        </w:tabs>
        <w:spacing w:after="160" w:line="276" w:lineRule="auto"/>
        <w:ind w:left="0" w:firstLine="709"/>
        <w:contextualSpacing/>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t>conținutul unitar al programului de formare, apt să pregătească, în egală măsură, viitori judecători și procurori, indiferent de profesia pentru care ar urma să opteze auditorii de justiție la momentul absolvirii I</w:t>
      </w:r>
      <w:r w:rsidR="00631E61">
        <w:rPr>
          <w:rFonts w:asciiTheme="minorHAnsi" w:eastAsia="Calibri" w:hAnsiTheme="minorHAnsi" w:cstheme="minorHAnsi"/>
          <w:color w:val="000000" w:themeColor="text1"/>
          <w:sz w:val="26"/>
          <w:szCs w:val="26"/>
        </w:rPr>
        <w:t>.</w:t>
      </w:r>
      <w:r w:rsidRPr="001862D3">
        <w:rPr>
          <w:rFonts w:asciiTheme="minorHAnsi" w:eastAsia="Calibri" w:hAnsiTheme="minorHAnsi" w:cstheme="minorHAnsi"/>
          <w:color w:val="000000" w:themeColor="text1"/>
          <w:sz w:val="26"/>
          <w:szCs w:val="26"/>
        </w:rPr>
        <w:t>N</w:t>
      </w:r>
      <w:r w:rsidR="00631E61">
        <w:rPr>
          <w:rFonts w:asciiTheme="minorHAnsi" w:eastAsia="Calibri" w:hAnsiTheme="minorHAnsi" w:cstheme="minorHAnsi"/>
          <w:color w:val="000000" w:themeColor="text1"/>
          <w:sz w:val="26"/>
          <w:szCs w:val="26"/>
        </w:rPr>
        <w:t>.</w:t>
      </w:r>
      <w:r w:rsidRPr="001862D3">
        <w:rPr>
          <w:rFonts w:asciiTheme="minorHAnsi" w:eastAsia="Calibri" w:hAnsiTheme="minorHAnsi" w:cstheme="minorHAnsi"/>
          <w:color w:val="000000" w:themeColor="text1"/>
          <w:sz w:val="26"/>
          <w:szCs w:val="26"/>
        </w:rPr>
        <w:t>M</w:t>
      </w:r>
      <w:r w:rsidR="00631E61">
        <w:rPr>
          <w:rFonts w:asciiTheme="minorHAnsi" w:eastAsia="Calibri" w:hAnsiTheme="minorHAnsi" w:cstheme="minorHAnsi"/>
          <w:color w:val="000000" w:themeColor="text1"/>
          <w:sz w:val="26"/>
          <w:szCs w:val="26"/>
        </w:rPr>
        <w:t>.</w:t>
      </w:r>
      <w:r w:rsidRPr="001862D3">
        <w:rPr>
          <w:rFonts w:asciiTheme="minorHAnsi" w:eastAsia="Calibri" w:hAnsiTheme="minorHAnsi" w:cstheme="minorHAnsi"/>
          <w:color w:val="000000" w:themeColor="text1"/>
          <w:sz w:val="26"/>
          <w:szCs w:val="26"/>
        </w:rPr>
        <w:t>;</w:t>
      </w:r>
    </w:p>
    <w:p w14:paraId="77025D65" w14:textId="77777777" w:rsidR="00021845" w:rsidRPr="001862D3" w:rsidRDefault="00021845" w:rsidP="00281400">
      <w:pPr>
        <w:numPr>
          <w:ilvl w:val="0"/>
          <w:numId w:val="31"/>
        </w:numPr>
        <w:tabs>
          <w:tab w:val="left" w:pos="990"/>
        </w:tabs>
        <w:spacing w:after="160" w:line="276" w:lineRule="auto"/>
        <w:ind w:left="0" w:firstLine="709"/>
        <w:contextualSpacing/>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t>prevederea unei perioade de stagiu având o durată totală de cel puțin 26 de săptămâni.</w:t>
      </w:r>
    </w:p>
    <w:p w14:paraId="30C5F569" w14:textId="77777777" w:rsidR="00021845" w:rsidRPr="007819A6" w:rsidRDefault="00021845" w:rsidP="002D2047">
      <w:pPr>
        <w:keepNext/>
        <w:spacing w:line="276" w:lineRule="auto"/>
        <w:ind w:firstLine="709"/>
        <w:jc w:val="both"/>
        <w:rPr>
          <w:rFonts w:asciiTheme="minorHAnsi" w:eastAsia="Calibri" w:hAnsiTheme="minorHAnsi" w:cstheme="minorHAnsi"/>
          <w:color w:val="000000" w:themeColor="text1"/>
          <w:sz w:val="26"/>
          <w:szCs w:val="26"/>
        </w:rPr>
      </w:pPr>
      <w:r w:rsidRPr="007819A6">
        <w:rPr>
          <w:rFonts w:asciiTheme="minorHAnsi" w:eastAsia="Calibri" w:hAnsiTheme="minorHAnsi" w:cstheme="minorHAnsi"/>
          <w:color w:val="000000" w:themeColor="text1"/>
          <w:sz w:val="26"/>
          <w:szCs w:val="26"/>
        </w:rPr>
        <w:t xml:space="preserve">Structura, conținutul și calendarul programului de formare au în vedere dispozițiile și aspectele sus-menționate. Astfel, cel de al II-lea an de formare cuprinde 52 de săptămâni, din care: </w:t>
      </w:r>
    </w:p>
    <w:p w14:paraId="35649197" w14:textId="77777777" w:rsidR="00021845" w:rsidRPr="007819A6" w:rsidRDefault="00021845" w:rsidP="00281400">
      <w:pPr>
        <w:keepNext/>
        <w:numPr>
          <w:ilvl w:val="0"/>
          <w:numId w:val="32"/>
        </w:numPr>
        <w:tabs>
          <w:tab w:val="left" w:pos="990"/>
        </w:tabs>
        <w:spacing w:after="160" w:line="276" w:lineRule="auto"/>
        <w:ind w:left="0" w:firstLine="720"/>
        <w:contextualSpacing/>
        <w:jc w:val="both"/>
        <w:rPr>
          <w:rFonts w:asciiTheme="minorHAnsi" w:eastAsia="Calibri" w:hAnsiTheme="minorHAnsi" w:cstheme="minorHAnsi"/>
          <w:color w:val="000000" w:themeColor="text1"/>
          <w:sz w:val="26"/>
          <w:szCs w:val="26"/>
        </w:rPr>
      </w:pPr>
      <w:r w:rsidRPr="007819A6">
        <w:rPr>
          <w:rFonts w:asciiTheme="minorHAnsi" w:eastAsia="Calibri" w:hAnsiTheme="minorHAnsi" w:cstheme="minorHAnsi"/>
          <w:color w:val="000000" w:themeColor="text1"/>
          <w:sz w:val="26"/>
          <w:szCs w:val="26"/>
        </w:rPr>
        <w:t>22 de săptămâni de stagiu în cadrul instanțelor și parchetelor (13.10.2025 – 19.12.2025, 12.01.2026 – 16.01.2026 și 16.02.2026 – 30.04.2026), astfel: 11 săptămâni  în cadrul instanțelor și 11 săptămâni în cadrul parchetelor;</w:t>
      </w:r>
    </w:p>
    <w:p w14:paraId="6E321C87" w14:textId="77777777" w:rsidR="00021845" w:rsidRPr="007819A6" w:rsidRDefault="00021845" w:rsidP="00281400">
      <w:pPr>
        <w:numPr>
          <w:ilvl w:val="0"/>
          <w:numId w:val="32"/>
        </w:numPr>
        <w:tabs>
          <w:tab w:val="left" w:pos="990"/>
        </w:tabs>
        <w:spacing w:after="160" w:line="276" w:lineRule="auto"/>
        <w:ind w:left="0" w:firstLine="720"/>
        <w:contextualSpacing/>
        <w:jc w:val="both"/>
        <w:rPr>
          <w:rFonts w:asciiTheme="minorHAnsi" w:eastAsia="Calibri" w:hAnsiTheme="minorHAnsi" w:cstheme="minorHAnsi"/>
          <w:color w:val="000000" w:themeColor="text1"/>
          <w:sz w:val="26"/>
          <w:szCs w:val="26"/>
        </w:rPr>
      </w:pPr>
      <w:r w:rsidRPr="007819A6">
        <w:rPr>
          <w:rFonts w:asciiTheme="minorHAnsi" w:eastAsia="Calibri" w:hAnsiTheme="minorHAnsi" w:cstheme="minorHAnsi"/>
          <w:color w:val="000000" w:themeColor="text1"/>
          <w:sz w:val="26"/>
          <w:szCs w:val="26"/>
        </w:rPr>
        <w:t>4 săptămâni de stagiu în cadrul cabinetelor și societăților de avocați: 19.01.2026 – 13.02.2026;</w:t>
      </w:r>
    </w:p>
    <w:p w14:paraId="137D5C9C" w14:textId="77777777" w:rsidR="00021845" w:rsidRPr="007819A6" w:rsidRDefault="00021845" w:rsidP="00281400">
      <w:pPr>
        <w:numPr>
          <w:ilvl w:val="0"/>
          <w:numId w:val="32"/>
        </w:numPr>
        <w:tabs>
          <w:tab w:val="left" w:pos="990"/>
        </w:tabs>
        <w:spacing w:after="160" w:line="276" w:lineRule="auto"/>
        <w:ind w:left="0" w:firstLine="720"/>
        <w:contextualSpacing/>
        <w:jc w:val="both"/>
        <w:rPr>
          <w:rFonts w:asciiTheme="minorHAnsi" w:eastAsia="Calibri" w:hAnsiTheme="minorHAnsi" w:cstheme="minorHAnsi"/>
          <w:color w:val="000000" w:themeColor="text1"/>
          <w:sz w:val="26"/>
          <w:szCs w:val="26"/>
        </w:rPr>
      </w:pPr>
      <w:r w:rsidRPr="007819A6">
        <w:rPr>
          <w:rFonts w:asciiTheme="minorHAnsi" w:eastAsia="Calibri" w:hAnsiTheme="minorHAnsi" w:cstheme="minorHAnsi"/>
          <w:color w:val="000000" w:themeColor="text1"/>
          <w:sz w:val="26"/>
          <w:szCs w:val="26"/>
        </w:rPr>
        <w:lastRenderedPageBreak/>
        <w:t>12 săptămâni de modul cu caracter practic: 12.05.2025 – 26.09.2025, din care 2 săptămâni dedicate sesiunii de evaluare corespunzătoare modulului;</w:t>
      </w:r>
    </w:p>
    <w:p w14:paraId="4B567FFF" w14:textId="77777777" w:rsidR="00021845" w:rsidRPr="007819A6" w:rsidRDefault="00021845" w:rsidP="00281400">
      <w:pPr>
        <w:numPr>
          <w:ilvl w:val="0"/>
          <w:numId w:val="32"/>
        </w:numPr>
        <w:tabs>
          <w:tab w:val="left" w:pos="990"/>
        </w:tabs>
        <w:spacing w:after="160" w:line="276" w:lineRule="auto"/>
        <w:ind w:left="0" w:firstLine="720"/>
        <w:contextualSpacing/>
        <w:jc w:val="both"/>
        <w:rPr>
          <w:rFonts w:asciiTheme="minorHAnsi" w:eastAsia="Calibri" w:hAnsiTheme="minorHAnsi" w:cstheme="minorHAnsi"/>
          <w:color w:val="000000" w:themeColor="text1"/>
          <w:sz w:val="26"/>
          <w:szCs w:val="26"/>
        </w:rPr>
      </w:pPr>
      <w:r w:rsidRPr="007819A6">
        <w:rPr>
          <w:rFonts w:asciiTheme="minorHAnsi" w:eastAsia="Calibri" w:hAnsiTheme="minorHAnsi" w:cstheme="minorHAnsi"/>
          <w:color w:val="000000" w:themeColor="text1"/>
          <w:sz w:val="26"/>
          <w:szCs w:val="26"/>
        </w:rPr>
        <w:t>8 săptămâni de vacanță: 05.05.2025 – 09.05.2025 (ulterior finalizării primului an de formare), 04.08.2025 – 29.08.2025 și 22.12.2025 – 09.01.2026;</w:t>
      </w:r>
    </w:p>
    <w:p w14:paraId="507943BC" w14:textId="77777777" w:rsidR="00021845" w:rsidRPr="007819A6" w:rsidRDefault="00021845" w:rsidP="00281400">
      <w:pPr>
        <w:numPr>
          <w:ilvl w:val="0"/>
          <w:numId w:val="32"/>
        </w:numPr>
        <w:tabs>
          <w:tab w:val="left" w:pos="990"/>
        </w:tabs>
        <w:spacing w:after="160" w:line="276" w:lineRule="auto"/>
        <w:ind w:left="0" w:firstLine="720"/>
        <w:contextualSpacing/>
        <w:jc w:val="both"/>
        <w:rPr>
          <w:rFonts w:asciiTheme="minorHAnsi" w:eastAsia="Calibri" w:hAnsiTheme="minorHAnsi" w:cstheme="minorHAnsi"/>
          <w:color w:val="000000" w:themeColor="text1"/>
          <w:sz w:val="26"/>
          <w:szCs w:val="26"/>
        </w:rPr>
      </w:pPr>
      <w:r w:rsidRPr="007819A6">
        <w:rPr>
          <w:rFonts w:asciiTheme="minorHAnsi" w:eastAsia="Calibri" w:hAnsiTheme="minorHAnsi" w:cstheme="minorHAnsi"/>
          <w:color w:val="000000" w:themeColor="text1"/>
          <w:sz w:val="26"/>
          <w:szCs w:val="26"/>
        </w:rPr>
        <w:t>2 săptămâni de vizite la alte instituții: 29.09.2025 – 10.10.2025;</w:t>
      </w:r>
    </w:p>
    <w:p w14:paraId="572864ED" w14:textId="77777777" w:rsidR="00021845" w:rsidRPr="007819A6" w:rsidRDefault="00021845" w:rsidP="00281400">
      <w:pPr>
        <w:numPr>
          <w:ilvl w:val="0"/>
          <w:numId w:val="32"/>
        </w:numPr>
        <w:tabs>
          <w:tab w:val="left" w:pos="990"/>
        </w:tabs>
        <w:spacing w:line="276" w:lineRule="auto"/>
        <w:ind w:left="0" w:firstLine="720"/>
        <w:contextualSpacing/>
        <w:jc w:val="both"/>
        <w:rPr>
          <w:rFonts w:asciiTheme="minorHAnsi" w:eastAsia="Calibri" w:hAnsiTheme="minorHAnsi" w:cstheme="minorHAnsi"/>
          <w:color w:val="000000" w:themeColor="text1"/>
          <w:sz w:val="26"/>
          <w:szCs w:val="26"/>
        </w:rPr>
      </w:pPr>
      <w:r w:rsidRPr="007819A6">
        <w:rPr>
          <w:rFonts w:asciiTheme="minorHAnsi" w:eastAsia="Calibri" w:hAnsiTheme="minorHAnsi" w:cstheme="minorHAnsi"/>
          <w:color w:val="000000" w:themeColor="text1"/>
          <w:sz w:val="26"/>
          <w:szCs w:val="26"/>
        </w:rPr>
        <w:t>activitate de voluntariat: 07.07.2025 – 01.08.2025 (și pe toată durata formării).</w:t>
      </w:r>
    </w:p>
    <w:p w14:paraId="43B4CBF0" w14:textId="77777777" w:rsidR="00021845" w:rsidRPr="001862D3" w:rsidRDefault="00021845" w:rsidP="009E3AD8">
      <w:pPr>
        <w:spacing w:line="276" w:lineRule="auto"/>
        <w:ind w:firstLine="709"/>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t>Perioada 04.05.2026 – 15.05.2026 este dedicată pregătirii pentru examenul de absolvire.</w:t>
      </w:r>
    </w:p>
    <w:p w14:paraId="0A0088FD" w14:textId="77777777" w:rsidR="00021845" w:rsidRPr="007819A6" w:rsidRDefault="00021845" w:rsidP="009E3AD8">
      <w:pPr>
        <w:spacing w:line="276" w:lineRule="auto"/>
        <w:ind w:firstLine="709"/>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t xml:space="preserve">Activitatea auditorilor de justiție din anul II constă, în principal, în efectuarea stagiului de practică în cadrul instanțelor și parchetelor, sub îndrumarea coordonatorilor de practică. Stagiile practice se desfășoară în condiţiile stabilite de lege şi de </w:t>
      </w:r>
      <w:r w:rsidRPr="007819A6">
        <w:rPr>
          <w:rFonts w:asciiTheme="minorHAnsi" w:eastAsia="Calibri" w:hAnsiTheme="minorHAnsi" w:cstheme="minorHAnsi"/>
          <w:color w:val="000000" w:themeColor="text1"/>
          <w:sz w:val="26"/>
          <w:szCs w:val="26"/>
        </w:rPr>
        <w:t>Regulamentul privind organizarea, desfășurarea și evaluarea stagiilor de practică ale auditorilor de justiție, aprobat prin Hotărârea Plenului Consiliului Superior al Magistraturii nr. 116/28.06.2023.</w:t>
      </w:r>
    </w:p>
    <w:p w14:paraId="5193FA5F" w14:textId="77777777" w:rsidR="00021845" w:rsidRPr="001862D3" w:rsidRDefault="00021845" w:rsidP="009E3AD8">
      <w:pPr>
        <w:spacing w:line="276" w:lineRule="auto"/>
        <w:ind w:firstLine="709"/>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t>Desfășurarea de către auditorii de justiție a activității practice în cadrul instanțelor și al parchetelor are ca scop însușirea cunoștințelor practice și dobândirea abilităților necesare desfășurării activității de judecător și procuror, aprofundarea tehnicii de soluționare a dosarelor, integrarea în mediul instituțional, precum și cunoașterea în mod direct a activităților pe care le desfășoară personalul auxiliar de specialitate.</w:t>
      </w:r>
    </w:p>
    <w:p w14:paraId="34F8EBA6" w14:textId="136F4414" w:rsidR="00021845" w:rsidRPr="001862D3" w:rsidRDefault="00021845" w:rsidP="009E3AD8">
      <w:pPr>
        <w:spacing w:line="276" w:lineRule="auto"/>
        <w:ind w:firstLine="709"/>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t>Stagiile de practică în cadrul instanțelor și al parchetelor se evaluează în mod distinct și presupun, pe de o parte, evaluarea activității și a conduitei auditorilor de justiție și, pe de altă parte, evaluarea caietului de practică elaborat de auditorii de justiție.  Organizarea stagiilor de practică în cadrul instanțelor judecătorești și al parchetelor este detaliată în anexele aferente programului de formare profesională inițială aprobat.</w:t>
      </w:r>
    </w:p>
    <w:p w14:paraId="4C7510AD" w14:textId="77777777" w:rsidR="00021845" w:rsidRPr="001862D3" w:rsidRDefault="00021845" w:rsidP="009E3AD8">
      <w:pPr>
        <w:spacing w:line="276" w:lineRule="auto"/>
        <w:ind w:firstLine="709"/>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t xml:space="preserve">Auditorii de justiție desfășoară, de asemenea, stagii de practică în cadrul formelor de exercitare a profesiei de avocat. Stagiul practic în cadrul cabinetelor și societăților de avocați are ca obiectiv cunoașterea de către auditorii de justiție a activităților specifice desfășurate în cadrul acestora, prin familiarizarea cu activitatea și regulile deontologice ale profesiei de avocat, conștientizarea rolului avocatului în înfăptuirea actului de justiție, identificarea bunelor practici specifice exercitării profesiei, precum și elaborarea de acte de procedură întocmite de avocat. </w:t>
      </w:r>
    </w:p>
    <w:p w14:paraId="420DA0BA" w14:textId="77777777" w:rsidR="00021845" w:rsidRPr="001862D3" w:rsidRDefault="00021845" w:rsidP="009E3AD8">
      <w:pPr>
        <w:spacing w:line="276" w:lineRule="auto"/>
        <w:ind w:firstLine="709"/>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t xml:space="preserve">Obiectivele specifice ale stagiilor practice privesc desfășurarea de către auditorii de justiție a unor activități precum: stabilirea de contacte cu potențiali clienți, organizarea agendei întâlnirii cu clientul, participarea la acordarea de consultații juridice specifice profesiei de avocat și întocmirea de acte de procedură (spre exemplu: opinii legale, puncte de vedere, redactarea căilor de atac, cereri de chemare în judecată, notificări, memorii, petiții, contracte, concluzii, plângeri etc.), participarea la ședințele de judecată alături de avocat, participarea la efectuarea de expertize tehnice judiciare sau la proceduri de executare silită, efectuarea altor activități, precum studierea dosarului de instanță în arhivă, depunerea de cereri sau documente la registratura instanțelor/parchetelor, obținerea de certificate de grefă etc. </w:t>
      </w:r>
    </w:p>
    <w:p w14:paraId="1FDBDE48" w14:textId="77777777" w:rsidR="00021845" w:rsidRPr="001862D3" w:rsidRDefault="00021845" w:rsidP="009E3AD8">
      <w:pPr>
        <w:spacing w:line="276" w:lineRule="auto"/>
        <w:ind w:firstLine="709"/>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t xml:space="preserve">Stagiul se desfășoară pe durata a 4 săptămâni, pe parcursul cărora auditorii de justiție își desfășoară activitatea sub îndrumarea și coordonarea avocaților (tutori) desemnați în acest scop în cadrul fiecărui centru de practică. </w:t>
      </w:r>
    </w:p>
    <w:p w14:paraId="50EB3A69" w14:textId="31504DFC" w:rsidR="00021845" w:rsidRPr="002D1B9E" w:rsidRDefault="00021845" w:rsidP="009E3AD8">
      <w:pPr>
        <w:spacing w:line="276" w:lineRule="auto"/>
        <w:ind w:firstLine="709"/>
        <w:jc w:val="both"/>
        <w:rPr>
          <w:rFonts w:asciiTheme="minorHAnsi" w:eastAsia="Calibri" w:hAnsiTheme="minorHAnsi" w:cstheme="minorHAnsi"/>
          <w:color w:val="000000" w:themeColor="text1"/>
          <w:sz w:val="26"/>
          <w:szCs w:val="26"/>
        </w:rPr>
      </w:pPr>
      <w:r w:rsidRPr="002D1B9E">
        <w:rPr>
          <w:rFonts w:asciiTheme="minorHAnsi" w:eastAsia="Calibri" w:hAnsiTheme="minorHAnsi" w:cstheme="minorHAnsi"/>
          <w:color w:val="000000" w:themeColor="text1"/>
          <w:sz w:val="26"/>
          <w:szCs w:val="26"/>
        </w:rPr>
        <w:t>Toate activitățile de stagiu sunt evaluate potrivit Regulamentului privind organizarea, desfășurarea și evaluarea stagiilor de practică ale auditorilor de justiție, aprobat prin Hotărârea Plenului Consiliului Superior al Magistraturii nr.</w:t>
      </w:r>
      <w:r w:rsidR="005C1250" w:rsidRPr="002D1B9E">
        <w:rPr>
          <w:rFonts w:asciiTheme="minorHAnsi" w:eastAsia="Calibri" w:hAnsiTheme="minorHAnsi" w:cstheme="minorHAnsi"/>
          <w:color w:val="000000" w:themeColor="text1"/>
          <w:sz w:val="26"/>
          <w:szCs w:val="26"/>
        </w:rPr>
        <w:t xml:space="preserve"> </w:t>
      </w:r>
      <w:r w:rsidRPr="002D1B9E">
        <w:rPr>
          <w:rFonts w:asciiTheme="minorHAnsi" w:eastAsia="Calibri" w:hAnsiTheme="minorHAnsi" w:cstheme="minorHAnsi"/>
          <w:color w:val="000000" w:themeColor="text1"/>
          <w:sz w:val="26"/>
          <w:szCs w:val="26"/>
        </w:rPr>
        <w:t>116/28.06.2023.</w:t>
      </w:r>
    </w:p>
    <w:p w14:paraId="6B2CA835" w14:textId="77777777" w:rsidR="00021845" w:rsidRPr="001862D3" w:rsidRDefault="00021845" w:rsidP="009E3AD8">
      <w:pPr>
        <w:spacing w:line="276" w:lineRule="auto"/>
        <w:ind w:firstLine="709"/>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lastRenderedPageBreak/>
        <w:t>Auditorii de justiție au beneficiat, de asemenea, de un modul având caracter preponderent practic, desfășurat pe parcursul a 12 săptămâni, care a inclus discipline comune tuturor auditorilor de justiție. Ca noutate, în cadrul modulului au fost abordate disciplinele drept administrativ, litigii cu profesioniști și dreptul familiei, studiate, în mod tradițional, în primul an de formare. De asemenea, au fost studiate și următoarele discipline: drept procesual penal (executarea hotărârilor penale), căi de atac ordinare și extraordinare în materie penală, drept procesual civil (executare silită). Totodată, auditorii de justiție au beneficiat de formare în materia alienării parentale – perspectivă psihologică, combaterea discriminării, managementul timpului și a măsurilor de ocrotire a persoanelor cu dizabilități intelectuale și psihosociale.</w:t>
      </w:r>
    </w:p>
    <w:p w14:paraId="2B3DDFD5" w14:textId="77777777" w:rsidR="00021845" w:rsidRPr="001862D3" w:rsidRDefault="00021845" w:rsidP="009E3AD8">
      <w:pPr>
        <w:spacing w:line="276" w:lineRule="auto"/>
        <w:ind w:firstLine="709"/>
        <w:jc w:val="both"/>
        <w:rPr>
          <w:rFonts w:asciiTheme="minorHAnsi" w:eastAsia="Calibri" w:hAnsiTheme="minorHAnsi" w:cstheme="minorHAnsi"/>
          <w:color w:val="000000" w:themeColor="text1"/>
          <w:sz w:val="26"/>
          <w:szCs w:val="26"/>
        </w:rPr>
      </w:pPr>
      <w:r w:rsidRPr="001862D3">
        <w:rPr>
          <w:rFonts w:asciiTheme="minorHAnsi" w:hAnsiTheme="minorHAnsi" w:cstheme="minorHAnsi"/>
          <w:bCs/>
          <w:color w:val="000000" w:themeColor="text1"/>
          <w:sz w:val="26"/>
          <w:szCs w:val="26"/>
        </w:rPr>
        <w:t>În continuarea modulului, î</w:t>
      </w:r>
      <w:r w:rsidRPr="001862D3">
        <w:rPr>
          <w:rFonts w:asciiTheme="minorHAnsi" w:eastAsia="Calibri" w:hAnsiTheme="minorHAnsi" w:cstheme="minorHAnsi"/>
          <w:color w:val="000000" w:themeColor="text1"/>
          <w:sz w:val="26"/>
          <w:szCs w:val="26"/>
        </w:rPr>
        <w:t xml:space="preserve">n scopul asigurării unei formări complexe a auditorilor de justiție, au fost organizate stagii și vizite în cadrul altor instituții cu activitate relevantă pentru profesia de judecător, respectiv procuror, precum în cadrul serviciilor de probațiune, Institutului Național de Criminalistică, secțiilor de poliție, birourilor de executori judecătorești, birourilor notariale, având ca obiectiv familiarizarea auditorilor de justiție cu activitatea specifică acestora.  </w:t>
      </w:r>
    </w:p>
    <w:p w14:paraId="7FC0BB7A" w14:textId="3A764EA9" w:rsidR="00021845" w:rsidRPr="001862D3" w:rsidRDefault="00021845" w:rsidP="009E3AD8">
      <w:pPr>
        <w:spacing w:line="276" w:lineRule="auto"/>
        <w:ind w:firstLine="709"/>
        <w:jc w:val="both"/>
        <w:rPr>
          <w:rFonts w:asciiTheme="minorHAnsi" w:eastAsia="Calibri" w:hAnsiTheme="minorHAnsi" w:cstheme="minorHAnsi"/>
          <w:iCs/>
          <w:color w:val="000000" w:themeColor="text1"/>
          <w:sz w:val="26"/>
          <w:szCs w:val="26"/>
        </w:rPr>
      </w:pPr>
      <w:r w:rsidRPr="001862D3">
        <w:rPr>
          <w:rFonts w:asciiTheme="minorHAnsi" w:eastAsia="Calibri" w:hAnsiTheme="minorHAnsi" w:cstheme="minorHAnsi"/>
          <w:color w:val="000000" w:themeColor="text1"/>
          <w:sz w:val="26"/>
          <w:szCs w:val="26"/>
        </w:rPr>
        <w:t xml:space="preserve">Ca și în cazul auditorilor de justiție din anul I, printre activitățile </w:t>
      </w:r>
      <w:r w:rsidRPr="001862D3">
        <w:rPr>
          <w:rFonts w:asciiTheme="minorHAnsi" w:eastAsia="Calibri" w:hAnsiTheme="minorHAnsi" w:cstheme="minorHAnsi"/>
          <w:iCs/>
          <w:color w:val="000000" w:themeColor="text1"/>
          <w:sz w:val="26"/>
          <w:szCs w:val="26"/>
        </w:rPr>
        <w:t xml:space="preserve">vizând dezvoltarea abilităților non-juridice a fost inclusă, în programul de formare al auditorilor de justiție din anul al II-lea, participarea la </w:t>
      </w:r>
      <w:r w:rsidRPr="002D1B9E">
        <w:rPr>
          <w:rFonts w:asciiTheme="minorHAnsi" w:eastAsia="Calibri" w:hAnsiTheme="minorHAnsi" w:cstheme="minorHAnsi"/>
          <w:iCs/>
          <w:color w:val="000000" w:themeColor="text1"/>
          <w:sz w:val="26"/>
          <w:szCs w:val="26"/>
        </w:rPr>
        <w:t>programe de voluntariat,</w:t>
      </w:r>
      <w:r w:rsidRPr="001862D3">
        <w:rPr>
          <w:rFonts w:asciiTheme="minorHAnsi" w:eastAsia="Calibri" w:hAnsiTheme="minorHAnsi" w:cstheme="minorHAnsi"/>
          <w:iCs/>
          <w:color w:val="000000" w:themeColor="text1"/>
          <w:sz w:val="26"/>
          <w:szCs w:val="26"/>
        </w:rPr>
        <w:t xml:space="preserve"> care vin în întâmpinarea nevoilor unor categorii de persoane vulnerabile (copii, persoane vârstnice, persoane cu dizabilități, victime ale consumului de droguri, victime ale violenței domestice etc.) sau programe care au ca scop protecția mediului înconjurător, a patrimoniului cultural și altele.</w:t>
      </w:r>
    </w:p>
    <w:p w14:paraId="1FE53401" w14:textId="77777777" w:rsidR="00021845" w:rsidRPr="001862D3" w:rsidRDefault="00021845" w:rsidP="009E3AD8">
      <w:pPr>
        <w:spacing w:line="276" w:lineRule="auto"/>
        <w:ind w:firstLine="709"/>
        <w:jc w:val="both"/>
        <w:rPr>
          <w:rFonts w:asciiTheme="minorHAnsi" w:eastAsia="Calibri" w:hAnsiTheme="minorHAnsi" w:cstheme="minorHAnsi"/>
          <w:iCs/>
          <w:color w:val="000000" w:themeColor="text1"/>
          <w:sz w:val="26"/>
          <w:szCs w:val="26"/>
        </w:rPr>
      </w:pPr>
      <w:r w:rsidRPr="001862D3">
        <w:rPr>
          <w:rFonts w:asciiTheme="minorHAnsi" w:eastAsia="Calibri" w:hAnsiTheme="minorHAnsi" w:cstheme="minorHAnsi"/>
          <w:iCs/>
          <w:color w:val="000000" w:themeColor="text1"/>
          <w:sz w:val="26"/>
          <w:szCs w:val="26"/>
        </w:rPr>
        <w:t>În profesia de judecător/procuror, calități precum empatia, abilitatea de a comunica eficient cu persoane provenind din medii sociale și culturale variate, precum și sensibilitatea față de problemele societății și care țin de mediul înconjurător, sunt esențiale. Acestea pot fi cultivate și dezvoltate inclusiv prin implicarea în astfel de activități. Participarea la proiecte de voluntariat contribuie, totodată, la dezvoltarea personală, socială, civică și profesională a auditorilor de justiție, consolidând competențele necesare pentru a face față provocărilor cu care se vor confrunta în carieră.</w:t>
      </w:r>
    </w:p>
    <w:p w14:paraId="5DFAA0C2" w14:textId="77777777" w:rsidR="00DF44D3" w:rsidRPr="006E7638" w:rsidRDefault="00DF44D3" w:rsidP="00DF44D3">
      <w:pPr>
        <w:shd w:val="clear" w:color="auto" w:fill="FFFFFF" w:themeFill="background1"/>
        <w:spacing w:line="276" w:lineRule="auto"/>
        <w:ind w:right="43" w:firstLine="706"/>
        <w:jc w:val="both"/>
        <w:rPr>
          <w:rFonts w:asciiTheme="minorHAnsi" w:hAnsiTheme="minorHAnsi" w:cstheme="minorHAnsi"/>
          <w:b/>
          <w:sz w:val="26"/>
          <w:szCs w:val="26"/>
        </w:rPr>
      </w:pPr>
      <w:r w:rsidRPr="006E7638">
        <w:rPr>
          <w:rFonts w:asciiTheme="minorHAnsi" w:hAnsiTheme="minorHAnsi" w:cstheme="minorHAnsi"/>
          <w:b/>
          <w:sz w:val="26"/>
          <w:szCs w:val="26"/>
        </w:rPr>
        <w:t>Examenul de absolvire:</w:t>
      </w:r>
    </w:p>
    <w:p w14:paraId="72F609EA" w14:textId="77777777" w:rsidR="00DF44D3" w:rsidRPr="006E7638" w:rsidRDefault="00DF44D3" w:rsidP="00DF44D3">
      <w:pPr>
        <w:tabs>
          <w:tab w:val="left" w:pos="709"/>
          <w:tab w:val="left" w:pos="851"/>
        </w:tabs>
        <w:spacing w:after="160" w:line="276" w:lineRule="auto"/>
        <w:contextualSpacing/>
        <w:jc w:val="both"/>
        <w:rPr>
          <w:rFonts w:asciiTheme="minorHAnsi" w:hAnsiTheme="minorHAnsi" w:cstheme="minorHAnsi"/>
          <w:sz w:val="26"/>
          <w:szCs w:val="26"/>
        </w:rPr>
      </w:pPr>
      <w:r w:rsidRPr="006E7638">
        <w:rPr>
          <w:rFonts w:asciiTheme="minorHAnsi" w:hAnsiTheme="minorHAnsi" w:cstheme="minorHAnsi"/>
          <w:sz w:val="26"/>
          <w:szCs w:val="26"/>
        </w:rPr>
        <w:tab/>
        <w:t xml:space="preserve">În perioada ianuarie – februarie 2025 s-a desfășurat testarea psihologică a celor 269 de candidați la examenul de absolvire a I.N.M., iar probele scrise ale examenului au avut loc la datele de 07 aprilie, 09 aprilie și 11 aprilie 2025. </w:t>
      </w:r>
    </w:p>
    <w:p w14:paraId="63E7553C" w14:textId="07438138" w:rsidR="00DF44D3" w:rsidRPr="006E7638" w:rsidRDefault="00DF44D3" w:rsidP="00DF44D3">
      <w:pPr>
        <w:shd w:val="clear" w:color="auto" w:fill="FFFFFF" w:themeFill="background1"/>
        <w:spacing w:line="276" w:lineRule="auto"/>
        <w:ind w:right="43" w:firstLine="706"/>
        <w:jc w:val="both"/>
        <w:rPr>
          <w:rFonts w:asciiTheme="minorHAnsi" w:hAnsiTheme="minorHAnsi" w:cstheme="minorHAnsi"/>
          <w:bCs/>
          <w:sz w:val="26"/>
          <w:szCs w:val="26"/>
        </w:rPr>
      </w:pPr>
      <w:r w:rsidRPr="006E7638">
        <w:rPr>
          <w:rFonts w:asciiTheme="minorHAnsi" w:hAnsiTheme="minorHAnsi" w:cstheme="minorHAnsi"/>
          <w:bCs/>
          <w:sz w:val="26"/>
          <w:szCs w:val="26"/>
        </w:rPr>
        <w:t>În perioada 21 – 23 mai 2025 s-a desfășurat procedura de repartiție a celor 266 de absolvenți pe posturile de judecători și procurori stagiari, aprobate prin Hotărârea Secției pentru judecători</w:t>
      </w:r>
      <w:r w:rsidR="006E7638" w:rsidRPr="006E7638">
        <w:rPr>
          <w:rFonts w:asciiTheme="minorHAnsi" w:hAnsiTheme="minorHAnsi" w:cstheme="minorHAnsi"/>
          <w:bCs/>
          <w:sz w:val="26"/>
          <w:szCs w:val="26"/>
        </w:rPr>
        <w:t xml:space="preserve"> </w:t>
      </w:r>
      <w:r w:rsidRPr="006E7638">
        <w:rPr>
          <w:rFonts w:asciiTheme="minorHAnsi" w:hAnsiTheme="minorHAnsi" w:cstheme="minorHAnsi"/>
          <w:bCs/>
          <w:sz w:val="26"/>
          <w:szCs w:val="26"/>
        </w:rPr>
        <w:t>nr.</w:t>
      </w:r>
      <w:r w:rsidR="006E7638" w:rsidRPr="006E7638">
        <w:rPr>
          <w:rFonts w:asciiTheme="minorHAnsi" w:hAnsiTheme="minorHAnsi" w:cstheme="minorHAnsi"/>
          <w:bCs/>
          <w:sz w:val="26"/>
          <w:szCs w:val="26"/>
        </w:rPr>
        <w:t xml:space="preserve"> </w:t>
      </w:r>
      <w:r w:rsidRPr="006E7638">
        <w:rPr>
          <w:rFonts w:asciiTheme="minorHAnsi" w:hAnsiTheme="minorHAnsi" w:cstheme="minorHAnsi"/>
          <w:bCs/>
          <w:sz w:val="26"/>
          <w:szCs w:val="26"/>
        </w:rPr>
        <w:t xml:space="preserve">1314/15.05.2025, respectiv prin Hotărârea Secției pentru procurori nr. 348/20.05.2025. </w:t>
      </w:r>
    </w:p>
    <w:p w14:paraId="3CBDC91F" w14:textId="77777777" w:rsidR="00DF44D3" w:rsidRPr="006E7638" w:rsidRDefault="00DF44D3" w:rsidP="00DF44D3">
      <w:pPr>
        <w:shd w:val="clear" w:color="auto" w:fill="FFFFFF" w:themeFill="background1"/>
        <w:spacing w:line="276" w:lineRule="auto"/>
        <w:ind w:right="43" w:firstLine="706"/>
        <w:jc w:val="both"/>
        <w:rPr>
          <w:rFonts w:asciiTheme="minorHAnsi" w:hAnsiTheme="minorHAnsi" w:cstheme="minorHAnsi"/>
          <w:bCs/>
          <w:sz w:val="26"/>
          <w:szCs w:val="26"/>
        </w:rPr>
      </w:pPr>
      <w:r w:rsidRPr="006E7638">
        <w:rPr>
          <w:rFonts w:asciiTheme="minorHAnsi" w:hAnsiTheme="minorHAnsi" w:cstheme="minorHAnsi"/>
          <w:bCs/>
          <w:sz w:val="26"/>
          <w:szCs w:val="26"/>
        </w:rPr>
        <w:t>Pe baza opțiunilor formulate, prin Hotărârea Secției pentru judecători nr. 1365/27.05.2025, respectiv prin Hotărârea Secției pentru procurori nr. 373/27.05.2025, 171 de absolvenți au fost numiți în funcția de judecător stagiar și 95 de absolvenţi în funcția de procuror stagiar, începând cu data de 01 iunie 2025.</w:t>
      </w:r>
    </w:p>
    <w:p w14:paraId="57D97A6F" w14:textId="77777777" w:rsidR="00DF44D3" w:rsidRPr="006E7638" w:rsidRDefault="00DF44D3" w:rsidP="00DF44D3">
      <w:pPr>
        <w:shd w:val="clear" w:color="auto" w:fill="FFFFFF" w:themeFill="background1"/>
        <w:spacing w:line="276" w:lineRule="auto"/>
        <w:ind w:right="43" w:firstLine="706"/>
        <w:jc w:val="both"/>
        <w:rPr>
          <w:rFonts w:asciiTheme="minorHAnsi" w:hAnsiTheme="minorHAnsi" w:cstheme="minorHAnsi"/>
          <w:bCs/>
          <w:sz w:val="26"/>
          <w:szCs w:val="26"/>
        </w:rPr>
      </w:pPr>
      <w:r w:rsidRPr="006E7638">
        <w:rPr>
          <w:rFonts w:asciiTheme="minorHAnsi" w:hAnsiTheme="minorHAnsi" w:cstheme="minorHAnsi"/>
          <w:bCs/>
          <w:sz w:val="26"/>
          <w:szCs w:val="26"/>
        </w:rPr>
        <w:t>La data de 26 mai 2025 a avut loc Festivitatea de absolvire a promoției 2023 – 2025 „Corneliu Bîrsan” în cadrul căreia le-au adresat felicitări reprezentanții principalelor instituții din cadrul sistemului judiciar, precum și directorul Institutului Național pentru Pregătirea și Perfecționarea Avocaților.</w:t>
      </w:r>
    </w:p>
    <w:p w14:paraId="1312ED12" w14:textId="247A05E6" w:rsidR="00DF44D3" w:rsidRPr="006E7638" w:rsidRDefault="00DF44D3" w:rsidP="00DF44D3">
      <w:pPr>
        <w:shd w:val="clear" w:color="auto" w:fill="FFFFFF" w:themeFill="background1"/>
        <w:spacing w:line="276" w:lineRule="auto"/>
        <w:ind w:right="43" w:firstLine="706"/>
        <w:jc w:val="both"/>
        <w:rPr>
          <w:rFonts w:asciiTheme="minorHAnsi" w:hAnsiTheme="minorHAnsi" w:cstheme="minorHAnsi"/>
          <w:bCs/>
          <w:sz w:val="26"/>
          <w:szCs w:val="26"/>
        </w:rPr>
      </w:pPr>
      <w:r w:rsidRPr="006E7638">
        <w:rPr>
          <w:rFonts w:asciiTheme="minorHAnsi" w:hAnsiTheme="minorHAnsi" w:cstheme="minorHAnsi"/>
          <w:bCs/>
          <w:sz w:val="26"/>
          <w:szCs w:val="26"/>
        </w:rPr>
        <w:lastRenderedPageBreak/>
        <w:t xml:space="preserve">În intervalul iulie – septembrie 2025 s-a desfășurat sesiunea examenului de absolvire pentru 3 dintre auditorii de justiție ai promoției 2023 – 2025. Probele scrise au avut loc la datele de </w:t>
      </w:r>
      <w:r w:rsidR="006E7638" w:rsidRPr="006E7638">
        <w:rPr>
          <w:rFonts w:asciiTheme="minorHAnsi" w:hAnsiTheme="minorHAnsi" w:cstheme="minorHAnsi"/>
          <w:bCs/>
          <w:sz w:val="26"/>
          <w:szCs w:val="26"/>
        </w:rPr>
        <w:t>0</w:t>
      </w:r>
      <w:r w:rsidRPr="006E7638">
        <w:rPr>
          <w:rFonts w:asciiTheme="minorHAnsi" w:hAnsiTheme="minorHAnsi" w:cstheme="minorHAnsi"/>
          <w:bCs/>
          <w:sz w:val="26"/>
          <w:szCs w:val="26"/>
        </w:rPr>
        <w:t xml:space="preserve">1 septembrie, </w:t>
      </w:r>
      <w:r w:rsidR="006E7638" w:rsidRPr="006E7638">
        <w:rPr>
          <w:rFonts w:asciiTheme="minorHAnsi" w:hAnsiTheme="minorHAnsi" w:cstheme="minorHAnsi"/>
          <w:bCs/>
          <w:sz w:val="26"/>
          <w:szCs w:val="26"/>
        </w:rPr>
        <w:t>0</w:t>
      </w:r>
      <w:r w:rsidRPr="006E7638">
        <w:rPr>
          <w:rFonts w:asciiTheme="minorHAnsi" w:hAnsiTheme="minorHAnsi" w:cstheme="minorHAnsi"/>
          <w:bCs/>
          <w:sz w:val="26"/>
          <w:szCs w:val="26"/>
        </w:rPr>
        <w:t xml:space="preserve">3 septembrie și </w:t>
      </w:r>
      <w:r w:rsidR="006E7638" w:rsidRPr="006E7638">
        <w:rPr>
          <w:rFonts w:asciiTheme="minorHAnsi" w:hAnsiTheme="minorHAnsi" w:cstheme="minorHAnsi"/>
          <w:bCs/>
          <w:sz w:val="26"/>
          <w:szCs w:val="26"/>
        </w:rPr>
        <w:t>0</w:t>
      </w:r>
      <w:r w:rsidRPr="006E7638">
        <w:rPr>
          <w:rFonts w:asciiTheme="minorHAnsi" w:hAnsiTheme="minorHAnsi" w:cstheme="minorHAnsi"/>
          <w:bCs/>
          <w:sz w:val="26"/>
          <w:szCs w:val="26"/>
        </w:rPr>
        <w:t>5 septembrie 2025. Cei 3 absolvenți au fost numiți în funcția de judecător stagiar prin Hotărârea Secției pentru judecători nr. 2043/02.10.2025, începând cu data de 6 octombrie 2025</w:t>
      </w:r>
      <w:r w:rsidR="006E7638" w:rsidRPr="006E7638">
        <w:rPr>
          <w:rFonts w:asciiTheme="minorHAnsi" w:hAnsiTheme="minorHAnsi" w:cstheme="minorHAnsi"/>
          <w:bCs/>
          <w:sz w:val="26"/>
          <w:szCs w:val="26"/>
        </w:rPr>
        <w:t>.</w:t>
      </w:r>
    </w:p>
    <w:bookmarkEnd w:id="86"/>
    <w:bookmarkEnd w:id="87"/>
    <w:p w14:paraId="1B1EC2E1" w14:textId="2FB3437A" w:rsidR="00021845" w:rsidRPr="001862D3" w:rsidRDefault="00021845" w:rsidP="00281400">
      <w:pPr>
        <w:pStyle w:val="ListParagraph"/>
        <w:numPr>
          <w:ilvl w:val="0"/>
          <w:numId w:val="4"/>
        </w:numPr>
        <w:shd w:val="clear" w:color="auto" w:fill="FFFFFF" w:themeFill="background1"/>
        <w:tabs>
          <w:tab w:val="left" w:pos="720"/>
        </w:tabs>
        <w:autoSpaceDE w:val="0"/>
        <w:autoSpaceDN w:val="0"/>
        <w:spacing w:line="276" w:lineRule="auto"/>
        <w:ind w:left="1080" w:hanging="360"/>
        <w:jc w:val="both"/>
        <w:rPr>
          <w:rFonts w:asciiTheme="minorHAnsi" w:hAnsiTheme="minorHAnsi" w:cstheme="minorHAnsi"/>
          <w:b/>
          <w:color w:val="000000" w:themeColor="text1"/>
          <w:sz w:val="26"/>
          <w:szCs w:val="26"/>
        </w:rPr>
      </w:pPr>
      <w:r w:rsidRPr="001862D3">
        <w:rPr>
          <w:rFonts w:asciiTheme="minorHAnsi" w:hAnsiTheme="minorHAnsi" w:cstheme="minorHAnsi"/>
          <w:b/>
          <w:color w:val="000000" w:themeColor="text1"/>
          <w:sz w:val="26"/>
          <w:szCs w:val="26"/>
        </w:rPr>
        <w:t>Alte activități specifice formării inițiale</w:t>
      </w:r>
    </w:p>
    <w:p w14:paraId="21533131" w14:textId="7690605C" w:rsidR="00021845" w:rsidRPr="001862D3" w:rsidRDefault="00021845" w:rsidP="009E3AD8">
      <w:pPr>
        <w:shd w:val="clear" w:color="auto" w:fill="FFFFFF" w:themeFill="background1"/>
        <w:spacing w:line="276" w:lineRule="auto"/>
        <w:ind w:firstLine="720"/>
        <w:jc w:val="both"/>
        <w:rPr>
          <w:rFonts w:asciiTheme="minorHAnsi" w:hAnsiTheme="minorHAnsi" w:cstheme="minorHAnsi"/>
          <w:color w:val="000000" w:themeColor="text1"/>
          <w:sz w:val="26"/>
          <w:szCs w:val="26"/>
        </w:rPr>
      </w:pPr>
      <w:r w:rsidRPr="001862D3">
        <w:rPr>
          <w:rFonts w:asciiTheme="minorHAnsi" w:hAnsiTheme="minorHAnsi" w:cstheme="minorHAnsi"/>
          <w:color w:val="000000" w:themeColor="text1"/>
          <w:sz w:val="26"/>
          <w:szCs w:val="26"/>
        </w:rPr>
        <w:t>În perioada de referință a</w:t>
      </w:r>
      <w:r w:rsidR="003A1C2B">
        <w:rPr>
          <w:rFonts w:asciiTheme="minorHAnsi" w:hAnsiTheme="minorHAnsi" w:cstheme="minorHAnsi"/>
          <w:color w:val="000000" w:themeColor="text1"/>
          <w:sz w:val="26"/>
          <w:szCs w:val="26"/>
        </w:rPr>
        <w:t>u</w:t>
      </w:r>
      <w:r w:rsidRPr="001862D3">
        <w:rPr>
          <w:rFonts w:asciiTheme="minorHAnsi" w:hAnsiTheme="minorHAnsi" w:cstheme="minorHAnsi"/>
          <w:color w:val="000000" w:themeColor="text1"/>
          <w:sz w:val="26"/>
          <w:szCs w:val="26"/>
        </w:rPr>
        <w:t xml:space="preserve"> fost organizat</w:t>
      </w:r>
      <w:r w:rsidR="003A1C2B">
        <w:rPr>
          <w:rFonts w:asciiTheme="minorHAnsi" w:hAnsiTheme="minorHAnsi" w:cstheme="minorHAnsi"/>
          <w:color w:val="000000" w:themeColor="text1"/>
          <w:sz w:val="26"/>
          <w:szCs w:val="26"/>
        </w:rPr>
        <w:t>e</w:t>
      </w:r>
      <w:r w:rsidRPr="001862D3">
        <w:rPr>
          <w:rFonts w:asciiTheme="minorHAnsi" w:hAnsiTheme="minorHAnsi" w:cstheme="minorHAnsi"/>
          <w:color w:val="000000" w:themeColor="text1"/>
          <w:sz w:val="26"/>
          <w:szCs w:val="26"/>
        </w:rPr>
        <w:t xml:space="preserve"> </w:t>
      </w:r>
      <w:r w:rsidRPr="003A1C2B">
        <w:rPr>
          <w:rFonts w:asciiTheme="minorHAnsi" w:hAnsiTheme="minorHAnsi" w:cstheme="minorHAnsi"/>
          <w:color w:val="000000" w:themeColor="text1"/>
          <w:sz w:val="26"/>
          <w:szCs w:val="26"/>
        </w:rPr>
        <w:t>activități extracurriculare</w:t>
      </w:r>
      <w:r w:rsidRPr="001862D3">
        <w:rPr>
          <w:rFonts w:asciiTheme="minorHAnsi" w:hAnsiTheme="minorHAnsi" w:cstheme="minorHAnsi"/>
          <w:color w:val="000000" w:themeColor="text1"/>
          <w:sz w:val="26"/>
          <w:szCs w:val="26"/>
        </w:rPr>
        <w:t xml:space="preserve"> adresate auditorilor de justiție, după cum urmează:</w:t>
      </w:r>
    </w:p>
    <w:p w14:paraId="0F92EDEF" w14:textId="273DBCFF" w:rsidR="00021845" w:rsidRPr="001862D3" w:rsidRDefault="00021845" w:rsidP="009E3AD8">
      <w:pPr>
        <w:spacing w:after="160" w:line="276" w:lineRule="auto"/>
        <w:ind w:firstLine="720"/>
        <w:contextualSpacing/>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t xml:space="preserve">La data de </w:t>
      </w:r>
      <w:r w:rsidR="006B5581">
        <w:rPr>
          <w:rFonts w:asciiTheme="minorHAnsi" w:eastAsia="Calibri" w:hAnsiTheme="minorHAnsi" w:cstheme="minorHAnsi"/>
          <w:color w:val="000000" w:themeColor="text1"/>
          <w:sz w:val="26"/>
          <w:szCs w:val="26"/>
        </w:rPr>
        <w:t>0</w:t>
      </w:r>
      <w:r w:rsidRPr="001862D3">
        <w:rPr>
          <w:rFonts w:asciiTheme="minorHAnsi" w:eastAsia="Calibri" w:hAnsiTheme="minorHAnsi" w:cstheme="minorHAnsi"/>
          <w:color w:val="000000" w:themeColor="text1"/>
          <w:sz w:val="26"/>
          <w:szCs w:val="26"/>
        </w:rPr>
        <w:t xml:space="preserve">9 ianuarie 2025 a avut loc conferința cu tema </w:t>
      </w:r>
      <w:r w:rsidRPr="003A1C2B">
        <w:rPr>
          <w:rFonts w:asciiTheme="minorHAnsi" w:eastAsia="Calibri" w:hAnsiTheme="minorHAnsi" w:cstheme="minorHAnsi"/>
          <w:color w:val="000000" w:themeColor="text1"/>
          <w:sz w:val="26"/>
          <w:szCs w:val="26"/>
        </w:rPr>
        <w:t>„Detecția minciunii fără mijloace tehnice specializate”,</w:t>
      </w:r>
      <w:r w:rsidRPr="001862D3">
        <w:rPr>
          <w:rFonts w:asciiTheme="minorHAnsi" w:eastAsia="Calibri" w:hAnsiTheme="minorHAnsi" w:cstheme="minorHAnsi"/>
          <w:color w:val="000000" w:themeColor="text1"/>
          <w:sz w:val="26"/>
          <w:szCs w:val="26"/>
        </w:rPr>
        <w:t xml:space="preserve"> susținută de domnul Dorin Dumitran, psiholog criminalist în cadrul Serviciului de Analiză Comportamentală al Poliției Române, în cadrul căreia au fost abordate aspecte privind tehnici de audiere, limbajul nonverbal și analiza declarațiilor în procesul penal.</w:t>
      </w:r>
    </w:p>
    <w:p w14:paraId="12BEA818" w14:textId="3CB5260A" w:rsidR="00021845" w:rsidRPr="001862D3" w:rsidRDefault="00021845" w:rsidP="009E3AD8">
      <w:pPr>
        <w:spacing w:after="160" w:line="276" w:lineRule="auto"/>
        <w:ind w:firstLine="720"/>
        <w:contextualSpacing/>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t xml:space="preserve">La data de 16 ianuarie 2025 </w:t>
      </w:r>
      <w:bookmarkStart w:id="96" w:name="_Hlk211000469"/>
      <w:r w:rsidRPr="001862D3">
        <w:rPr>
          <w:rFonts w:asciiTheme="minorHAnsi" w:eastAsia="Calibri" w:hAnsiTheme="minorHAnsi" w:cstheme="minorHAnsi"/>
          <w:color w:val="000000" w:themeColor="text1"/>
          <w:sz w:val="26"/>
          <w:szCs w:val="26"/>
        </w:rPr>
        <w:t xml:space="preserve">s-a desfășurat </w:t>
      </w:r>
      <w:bookmarkEnd w:id="96"/>
      <w:r w:rsidRPr="001862D3">
        <w:rPr>
          <w:rFonts w:asciiTheme="minorHAnsi" w:eastAsia="Calibri" w:hAnsiTheme="minorHAnsi" w:cstheme="minorHAnsi"/>
          <w:color w:val="000000" w:themeColor="text1"/>
          <w:sz w:val="26"/>
          <w:szCs w:val="26"/>
        </w:rPr>
        <w:t xml:space="preserve">conferința </w:t>
      </w:r>
      <w:r w:rsidRPr="003A1C2B">
        <w:rPr>
          <w:rFonts w:asciiTheme="minorHAnsi" w:eastAsia="Calibri" w:hAnsiTheme="minorHAnsi" w:cstheme="minorHAnsi"/>
          <w:color w:val="000000" w:themeColor="text1"/>
          <w:sz w:val="26"/>
          <w:szCs w:val="26"/>
        </w:rPr>
        <w:t>„În dialog cu Procurorul-șef al D</w:t>
      </w:r>
      <w:r w:rsidR="006B5581" w:rsidRPr="003A1C2B">
        <w:rPr>
          <w:rFonts w:asciiTheme="minorHAnsi" w:eastAsia="Calibri" w:hAnsiTheme="minorHAnsi" w:cstheme="minorHAnsi"/>
          <w:color w:val="000000" w:themeColor="text1"/>
          <w:sz w:val="26"/>
          <w:szCs w:val="26"/>
        </w:rPr>
        <w:t>.</w:t>
      </w:r>
      <w:r w:rsidRPr="003A1C2B">
        <w:rPr>
          <w:rFonts w:asciiTheme="minorHAnsi" w:eastAsia="Calibri" w:hAnsiTheme="minorHAnsi" w:cstheme="minorHAnsi"/>
          <w:color w:val="000000" w:themeColor="text1"/>
          <w:sz w:val="26"/>
          <w:szCs w:val="26"/>
        </w:rPr>
        <w:t>N</w:t>
      </w:r>
      <w:r w:rsidR="006B5581" w:rsidRPr="003A1C2B">
        <w:rPr>
          <w:rFonts w:asciiTheme="minorHAnsi" w:eastAsia="Calibri" w:hAnsiTheme="minorHAnsi" w:cstheme="minorHAnsi"/>
          <w:color w:val="000000" w:themeColor="text1"/>
          <w:sz w:val="26"/>
          <w:szCs w:val="26"/>
        </w:rPr>
        <w:t>.</w:t>
      </w:r>
      <w:r w:rsidRPr="003A1C2B">
        <w:rPr>
          <w:rFonts w:asciiTheme="minorHAnsi" w:eastAsia="Calibri" w:hAnsiTheme="minorHAnsi" w:cstheme="minorHAnsi"/>
          <w:color w:val="000000" w:themeColor="text1"/>
          <w:sz w:val="26"/>
          <w:szCs w:val="26"/>
        </w:rPr>
        <w:t>A</w:t>
      </w:r>
      <w:r w:rsidR="006B5581" w:rsidRPr="003A1C2B">
        <w:rPr>
          <w:rFonts w:asciiTheme="minorHAnsi" w:eastAsia="Calibri" w:hAnsiTheme="minorHAnsi" w:cstheme="minorHAnsi"/>
          <w:color w:val="000000" w:themeColor="text1"/>
          <w:sz w:val="26"/>
          <w:szCs w:val="26"/>
        </w:rPr>
        <w:t>.</w:t>
      </w:r>
      <w:r w:rsidRPr="003A1C2B">
        <w:rPr>
          <w:rFonts w:asciiTheme="minorHAnsi" w:eastAsia="Calibri" w:hAnsiTheme="minorHAnsi" w:cstheme="minorHAnsi"/>
          <w:color w:val="000000" w:themeColor="text1"/>
          <w:sz w:val="26"/>
          <w:szCs w:val="26"/>
        </w:rPr>
        <w:t>”,</w:t>
      </w:r>
      <w:r w:rsidRPr="001862D3">
        <w:rPr>
          <w:rFonts w:asciiTheme="minorHAnsi" w:eastAsia="Calibri" w:hAnsiTheme="minorHAnsi" w:cstheme="minorHAnsi"/>
          <w:color w:val="000000" w:themeColor="text1"/>
          <w:sz w:val="26"/>
          <w:szCs w:val="26"/>
        </w:rPr>
        <w:t xml:space="preserve"> susținută de domnul </w:t>
      </w:r>
      <w:r w:rsidR="003A1C2B">
        <w:rPr>
          <w:rFonts w:asciiTheme="minorHAnsi" w:eastAsia="Calibri" w:hAnsiTheme="minorHAnsi" w:cstheme="minorHAnsi"/>
          <w:color w:val="000000" w:themeColor="text1"/>
          <w:sz w:val="26"/>
          <w:szCs w:val="26"/>
        </w:rPr>
        <w:t>p</w:t>
      </w:r>
      <w:r w:rsidRPr="001862D3">
        <w:rPr>
          <w:rFonts w:asciiTheme="minorHAnsi" w:eastAsia="Calibri" w:hAnsiTheme="minorHAnsi" w:cstheme="minorHAnsi"/>
          <w:color w:val="000000" w:themeColor="text1"/>
          <w:sz w:val="26"/>
          <w:szCs w:val="26"/>
        </w:rPr>
        <w:t xml:space="preserve">rocuror-șef Marius Ionuț Voineag. Cu acest prilej, domnul </w:t>
      </w:r>
      <w:r w:rsidR="003A1C2B">
        <w:rPr>
          <w:rFonts w:asciiTheme="minorHAnsi" w:eastAsia="Calibri" w:hAnsiTheme="minorHAnsi" w:cstheme="minorHAnsi"/>
          <w:color w:val="000000" w:themeColor="text1"/>
          <w:sz w:val="26"/>
          <w:szCs w:val="26"/>
        </w:rPr>
        <w:t>p</w:t>
      </w:r>
      <w:r w:rsidRPr="001862D3">
        <w:rPr>
          <w:rFonts w:asciiTheme="minorHAnsi" w:eastAsia="Calibri" w:hAnsiTheme="minorHAnsi" w:cstheme="minorHAnsi"/>
          <w:color w:val="000000" w:themeColor="text1"/>
          <w:sz w:val="26"/>
          <w:szCs w:val="26"/>
        </w:rPr>
        <w:t>rocuror-șef a adresat auditorilor de justiție mesajul Direcției Naționale Anticorupție și a împărtășit din experiențele profesionale proprii, într-un cadru interactiv.</w:t>
      </w:r>
    </w:p>
    <w:p w14:paraId="37435206" w14:textId="77777777" w:rsidR="00021845" w:rsidRPr="001862D3" w:rsidRDefault="00021845" w:rsidP="009E3AD8">
      <w:pPr>
        <w:spacing w:after="160" w:line="276" w:lineRule="auto"/>
        <w:ind w:firstLine="720"/>
        <w:contextualSpacing/>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t xml:space="preserve">La data de 12 februarie 2025 a avut loc conferința cu tema </w:t>
      </w:r>
      <w:r w:rsidRPr="003A1C2B">
        <w:rPr>
          <w:rFonts w:asciiTheme="minorHAnsi" w:eastAsia="Calibri" w:hAnsiTheme="minorHAnsi" w:cstheme="minorHAnsi"/>
          <w:color w:val="000000" w:themeColor="text1"/>
          <w:sz w:val="26"/>
          <w:szCs w:val="26"/>
        </w:rPr>
        <w:t xml:space="preserve">„Demnitatea justiției. Lecții ale istoriei”, </w:t>
      </w:r>
      <w:r w:rsidRPr="001862D3">
        <w:rPr>
          <w:rFonts w:asciiTheme="minorHAnsi" w:eastAsia="Calibri" w:hAnsiTheme="minorHAnsi" w:cstheme="minorHAnsi"/>
          <w:color w:val="000000" w:themeColor="text1"/>
          <w:sz w:val="26"/>
          <w:szCs w:val="26"/>
        </w:rPr>
        <w:t>susținută de doamna judecător Dana Gîrbovan, în cadrul căreia a fost abordat rolul esențial al justiției în momente critice ale istoriei, aducând în prim-plan figuri de magistrați care au rămas fideli valorilor profesiei, în ciuda presiunilor vremii.</w:t>
      </w:r>
    </w:p>
    <w:p w14:paraId="2CAE7796" w14:textId="6C97799E" w:rsidR="00021845" w:rsidRPr="001862D3" w:rsidRDefault="00021845" w:rsidP="009E3AD8">
      <w:pPr>
        <w:spacing w:after="160" w:line="276" w:lineRule="auto"/>
        <w:ind w:firstLine="720"/>
        <w:contextualSpacing/>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t xml:space="preserve">La data de 26 februarie 2025 a avut loc conferința </w:t>
      </w:r>
      <w:r w:rsidRPr="003A1C2B">
        <w:rPr>
          <w:rFonts w:asciiTheme="minorHAnsi" w:eastAsia="Calibri" w:hAnsiTheme="minorHAnsi" w:cstheme="minorHAnsi"/>
          <w:color w:val="000000" w:themeColor="text1"/>
          <w:sz w:val="26"/>
          <w:szCs w:val="26"/>
        </w:rPr>
        <w:t>„De la gând la cuvânt. Strategii pentru un discurs convingător”,</w:t>
      </w:r>
      <w:r w:rsidRPr="001862D3">
        <w:rPr>
          <w:rFonts w:asciiTheme="minorHAnsi" w:eastAsia="Calibri" w:hAnsiTheme="minorHAnsi" w:cstheme="minorHAnsi"/>
          <w:color w:val="000000" w:themeColor="text1"/>
          <w:sz w:val="26"/>
          <w:szCs w:val="26"/>
        </w:rPr>
        <w:t xml:space="preserve"> susținută de domnul Gabriel Radu</w:t>
      </w:r>
      <w:r w:rsidR="001A5F39">
        <w:rPr>
          <w:rFonts w:asciiTheme="minorHAnsi" w:eastAsia="Calibri" w:hAnsiTheme="minorHAnsi" w:cstheme="minorHAnsi"/>
          <w:color w:val="000000" w:themeColor="text1"/>
          <w:sz w:val="26"/>
          <w:szCs w:val="26"/>
        </w:rPr>
        <w:t>, actor</w:t>
      </w:r>
      <w:r w:rsidRPr="001862D3">
        <w:rPr>
          <w:rFonts w:asciiTheme="minorHAnsi" w:eastAsia="Calibri" w:hAnsiTheme="minorHAnsi" w:cstheme="minorHAnsi"/>
          <w:color w:val="000000" w:themeColor="text1"/>
          <w:sz w:val="26"/>
          <w:szCs w:val="26"/>
        </w:rPr>
        <w:t>. Conferința a vizat dezvoltarea abilităților de comunicare publică necesare magistraților în interacțiunea cu părțile, colegii și societatea, fiind abordate aspecte privind importanța gesturilor și posturii în susținerea unui mesaj, contactul vizual și impactul asupra publicului, precum și adaptarea mesajului la audiență.</w:t>
      </w:r>
    </w:p>
    <w:p w14:paraId="3C2E934E" w14:textId="430ED849" w:rsidR="00021845" w:rsidRPr="001862D3" w:rsidRDefault="00021845" w:rsidP="009E3AD8">
      <w:pPr>
        <w:spacing w:after="160" w:line="276" w:lineRule="auto"/>
        <w:ind w:firstLine="720"/>
        <w:contextualSpacing/>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t xml:space="preserve">La data de </w:t>
      </w:r>
      <w:r w:rsidR="006B5581">
        <w:rPr>
          <w:rFonts w:asciiTheme="minorHAnsi" w:eastAsia="Calibri" w:hAnsiTheme="minorHAnsi" w:cstheme="minorHAnsi"/>
          <w:color w:val="000000" w:themeColor="text1"/>
          <w:sz w:val="26"/>
          <w:szCs w:val="26"/>
        </w:rPr>
        <w:t>0</w:t>
      </w:r>
      <w:r w:rsidRPr="001862D3">
        <w:rPr>
          <w:rFonts w:asciiTheme="minorHAnsi" w:eastAsia="Calibri" w:hAnsiTheme="minorHAnsi" w:cstheme="minorHAnsi"/>
          <w:color w:val="000000" w:themeColor="text1"/>
          <w:sz w:val="26"/>
          <w:szCs w:val="26"/>
        </w:rPr>
        <w:t xml:space="preserve">5 martie 2025 a avut loc conferința cu tema </w:t>
      </w:r>
      <w:r w:rsidRPr="003A1C2B">
        <w:rPr>
          <w:rFonts w:asciiTheme="minorHAnsi" w:eastAsia="Calibri" w:hAnsiTheme="minorHAnsi" w:cstheme="minorHAnsi"/>
          <w:color w:val="000000" w:themeColor="text1"/>
          <w:sz w:val="26"/>
          <w:szCs w:val="26"/>
        </w:rPr>
        <w:t>„Atribuțiile administratorilor și ale membrilor consiliului de supraveghere. Obligația de loialitate, bună-credință, discreție și urmărirea interesului societății în exercitarea mandatului”,</w:t>
      </w:r>
      <w:r w:rsidRPr="001862D3">
        <w:rPr>
          <w:rFonts w:asciiTheme="minorHAnsi" w:eastAsia="Calibri" w:hAnsiTheme="minorHAnsi" w:cstheme="minorHAnsi"/>
          <w:color w:val="000000" w:themeColor="text1"/>
          <w:sz w:val="26"/>
          <w:szCs w:val="26"/>
        </w:rPr>
        <w:t xml:space="preserve"> susținută de domnul avocat Sebastian Bodu. În cadrul conferinței au fost clarificate aspecte esențiale privind conducerea și administrarea societăților comerciale, fiind abordate inclusiv teme precum gestionarea conflictelor de interese, limitările mandatului administratorilor și diferențele dintre sistemul unitar și dualist de administrare a societăților pe acțiuni.</w:t>
      </w:r>
    </w:p>
    <w:p w14:paraId="61D5DAB2" w14:textId="229FC16A" w:rsidR="00021845" w:rsidRPr="001862D3" w:rsidRDefault="00021845" w:rsidP="009E3AD8">
      <w:pPr>
        <w:spacing w:after="160" w:line="276" w:lineRule="auto"/>
        <w:ind w:firstLine="720"/>
        <w:contextualSpacing/>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t xml:space="preserve">La data de </w:t>
      </w:r>
      <w:r w:rsidR="00A97D25">
        <w:rPr>
          <w:rFonts w:asciiTheme="minorHAnsi" w:eastAsia="Calibri" w:hAnsiTheme="minorHAnsi" w:cstheme="minorHAnsi"/>
          <w:color w:val="000000" w:themeColor="text1"/>
          <w:sz w:val="26"/>
          <w:szCs w:val="26"/>
        </w:rPr>
        <w:t>0</w:t>
      </w:r>
      <w:r w:rsidRPr="001862D3">
        <w:rPr>
          <w:rFonts w:asciiTheme="minorHAnsi" w:eastAsia="Calibri" w:hAnsiTheme="minorHAnsi" w:cstheme="minorHAnsi"/>
          <w:color w:val="000000" w:themeColor="text1"/>
          <w:sz w:val="26"/>
          <w:szCs w:val="26"/>
        </w:rPr>
        <w:t xml:space="preserve">6 martie 2025 a avut loc conferința intitulată </w:t>
      </w:r>
      <w:r w:rsidRPr="003A1C2B">
        <w:rPr>
          <w:rFonts w:asciiTheme="minorHAnsi" w:eastAsia="Calibri" w:hAnsiTheme="minorHAnsi" w:cstheme="minorHAnsi"/>
          <w:color w:val="000000" w:themeColor="text1"/>
          <w:sz w:val="26"/>
          <w:szCs w:val="26"/>
        </w:rPr>
        <w:t>„Tehnici de luare a deciziilor”,</w:t>
      </w:r>
      <w:r w:rsidRPr="001862D3">
        <w:rPr>
          <w:rFonts w:asciiTheme="minorHAnsi" w:eastAsia="Calibri" w:hAnsiTheme="minorHAnsi" w:cstheme="minorHAnsi"/>
          <w:color w:val="000000" w:themeColor="text1"/>
          <w:sz w:val="26"/>
          <w:szCs w:val="26"/>
        </w:rPr>
        <w:t xml:space="preserve"> susținută de doamna profesor universitar doctor Rodica Ianole</w:t>
      </w:r>
      <w:r w:rsidR="003A1C2B">
        <w:rPr>
          <w:rFonts w:asciiTheme="minorHAnsi" w:eastAsia="Calibri" w:hAnsiTheme="minorHAnsi" w:cstheme="minorHAnsi"/>
          <w:color w:val="000000" w:themeColor="text1"/>
          <w:sz w:val="26"/>
          <w:szCs w:val="26"/>
        </w:rPr>
        <w:t xml:space="preserve"> </w:t>
      </w:r>
      <w:r w:rsidRPr="001862D3">
        <w:rPr>
          <w:rFonts w:asciiTheme="minorHAnsi" w:eastAsia="Calibri" w:hAnsiTheme="minorHAnsi" w:cstheme="minorHAnsi"/>
          <w:color w:val="000000" w:themeColor="text1"/>
          <w:sz w:val="26"/>
          <w:szCs w:val="26"/>
        </w:rPr>
        <w:t>-</w:t>
      </w:r>
      <w:r w:rsidR="003A1C2B">
        <w:rPr>
          <w:rFonts w:asciiTheme="minorHAnsi" w:eastAsia="Calibri" w:hAnsiTheme="minorHAnsi" w:cstheme="minorHAnsi"/>
          <w:color w:val="000000" w:themeColor="text1"/>
          <w:sz w:val="26"/>
          <w:szCs w:val="26"/>
        </w:rPr>
        <w:t xml:space="preserve"> </w:t>
      </w:r>
      <w:r w:rsidRPr="001862D3">
        <w:rPr>
          <w:rFonts w:asciiTheme="minorHAnsi" w:eastAsia="Calibri" w:hAnsiTheme="minorHAnsi" w:cstheme="minorHAnsi"/>
          <w:color w:val="000000" w:themeColor="text1"/>
          <w:sz w:val="26"/>
          <w:szCs w:val="26"/>
        </w:rPr>
        <w:t>Călin. Conferința a urmărit dezvoltarea competențelor necesare pentru adoptarea unor decizii fundamentale, coerente și bine-argumentate, constituind un bun prilej pentru auditorii de justiție de a învăța despre recunoașterea și evitarea erorilor cognitive comune.</w:t>
      </w:r>
    </w:p>
    <w:p w14:paraId="6433C3D1" w14:textId="77777777" w:rsidR="00021845" w:rsidRPr="001862D3" w:rsidRDefault="00021845" w:rsidP="009E3AD8">
      <w:pPr>
        <w:spacing w:after="160" w:line="276" w:lineRule="auto"/>
        <w:ind w:firstLine="720"/>
        <w:contextualSpacing/>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t xml:space="preserve">La data de 19 martie 2025 s-a desfășurat conferința </w:t>
      </w:r>
      <w:r w:rsidRPr="003A1C2B">
        <w:rPr>
          <w:rFonts w:asciiTheme="minorHAnsi" w:eastAsia="Calibri" w:hAnsiTheme="minorHAnsi" w:cstheme="minorHAnsi"/>
          <w:color w:val="000000" w:themeColor="text1"/>
          <w:sz w:val="26"/>
          <w:szCs w:val="26"/>
        </w:rPr>
        <w:t xml:space="preserve">„În dialog cu Procurorul General”, </w:t>
      </w:r>
      <w:r w:rsidRPr="001862D3">
        <w:rPr>
          <w:rFonts w:asciiTheme="minorHAnsi" w:eastAsia="Calibri" w:hAnsiTheme="minorHAnsi" w:cstheme="minorHAnsi"/>
          <w:color w:val="000000" w:themeColor="text1"/>
          <w:sz w:val="26"/>
          <w:szCs w:val="26"/>
        </w:rPr>
        <w:t>care a oferit auditorilor de justiție oportunitatea unui dialog deschis, cu privire la teme de actualitate, cu domnul procuror Alex Florin Florența, Procuror General al Parchetului de pe lângă Înalta Curte de Casație și Justiție.</w:t>
      </w:r>
    </w:p>
    <w:p w14:paraId="30EC0B02" w14:textId="39E465F5" w:rsidR="00021845" w:rsidRDefault="00021845" w:rsidP="009E3AD8">
      <w:pPr>
        <w:spacing w:line="276" w:lineRule="auto"/>
        <w:ind w:firstLine="720"/>
        <w:contextualSpacing/>
        <w:jc w:val="both"/>
        <w:rPr>
          <w:rFonts w:asciiTheme="minorHAnsi" w:eastAsia="Calibri" w:hAnsiTheme="minorHAnsi" w:cstheme="minorHAnsi"/>
          <w:color w:val="000000" w:themeColor="text1"/>
          <w:sz w:val="26"/>
          <w:szCs w:val="26"/>
        </w:rPr>
      </w:pPr>
      <w:r w:rsidRPr="001862D3">
        <w:rPr>
          <w:rFonts w:asciiTheme="minorHAnsi" w:eastAsia="Calibri" w:hAnsiTheme="minorHAnsi" w:cstheme="minorHAnsi"/>
          <w:color w:val="000000" w:themeColor="text1"/>
          <w:sz w:val="26"/>
          <w:szCs w:val="26"/>
        </w:rPr>
        <w:t xml:space="preserve">În intervalul ianuarie – aprilie 2025 s-au derulat activități de tip </w:t>
      </w:r>
      <w:r w:rsidRPr="003A1C2B">
        <w:rPr>
          <w:rFonts w:asciiTheme="minorHAnsi" w:eastAsia="Calibri" w:hAnsiTheme="minorHAnsi" w:cstheme="minorHAnsi"/>
          <w:color w:val="000000" w:themeColor="text1"/>
          <w:sz w:val="26"/>
          <w:szCs w:val="26"/>
        </w:rPr>
        <w:t>atelier,</w:t>
      </w:r>
      <w:r w:rsidRPr="001862D3">
        <w:rPr>
          <w:rFonts w:asciiTheme="minorHAnsi" w:eastAsia="Calibri" w:hAnsiTheme="minorHAnsi" w:cstheme="minorHAnsi"/>
          <w:color w:val="000000" w:themeColor="text1"/>
          <w:sz w:val="26"/>
          <w:szCs w:val="26"/>
        </w:rPr>
        <w:t xml:space="preserve"> cu tema </w:t>
      </w:r>
      <w:r w:rsidRPr="003A1C2B">
        <w:rPr>
          <w:rFonts w:asciiTheme="minorHAnsi" w:eastAsia="Calibri" w:hAnsiTheme="minorHAnsi" w:cstheme="minorHAnsi"/>
          <w:color w:val="000000" w:themeColor="text1"/>
          <w:sz w:val="26"/>
          <w:szCs w:val="26"/>
        </w:rPr>
        <w:t>„Comunicare și tranzacții de statut”,</w:t>
      </w:r>
      <w:r w:rsidRPr="001862D3">
        <w:rPr>
          <w:rFonts w:asciiTheme="minorHAnsi" w:eastAsia="Calibri" w:hAnsiTheme="minorHAnsi" w:cstheme="minorHAnsi"/>
          <w:color w:val="000000" w:themeColor="text1"/>
          <w:sz w:val="26"/>
          <w:szCs w:val="26"/>
        </w:rPr>
        <w:t xml:space="preserve"> susținute de domnul Bogdan Durlicioiu</w:t>
      </w:r>
      <w:r w:rsidR="001A5F39">
        <w:rPr>
          <w:rFonts w:asciiTheme="minorHAnsi" w:eastAsia="Calibri" w:hAnsiTheme="minorHAnsi" w:cstheme="minorHAnsi"/>
          <w:color w:val="000000" w:themeColor="text1"/>
          <w:sz w:val="26"/>
          <w:szCs w:val="26"/>
        </w:rPr>
        <w:t>, actor</w:t>
      </w:r>
      <w:r w:rsidRPr="001862D3">
        <w:rPr>
          <w:rFonts w:asciiTheme="minorHAnsi" w:eastAsia="Calibri" w:hAnsiTheme="minorHAnsi" w:cstheme="minorHAnsi"/>
          <w:color w:val="000000" w:themeColor="text1"/>
          <w:sz w:val="26"/>
          <w:szCs w:val="26"/>
        </w:rPr>
        <w:t xml:space="preserve">. În cadrul </w:t>
      </w:r>
      <w:r w:rsidRPr="001862D3">
        <w:rPr>
          <w:rFonts w:asciiTheme="minorHAnsi" w:eastAsia="Calibri" w:hAnsiTheme="minorHAnsi" w:cstheme="minorHAnsi"/>
          <w:color w:val="000000" w:themeColor="text1"/>
          <w:sz w:val="26"/>
          <w:szCs w:val="26"/>
        </w:rPr>
        <w:lastRenderedPageBreak/>
        <w:t>acestora, auditorii de justiție au avut ocazia de a explora noțiuni de art</w:t>
      </w:r>
      <w:r w:rsidR="003A1C2B">
        <w:rPr>
          <w:rFonts w:asciiTheme="minorHAnsi" w:eastAsia="Calibri" w:hAnsiTheme="minorHAnsi" w:cstheme="minorHAnsi"/>
          <w:color w:val="000000" w:themeColor="text1"/>
          <w:sz w:val="26"/>
          <w:szCs w:val="26"/>
        </w:rPr>
        <w:t>a</w:t>
      </w:r>
      <w:r w:rsidRPr="001862D3">
        <w:rPr>
          <w:rFonts w:asciiTheme="minorHAnsi" w:eastAsia="Calibri" w:hAnsiTheme="minorHAnsi" w:cstheme="minorHAnsi"/>
          <w:color w:val="000000" w:themeColor="text1"/>
          <w:sz w:val="26"/>
          <w:szCs w:val="26"/>
        </w:rPr>
        <w:t xml:space="preserve"> retoricii și art</w:t>
      </w:r>
      <w:r w:rsidR="003A1C2B">
        <w:rPr>
          <w:rFonts w:asciiTheme="minorHAnsi" w:eastAsia="Calibri" w:hAnsiTheme="minorHAnsi" w:cstheme="minorHAnsi"/>
          <w:color w:val="000000" w:themeColor="text1"/>
          <w:sz w:val="26"/>
          <w:szCs w:val="26"/>
        </w:rPr>
        <w:t>a</w:t>
      </w:r>
      <w:r w:rsidRPr="001862D3">
        <w:rPr>
          <w:rFonts w:asciiTheme="minorHAnsi" w:eastAsia="Calibri" w:hAnsiTheme="minorHAnsi" w:cstheme="minorHAnsi"/>
          <w:color w:val="000000" w:themeColor="text1"/>
          <w:sz w:val="26"/>
          <w:szCs w:val="26"/>
        </w:rPr>
        <w:t xml:space="preserve"> improvizației teatrale, scopul atelierelor fiind de a stimula empatia, de a îmbunătăți dicția și claritatea exprimării și de a dezvolta flexibilitatea mentală și capacitatea de adaptare.</w:t>
      </w:r>
    </w:p>
    <w:p w14:paraId="4544CF36" w14:textId="45BFFF80" w:rsidR="00734B8A" w:rsidRPr="006E7638" w:rsidRDefault="00734B8A" w:rsidP="00734B8A">
      <w:pPr>
        <w:spacing w:line="276" w:lineRule="auto"/>
        <w:ind w:firstLine="720"/>
        <w:contextualSpacing/>
        <w:jc w:val="both"/>
        <w:rPr>
          <w:rFonts w:asciiTheme="minorHAnsi" w:eastAsia="Calibri" w:hAnsiTheme="minorHAnsi" w:cstheme="minorHAnsi"/>
          <w:sz w:val="26"/>
          <w:szCs w:val="26"/>
        </w:rPr>
      </w:pPr>
      <w:r w:rsidRPr="006E7638">
        <w:rPr>
          <w:rFonts w:asciiTheme="minorHAnsi" w:eastAsia="Calibri" w:hAnsiTheme="minorHAnsi" w:cstheme="minorHAnsi"/>
          <w:sz w:val="26"/>
          <w:szCs w:val="26"/>
        </w:rPr>
        <w:t xml:space="preserve">La data de </w:t>
      </w:r>
      <w:r w:rsidR="006E7638" w:rsidRPr="006E7638">
        <w:rPr>
          <w:rFonts w:asciiTheme="minorHAnsi" w:eastAsia="Calibri" w:hAnsiTheme="minorHAnsi" w:cstheme="minorHAnsi"/>
          <w:sz w:val="26"/>
          <w:szCs w:val="26"/>
        </w:rPr>
        <w:t>0</w:t>
      </w:r>
      <w:r w:rsidRPr="006E7638">
        <w:rPr>
          <w:rFonts w:asciiTheme="minorHAnsi" w:eastAsia="Calibri" w:hAnsiTheme="minorHAnsi" w:cstheme="minorHAnsi"/>
          <w:sz w:val="26"/>
          <w:szCs w:val="26"/>
        </w:rPr>
        <w:t>8 mai 2025, a avut loc, la Facultatea de Drept a Universității București, festivitatea de deschidere a anului de formare inițială din cadrul I</w:t>
      </w:r>
      <w:r w:rsidR="00233D70" w:rsidRPr="006E7638">
        <w:rPr>
          <w:rFonts w:asciiTheme="minorHAnsi" w:eastAsia="Calibri" w:hAnsiTheme="minorHAnsi" w:cstheme="minorHAnsi"/>
          <w:sz w:val="26"/>
          <w:szCs w:val="26"/>
        </w:rPr>
        <w:t>.</w:t>
      </w:r>
      <w:r w:rsidRPr="006E7638">
        <w:rPr>
          <w:rFonts w:asciiTheme="minorHAnsi" w:eastAsia="Calibri" w:hAnsiTheme="minorHAnsi" w:cstheme="minorHAnsi"/>
          <w:sz w:val="26"/>
          <w:szCs w:val="26"/>
        </w:rPr>
        <w:t>N</w:t>
      </w:r>
      <w:r w:rsidR="00233D70" w:rsidRPr="006E7638">
        <w:rPr>
          <w:rFonts w:asciiTheme="minorHAnsi" w:eastAsia="Calibri" w:hAnsiTheme="minorHAnsi" w:cstheme="minorHAnsi"/>
          <w:sz w:val="26"/>
          <w:szCs w:val="26"/>
        </w:rPr>
        <w:t>.</w:t>
      </w:r>
      <w:r w:rsidRPr="006E7638">
        <w:rPr>
          <w:rFonts w:asciiTheme="minorHAnsi" w:eastAsia="Calibri" w:hAnsiTheme="minorHAnsi" w:cstheme="minorHAnsi"/>
          <w:sz w:val="26"/>
          <w:szCs w:val="26"/>
        </w:rPr>
        <w:t>M</w:t>
      </w:r>
      <w:r w:rsidR="00233D70" w:rsidRPr="006E7638">
        <w:rPr>
          <w:rFonts w:asciiTheme="minorHAnsi" w:eastAsia="Calibri" w:hAnsiTheme="minorHAnsi" w:cstheme="minorHAnsi"/>
          <w:sz w:val="26"/>
          <w:szCs w:val="26"/>
        </w:rPr>
        <w:t>.</w:t>
      </w:r>
      <w:r w:rsidRPr="006E7638">
        <w:rPr>
          <w:rFonts w:asciiTheme="minorHAnsi" w:eastAsia="Calibri" w:hAnsiTheme="minorHAnsi" w:cstheme="minorHAnsi"/>
          <w:sz w:val="26"/>
          <w:szCs w:val="26"/>
        </w:rPr>
        <w:t xml:space="preserve">, la care au participat 250 de auditori de justiție, promoția 2025 – 2027. </w:t>
      </w:r>
    </w:p>
    <w:p w14:paraId="6A6F1CA6" w14:textId="2E7EC5AF" w:rsidR="00021845" w:rsidRPr="001862D3" w:rsidRDefault="00021845" w:rsidP="009E3AD8">
      <w:pPr>
        <w:spacing w:line="276" w:lineRule="auto"/>
        <w:ind w:firstLine="720"/>
        <w:jc w:val="both"/>
        <w:rPr>
          <w:rFonts w:asciiTheme="minorHAnsi" w:eastAsia="Calibri" w:hAnsiTheme="minorHAnsi" w:cstheme="minorHAnsi"/>
          <w:i/>
          <w:iCs/>
          <w:color w:val="000000" w:themeColor="text1"/>
          <w:sz w:val="26"/>
          <w:szCs w:val="26"/>
        </w:rPr>
      </w:pPr>
      <w:r w:rsidRPr="001862D3">
        <w:rPr>
          <w:rFonts w:asciiTheme="minorHAnsi" w:eastAsia="Calibri" w:hAnsiTheme="minorHAnsi" w:cstheme="minorHAnsi"/>
          <w:color w:val="000000" w:themeColor="text1"/>
          <w:sz w:val="26"/>
          <w:szCs w:val="26"/>
        </w:rPr>
        <w:t>La data 28 mai 2025, 20 auditori de justiție au participat la</w:t>
      </w:r>
      <w:r w:rsidRPr="001862D3">
        <w:rPr>
          <w:rFonts w:asciiTheme="minorHAnsi" w:eastAsia="Calibri" w:hAnsiTheme="minorHAnsi" w:cstheme="minorHAnsi"/>
          <w:i/>
          <w:iCs/>
          <w:color w:val="000000" w:themeColor="text1"/>
          <w:sz w:val="26"/>
          <w:szCs w:val="26"/>
        </w:rPr>
        <w:t xml:space="preserve"> </w:t>
      </w:r>
      <w:r w:rsidRPr="001862D3">
        <w:rPr>
          <w:rFonts w:asciiTheme="minorHAnsi" w:eastAsia="Calibri" w:hAnsiTheme="minorHAnsi" w:cstheme="minorHAnsi"/>
          <w:color w:val="000000" w:themeColor="text1"/>
          <w:sz w:val="26"/>
          <w:szCs w:val="26"/>
        </w:rPr>
        <w:t xml:space="preserve">conferința </w:t>
      </w:r>
      <w:r w:rsidRPr="003A1C2B">
        <w:rPr>
          <w:rFonts w:asciiTheme="minorHAnsi" w:eastAsia="Calibri" w:hAnsiTheme="minorHAnsi" w:cstheme="minorHAnsi"/>
          <w:color w:val="000000" w:themeColor="text1"/>
          <w:sz w:val="26"/>
          <w:szCs w:val="26"/>
        </w:rPr>
        <w:t xml:space="preserve">„Protecția consumatorilor: cum alegem între soluționarea alternativă a litigiilor și procedurile judiciare? Provocări și realități”, </w:t>
      </w:r>
      <w:r w:rsidRPr="001862D3">
        <w:rPr>
          <w:rFonts w:asciiTheme="minorHAnsi" w:eastAsia="Calibri" w:hAnsiTheme="minorHAnsi" w:cstheme="minorHAnsi"/>
          <w:color w:val="000000" w:themeColor="text1"/>
          <w:sz w:val="26"/>
          <w:szCs w:val="26"/>
        </w:rPr>
        <w:t xml:space="preserve">organizată în cadrul Programului de formare continuă a judecătorilor și procurorilor. </w:t>
      </w:r>
    </w:p>
    <w:p w14:paraId="43AAECBD" w14:textId="2255DE3B" w:rsidR="00021845" w:rsidRPr="001862D3" w:rsidRDefault="00021845" w:rsidP="009E3AD8">
      <w:pPr>
        <w:spacing w:after="160" w:line="276" w:lineRule="auto"/>
        <w:ind w:firstLine="720"/>
        <w:contextualSpacing/>
        <w:jc w:val="both"/>
        <w:rPr>
          <w:rFonts w:asciiTheme="minorHAnsi" w:eastAsia="Calibri" w:hAnsiTheme="minorHAnsi" w:cstheme="minorHAnsi"/>
          <w:i/>
          <w:iCs/>
          <w:color w:val="000000" w:themeColor="text1"/>
          <w:sz w:val="26"/>
          <w:szCs w:val="26"/>
        </w:rPr>
      </w:pPr>
      <w:r w:rsidRPr="001862D3">
        <w:rPr>
          <w:rFonts w:asciiTheme="minorHAnsi" w:eastAsia="Calibri" w:hAnsiTheme="minorHAnsi" w:cstheme="minorHAnsi"/>
          <w:color w:val="000000" w:themeColor="text1"/>
          <w:sz w:val="26"/>
          <w:szCs w:val="26"/>
        </w:rPr>
        <w:t>La data de 29 mai 2025 a avut loc, la sediul I</w:t>
      </w:r>
      <w:r w:rsidR="00A97D25">
        <w:rPr>
          <w:rFonts w:asciiTheme="minorHAnsi" w:eastAsia="Calibri" w:hAnsiTheme="minorHAnsi" w:cstheme="minorHAnsi"/>
          <w:color w:val="000000" w:themeColor="text1"/>
          <w:sz w:val="26"/>
          <w:szCs w:val="26"/>
        </w:rPr>
        <w:t>.</w:t>
      </w:r>
      <w:r w:rsidRPr="001862D3">
        <w:rPr>
          <w:rFonts w:asciiTheme="minorHAnsi" w:eastAsia="Calibri" w:hAnsiTheme="minorHAnsi" w:cstheme="minorHAnsi"/>
          <w:color w:val="000000" w:themeColor="text1"/>
          <w:sz w:val="26"/>
          <w:szCs w:val="26"/>
        </w:rPr>
        <w:t>N</w:t>
      </w:r>
      <w:r w:rsidR="00A97D25">
        <w:rPr>
          <w:rFonts w:asciiTheme="minorHAnsi" w:eastAsia="Calibri" w:hAnsiTheme="minorHAnsi" w:cstheme="minorHAnsi"/>
          <w:color w:val="000000" w:themeColor="text1"/>
          <w:sz w:val="26"/>
          <w:szCs w:val="26"/>
        </w:rPr>
        <w:t>.</w:t>
      </w:r>
      <w:r w:rsidRPr="001862D3">
        <w:rPr>
          <w:rFonts w:asciiTheme="minorHAnsi" w:eastAsia="Calibri" w:hAnsiTheme="minorHAnsi" w:cstheme="minorHAnsi"/>
          <w:color w:val="000000" w:themeColor="text1"/>
          <w:sz w:val="26"/>
          <w:szCs w:val="26"/>
        </w:rPr>
        <w:t>M</w:t>
      </w:r>
      <w:r w:rsidR="00A97D25">
        <w:rPr>
          <w:rFonts w:asciiTheme="minorHAnsi" w:eastAsia="Calibri" w:hAnsiTheme="minorHAnsi" w:cstheme="minorHAnsi"/>
          <w:color w:val="000000" w:themeColor="text1"/>
          <w:sz w:val="26"/>
          <w:szCs w:val="26"/>
        </w:rPr>
        <w:t>.</w:t>
      </w:r>
      <w:r w:rsidRPr="001862D3">
        <w:rPr>
          <w:rFonts w:asciiTheme="minorHAnsi" w:eastAsia="Calibri" w:hAnsiTheme="minorHAnsi" w:cstheme="minorHAnsi"/>
          <w:color w:val="000000" w:themeColor="text1"/>
          <w:sz w:val="26"/>
          <w:szCs w:val="26"/>
        </w:rPr>
        <w:t xml:space="preserve">, conferința </w:t>
      </w:r>
      <w:r w:rsidRPr="003A1C2B">
        <w:rPr>
          <w:rFonts w:asciiTheme="minorHAnsi" w:eastAsia="Calibri" w:hAnsiTheme="minorHAnsi" w:cstheme="minorHAnsi"/>
          <w:color w:val="000000" w:themeColor="text1"/>
          <w:sz w:val="26"/>
          <w:szCs w:val="26"/>
        </w:rPr>
        <w:t xml:space="preserve">„De la prejudecată la protecție: fenomenul violenței domestice și de gen în perspectivă multidisciplinară – Poliție, servicii sociale și societate civilă”. </w:t>
      </w:r>
      <w:r w:rsidRPr="001862D3">
        <w:rPr>
          <w:rFonts w:asciiTheme="minorHAnsi" w:eastAsia="Calibri" w:hAnsiTheme="minorHAnsi" w:cstheme="minorHAnsi"/>
          <w:color w:val="000000" w:themeColor="text1"/>
          <w:sz w:val="26"/>
          <w:szCs w:val="26"/>
        </w:rPr>
        <w:t>Activitatea a fost organizată de Asociația ANAIS, în cadrul căreia o grupă de auditori de justiție î</w:t>
      </w:r>
      <w:r w:rsidR="00791F0A">
        <w:rPr>
          <w:rFonts w:asciiTheme="minorHAnsi" w:eastAsia="Calibri" w:hAnsiTheme="minorHAnsi" w:cstheme="minorHAnsi"/>
          <w:color w:val="000000" w:themeColor="text1"/>
          <w:sz w:val="26"/>
          <w:szCs w:val="26"/>
        </w:rPr>
        <w:t>ş</w:t>
      </w:r>
      <w:r w:rsidRPr="001862D3">
        <w:rPr>
          <w:rFonts w:asciiTheme="minorHAnsi" w:eastAsia="Calibri" w:hAnsiTheme="minorHAnsi" w:cstheme="minorHAnsi"/>
          <w:color w:val="000000" w:themeColor="text1"/>
          <w:sz w:val="26"/>
          <w:szCs w:val="26"/>
        </w:rPr>
        <w:t>i desfășoară activitatea de voluntariat, împreună cu Institutul Național al Magistraturii</w:t>
      </w:r>
      <w:r w:rsidR="00791F0A">
        <w:rPr>
          <w:rFonts w:asciiTheme="minorHAnsi" w:eastAsia="Calibri" w:hAnsiTheme="minorHAnsi" w:cstheme="minorHAnsi"/>
          <w:color w:val="000000" w:themeColor="text1"/>
          <w:sz w:val="26"/>
          <w:szCs w:val="26"/>
        </w:rPr>
        <w:t>,</w:t>
      </w:r>
      <w:r w:rsidRPr="001862D3">
        <w:rPr>
          <w:rFonts w:asciiTheme="minorHAnsi" w:eastAsia="Calibri" w:hAnsiTheme="minorHAnsi" w:cstheme="minorHAnsi"/>
          <w:color w:val="000000" w:themeColor="text1"/>
          <w:sz w:val="26"/>
          <w:szCs w:val="26"/>
        </w:rPr>
        <w:t xml:space="preserve"> și a reprezentat o inițiativă în sensul asigurării accesului şi altor colegi la informații de interes în domeniul în care activează Asociația ANAIS. Evenimentul a oferit auditorilor de justiție un cadru de dialog interdisciplinar asupra provocărilor actuale și soluțiilor concrete în combaterea violenței domestice și de gen, reunind specialiști din domeniul juridic, al serviciilor sociale, al aplicării legii și al societății civile. </w:t>
      </w:r>
    </w:p>
    <w:p w14:paraId="6CB22756" w14:textId="77777777" w:rsidR="00E77C84" w:rsidRPr="006E7638" w:rsidRDefault="00021845" w:rsidP="00E77C84">
      <w:pPr>
        <w:spacing w:after="160" w:line="276" w:lineRule="auto"/>
        <w:ind w:firstLine="720"/>
        <w:contextualSpacing/>
        <w:jc w:val="both"/>
        <w:rPr>
          <w:rFonts w:asciiTheme="minorHAnsi" w:eastAsia="Calibri" w:hAnsiTheme="minorHAnsi" w:cstheme="minorHAnsi"/>
          <w:sz w:val="26"/>
          <w:szCs w:val="26"/>
        </w:rPr>
      </w:pPr>
      <w:r w:rsidRPr="00791F0A">
        <w:rPr>
          <w:rFonts w:asciiTheme="minorHAnsi" w:eastAsia="Calibri" w:hAnsiTheme="minorHAnsi" w:cstheme="minorHAnsi"/>
          <w:color w:val="000000" w:themeColor="text1"/>
          <w:sz w:val="26"/>
          <w:szCs w:val="26"/>
        </w:rPr>
        <w:t xml:space="preserve">La datele de </w:t>
      </w:r>
      <w:r w:rsidRPr="00791F0A">
        <w:rPr>
          <w:rFonts w:asciiTheme="minorHAnsi" w:eastAsiaTheme="minorHAnsi" w:hAnsiTheme="minorHAnsi" w:cstheme="minorHAnsi"/>
          <w:color w:val="000000" w:themeColor="text1"/>
          <w:sz w:val="26"/>
          <w:szCs w:val="26"/>
        </w:rPr>
        <w:t xml:space="preserve">18 </w:t>
      </w:r>
      <w:r w:rsidR="00791F0A">
        <w:rPr>
          <w:rFonts w:asciiTheme="minorHAnsi" w:eastAsiaTheme="minorHAnsi" w:hAnsiTheme="minorHAnsi" w:cstheme="minorHAnsi"/>
          <w:color w:val="000000" w:themeColor="text1"/>
          <w:sz w:val="26"/>
          <w:szCs w:val="26"/>
        </w:rPr>
        <w:t xml:space="preserve">iunie </w:t>
      </w:r>
      <w:r w:rsidRPr="00791F0A">
        <w:rPr>
          <w:rFonts w:asciiTheme="minorHAnsi" w:eastAsiaTheme="minorHAnsi" w:hAnsiTheme="minorHAnsi" w:cstheme="minorHAnsi"/>
          <w:color w:val="000000" w:themeColor="text1"/>
          <w:sz w:val="26"/>
          <w:szCs w:val="26"/>
        </w:rPr>
        <w:t>și 26 iunie 2025</w:t>
      </w:r>
      <w:r w:rsidRPr="00791F0A">
        <w:rPr>
          <w:rFonts w:asciiTheme="minorHAnsi" w:eastAsia="Calibri" w:hAnsiTheme="minorHAnsi" w:cstheme="minorHAnsi"/>
          <w:color w:val="000000" w:themeColor="text1"/>
          <w:sz w:val="26"/>
          <w:szCs w:val="26"/>
        </w:rPr>
        <w:t xml:space="preserve">, </w:t>
      </w:r>
      <w:r w:rsidRPr="00791F0A">
        <w:rPr>
          <w:rFonts w:asciiTheme="minorHAnsi" w:eastAsiaTheme="minorHAnsi" w:hAnsiTheme="minorHAnsi" w:cstheme="minorHAnsi"/>
          <w:color w:val="000000" w:themeColor="text1"/>
          <w:sz w:val="26"/>
          <w:szCs w:val="26"/>
        </w:rPr>
        <w:t xml:space="preserve">24 auditori de justiție au participat la ateliere cu tema „Gestionarea stresului și echilibrului emoțional”, organizate de Compartimentul de psihologia muncii </w:t>
      </w:r>
      <w:r w:rsidRPr="006E7638">
        <w:rPr>
          <w:rFonts w:asciiTheme="minorHAnsi" w:eastAsiaTheme="minorHAnsi" w:hAnsiTheme="minorHAnsi" w:cstheme="minorHAnsi"/>
          <w:sz w:val="26"/>
          <w:szCs w:val="26"/>
        </w:rPr>
        <w:t>din cadrul I</w:t>
      </w:r>
      <w:r w:rsidR="00A97D25" w:rsidRPr="006E7638">
        <w:rPr>
          <w:rFonts w:asciiTheme="minorHAnsi" w:eastAsiaTheme="minorHAnsi" w:hAnsiTheme="minorHAnsi" w:cstheme="minorHAnsi"/>
          <w:sz w:val="26"/>
          <w:szCs w:val="26"/>
        </w:rPr>
        <w:t>.</w:t>
      </w:r>
      <w:r w:rsidRPr="006E7638">
        <w:rPr>
          <w:rFonts w:asciiTheme="minorHAnsi" w:eastAsiaTheme="minorHAnsi" w:hAnsiTheme="minorHAnsi" w:cstheme="minorHAnsi"/>
          <w:sz w:val="26"/>
          <w:szCs w:val="26"/>
        </w:rPr>
        <w:t>N</w:t>
      </w:r>
      <w:r w:rsidR="00A97D25" w:rsidRPr="006E7638">
        <w:rPr>
          <w:rFonts w:asciiTheme="minorHAnsi" w:eastAsiaTheme="minorHAnsi" w:hAnsiTheme="minorHAnsi" w:cstheme="minorHAnsi"/>
          <w:sz w:val="26"/>
          <w:szCs w:val="26"/>
        </w:rPr>
        <w:t>.</w:t>
      </w:r>
      <w:r w:rsidRPr="006E7638">
        <w:rPr>
          <w:rFonts w:asciiTheme="minorHAnsi" w:eastAsiaTheme="minorHAnsi" w:hAnsiTheme="minorHAnsi" w:cstheme="minorHAnsi"/>
          <w:sz w:val="26"/>
          <w:szCs w:val="26"/>
        </w:rPr>
        <w:t>M</w:t>
      </w:r>
      <w:r w:rsidR="00A97D25" w:rsidRPr="006E7638">
        <w:rPr>
          <w:rFonts w:asciiTheme="minorHAnsi" w:eastAsiaTheme="minorHAnsi" w:hAnsiTheme="minorHAnsi" w:cstheme="minorHAnsi"/>
          <w:sz w:val="26"/>
          <w:szCs w:val="26"/>
        </w:rPr>
        <w:t>.</w:t>
      </w:r>
      <w:r w:rsidR="00E77C84" w:rsidRPr="006E7638">
        <w:rPr>
          <w:rFonts w:asciiTheme="minorHAnsi" w:eastAsiaTheme="minorHAnsi" w:hAnsiTheme="minorHAnsi" w:cstheme="minorHAnsi"/>
          <w:sz w:val="26"/>
          <w:szCs w:val="26"/>
        </w:rPr>
        <w:t xml:space="preserve"> Ateliere similare sunt organizate periodic, cu titlu obligatoriu, și pentru auditorii de justiție din anul I ai promoției 2025 – 2027, fiind incluse în programul de formare inițială aprobat.</w:t>
      </w:r>
    </w:p>
    <w:p w14:paraId="79BBF74D" w14:textId="10CE1A35" w:rsidR="00021845" w:rsidRPr="001862D3" w:rsidRDefault="00021845" w:rsidP="009E3AD8">
      <w:pPr>
        <w:spacing w:after="160" w:line="276" w:lineRule="auto"/>
        <w:ind w:firstLine="720"/>
        <w:contextualSpacing/>
        <w:jc w:val="both"/>
        <w:rPr>
          <w:rFonts w:asciiTheme="minorHAnsi" w:eastAsia="Calibri" w:hAnsiTheme="minorHAnsi" w:cstheme="minorHAnsi"/>
          <w:color w:val="000000" w:themeColor="text1"/>
          <w:sz w:val="26"/>
          <w:szCs w:val="26"/>
        </w:rPr>
      </w:pPr>
      <w:r w:rsidRPr="001862D3">
        <w:rPr>
          <w:rFonts w:asciiTheme="minorHAnsi" w:eastAsiaTheme="minorHAnsi" w:hAnsiTheme="minorHAnsi" w:cstheme="minorHAnsi"/>
          <w:color w:val="000000" w:themeColor="text1"/>
          <w:sz w:val="26"/>
          <w:szCs w:val="26"/>
        </w:rPr>
        <w:t xml:space="preserve">În perioada 30 iunie – </w:t>
      </w:r>
      <w:r w:rsidR="00A97D25">
        <w:rPr>
          <w:rFonts w:asciiTheme="minorHAnsi" w:eastAsiaTheme="minorHAnsi" w:hAnsiTheme="minorHAnsi" w:cstheme="minorHAnsi"/>
          <w:color w:val="000000" w:themeColor="text1"/>
          <w:sz w:val="26"/>
          <w:szCs w:val="26"/>
        </w:rPr>
        <w:t>0</w:t>
      </w:r>
      <w:r w:rsidRPr="001862D3">
        <w:rPr>
          <w:rFonts w:asciiTheme="minorHAnsi" w:eastAsiaTheme="minorHAnsi" w:hAnsiTheme="minorHAnsi" w:cstheme="minorHAnsi"/>
          <w:color w:val="000000" w:themeColor="text1"/>
          <w:sz w:val="26"/>
          <w:szCs w:val="26"/>
        </w:rPr>
        <w:t>4 iulie 2025, 11 auditori de justiție au participat la Școala de vară a I</w:t>
      </w:r>
      <w:r w:rsidR="00E62F82">
        <w:rPr>
          <w:rFonts w:asciiTheme="minorHAnsi" w:eastAsiaTheme="minorHAnsi" w:hAnsiTheme="minorHAnsi" w:cstheme="minorHAnsi"/>
          <w:color w:val="000000" w:themeColor="text1"/>
          <w:sz w:val="26"/>
          <w:szCs w:val="26"/>
        </w:rPr>
        <w:t>.</w:t>
      </w:r>
      <w:r w:rsidRPr="001862D3">
        <w:rPr>
          <w:rFonts w:asciiTheme="minorHAnsi" w:eastAsiaTheme="minorHAnsi" w:hAnsiTheme="minorHAnsi" w:cstheme="minorHAnsi"/>
          <w:color w:val="000000" w:themeColor="text1"/>
          <w:sz w:val="26"/>
          <w:szCs w:val="26"/>
        </w:rPr>
        <w:t>N</w:t>
      </w:r>
      <w:r w:rsidR="00E62F82">
        <w:rPr>
          <w:rFonts w:asciiTheme="minorHAnsi" w:eastAsiaTheme="minorHAnsi" w:hAnsiTheme="minorHAnsi" w:cstheme="minorHAnsi"/>
          <w:color w:val="000000" w:themeColor="text1"/>
          <w:sz w:val="26"/>
          <w:szCs w:val="26"/>
        </w:rPr>
        <w:t>.</w:t>
      </w:r>
      <w:r w:rsidRPr="001862D3">
        <w:rPr>
          <w:rFonts w:asciiTheme="minorHAnsi" w:eastAsiaTheme="minorHAnsi" w:hAnsiTheme="minorHAnsi" w:cstheme="minorHAnsi"/>
          <w:color w:val="000000" w:themeColor="text1"/>
          <w:sz w:val="26"/>
          <w:szCs w:val="26"/>
        </w:rPr>
        <w:t>M</w:t>
      </w:r>
      <w:r w:rsidR="00E62F82">
        <w:rPr>
          <w:rFonts w:asciiTheme="minorHAnsi" w:eastAsiaTheme="minorHAnsi" w:hAnsiTheme="minorHAnsi" w:cstheme="minorHAnsi"/>
          <w:color w:val="000000" w:themeColor="text1"/>
          <w:sz w:val="26"/>
          <w:szCs w:val="26"/>
        </w:rPr>
        <w:t>.</w:t>
      </w:r>
      <w:r w:rsidRPr="001862D3">
        <w:rPr>
          <w:rFonts w:asciiTheme="minorHAnsi" w:eastAsiaTheme="minorHAnsi" w:hAnsiTheme="minorHAnsi" w:cstheme="minorHAnsi"/>
          <w:color w:val="000000" w:themeColor="text1"/>
          <w:sz w:val="26"/>
          <w:szCs w:val="26"/>
        </w:rPr>
        <w:t xml:space="preserve">, cu tema </w:t>
      </w:r>
      <w:r w:rsidRPr="00791F0A">
        <w:rPr>
          <w:rFonts w:asciiTheme="minorHAnsi" w:eastAsiaTheme="minorHAnsi" w:hAnsiTheme="minorHAnsi" w:cstheme="minorHAnsi"/>
          <w:color w:val="000000" w:themeColor="text1"/>
          <w:sz w:val="26"/>
          <w:szCs w:val="26"/>
        </w:rPr>
        <w:t xml:space="preserve">Comunicare și Leadership, </w:t>
      </w:r>
      <w:r w:rsidRPr="001862D3">
        <w:rPr>
          <w:rFonts w:asciiTheme="minorHAnsi" w:eastAsiaTheme="minorHAnsi" w:hAnsiTheme="minorHAnsi" w:cstheme="minorHAnsi"/>
          <w:color w:val="000000" w:themeColor="text1"/>
          <w:sz w:val="26"/>
          <w:szCs w:val="26"/>
        </w:rPr>
        <w:t>organizată la Sinaia, activitatea fiind inclusă în Programul de formare continuă a judecătorilor și procurorilor.</w:t>
      </w:r>
    </w:p>
    <w:p w14:paraId="3B0B342B" w14:textId="444C9301" w:rsidR="00021845" w:rsidRPr="001862D3" w:rsidRDefault="00021845" w:rsidP="009E3AD8">
      <w:pPr>
        <w:spacing w:after="160" w:line="276" w:lineRule="auto"/>
        <w:ind w:firstLine="720"/>
        <w:contextualSpacing/>
        <w:jc w:val="both"/>
        <w:rPr>
          <w:rFonts w:asciiTheme="minorHAnsi" w:eastAsia="Calibri" w:hAnsiTheme="minorHAnsi" w:cstheme="minorHAnsi"/>
          <w:color w:val="000000" w:themeColor="text1"/>
          <w:sz w:val="26"/>
          <w:szCs w:val="26"/>
        </w:rPr>
      </w:pPr>
      <w:r w:rsidRPr="001862D3">
        <w:rPr>
          <w:rFonts w:asciiTheme="minorHAnsi" w:eastAsiaTheme="minorHAnsi" w:hAnsiTheme="minorHAnsi" w:cstheme="minorHAnsi"/>
          <w:color w:val="000000" w:themeColor="text1"/>
          <w:sz w:val="26"/>
          <w:szCs w:val="26"/>
        </w:rPr>
        <w:t xml:space="preserve">La data de </w:t>
      </w:r>
      <w:r w:rsidR="00E62F82">
        <w:rPr>
          <w:rFonts w:asciiTheme="minorHAnsi" w:eastAsiaTheme="minorHAnsi" w:hAnsiTheme="minorHAnsi" w:cstheme="minorHAnsi"/>
          <w:color w:val="000000" w:themeColor="text1"/>
          <w:sz w:val="26"/>
          <w:szCs w:val="26"/>
        </w:rPr>
        <w:t>0</w:t>
      </w:r>
      <w:r w:rsidRPr="001862D3">
        <w:rPr>
          <w:rFonts w:asciiTheme="minorHAnsi" w:eastAsiaTheme="minorHAnsi" w:hAnsiTheme="minorHAnsi" w:cstheme="minorHAnsi"/>
          <w:color w:val="000000" w:themeColor="text1"/>
          <w:sz w:val="26"/>
          <w:szCs w:val="26"/>
        </w:rPr>
        <w:t>3 iulie 2025, 28 de auditori de justiție au participat la evenimentul intitulat „Ziua porților deschise” dedicat Zilei Justiției, organizat de Consiliul Superior al Magistraturii. Acest eveniment a constituit un bun prilej pentru înțelegerea, de către auditorii de justiție, a modului în care C</w:t>
      </w:r>
      <w:r w:rsidR="00E62F82">
        <w:rPr>
          <w:rFonts w:asciiTheme="minorHAnsi" w:eastAsiaTheme="minorHAnsi" w:hAnsiTheme="minorHAnsi" w:cstheme="minorHAnsi"/>
          <w:color w:val="000000" w:themeColor="text1"/>
          <w:sz w:val="26"/>
          <w:szCs w:val="26"/>
        </w:rPr>
        <w:t>.</w:t>
      </w:r>
      <w:r w:rsidRPr="001862D3">
        <w:rPr>
          <w:rFonts w:asciiTheme="minorHAnsi" w:eastAsiaTheme="minorHAnsi" w:hAnsiTheme="minorHAnsi" w:cstheme="minorHAnsi"/>
          <w:color w:val="000000" w:themeColor="text1"/>
          <w:sz w:val="26"/>
          <w:szCs w:val="26"/>
        </w:rPr>
        <w:t>S</w:t>
      </w:r>
      <w:r w:rsidR="00E62F82">
        <w:rPr>
          <w:rFonts w:asciiTheme="minorHAnsi" w:eastAsiaTheme="minorHAnsi" w:hAnsiTheme="minorHAnsi" w:cstheme="minorHAnsi"/>
          <w:color w:val="000000" w:themeColor="text1"/>
          <w:sz w:val="26"/>
          <w:szCs w:val="26"/>
        </w:rPr>
        <w:t>.</w:t>
      </w:r>
      <w:r w:rsidRPr="001862D3">
        <w:rPr>
          <w:rFonts w:asciiTheme="minorHAnsi" w:eastAsiaTheme="minorHAnsi" w:hAnsiTheme="minorHAnsi" w:cstheme="minorHAnsi"/>
          <w:color w:val="000000" w:themeColor="text1"/>
          <w:sz w:val="26"/>
          <w:szCs w:val="26"/>
        </w:rPr>
        <w:t>M</w:t>
      </w:r>
      <w:r w:rsidR="00E62F82">
        <w:rPr>
          <w:rFonts w:asciiTheme="minorHAnsi" w:eastAsiaTheme="minorHAnsi" w:hAnsiTheme="minorHAnsi" w:cstheme="minorHAnsi"/>
          <w:color w:val="000000" w:themeColor="text1"/>
          <w:sz w:val="26"/>
          <w:szCs w:val="26"/>
        </w:rPr>
        <w:t>.</w:t>
      </w:r>
      <w:r w:rsidRPr="001862D3">
        <w:rPr>
          <w:rFonts w:asciiTheme="minorHAnsi" w:eastAsiaTheme="minorHAnsi" w:hAnsiTheme="minorHAnsi" w:cstheme="minorHAnsi"/>
          <w:color w:val="000000" w:themeColor="text1"/>
          <w:sz w:val="26"/>
          <w:szCs w:val="26"/>
        </w:rPr>
        <w:t xml:space="preserve"> își îndeplinește misiunea de garant al independenței justiției, precum și a modului în care funcționează sistemul judiciar.</w:t>
      </w:r>
    </w:p>
    <w:p w14:paraId="37DD1E61" w14:textId="01663DCB" w:rsidR="00021845" w:rsidRPr="001862D3" w:rsidRDefault="00021845" w:rsidP="009E3AD8">
      <w:pPr>
        <w:spacing w:after="160" w:line="276" w:lineRule="auto"/>
        <w:ind w:firstLine="720"/>
        <w:contextualSpacing/>
        <w:jc w:val="both"/>
        <w:rPr>
          <w:rFonts w:asciiTheme="minorHAnsi" w:eastAsia="Calibri" w:hAnsiTheme="minorHAnsi" w:cstheme="minorHAnsi"/>
          <w:color w:val="000000" w:themeColor="text1"/>
          <w:sz w:val="26"/>
          <w:szCs w:val="26"/>
        </w:rPr>
      </w:pPr>
      <w:r w:rsidRPr="001862D3">
        <w:rPr>
          <w:rFonts w:asciiTheme="minorHAnsi" w:hAnsiTheme="minorHAnsi" w:cstheme="minorHAnsi"/>
          <w:color w:val="000000" w:themeColor="text1"/>
          <w:sz w:val="26"/>
          <w:szCs w:val="26"/>
        </w:rPr>
        <w:t xml:space="preserve">La data de </w:t>
      </w:r>
      <w:r w:rsidR="00E62F82">
        <w:rPr>
          <w:rFonts w:asciiTheme="minorHAnsi" w:hAnsiTheme="minorHAnsi" w:cstheme="minorHAnsi"/>
          <w:color w:val="000000" w:themeColor="text1"/>
          <w:sz w:val="26"/>
          <w:szCs w:val="26"/>
        </w:rPr>
        <w:t>0</w:t>
      </w:r>
      <w:r w:rsidRPr="001862D3">
        <w:rPr>
          <w:rFonts w:asciiTheme="minorHAnsi" w:hAnsiTheme="minorHAnsi" w:cstheme="minorHAnsi"/>
          <w:color w:val="000000" w:themeColor="text1"/>
          <w:sz w:val="26"/>
          <w:szCs w:val="26"/>
        </w:rPr>
        <w:t xml:space="preserve">8 iulie 2025, un număr de </w:t>
      </w:r>
      <w:r w:rsidRPr="001862D3">
        <w:rPr>
          <w:rFonts w:asciiTheme="minorHAnsi" w:eastAsia="Calibri" w:hAnsiTheme="minorHAnsi" w:cstheme="minorHAnsi"/>
          <w:color w:val="000000" w:themeColor="text1"/>
          <w:sz w:val="26"/>
          <w:szCs w:val="26"/>
        </w:rPr>
        <w:t>57 de auditori de justiție</w:t>
      </w:r>
      <w:r w:rsidRPr="001862D3">
        <w:rPr>
          <w:rFonts w:asciiTheme="minorHAnsi" w:eastAsia="Calibri" w:hAnsiTheme="minorHAnsi" w:cstheme="minorHAnsi"/>
          <w:i/>
          <w:iCs/>
          <w:color w:val="000000" w:themeColor="text1"/>
          <w:sz w:val="26"/>
          <w:szCs w:val="26"/>
        </w:rPr>
        <w:t xml:space="preserve"> </w:t>
      </w:r>
      <w:r w:rsidRPr="001862D3">
        <w:rPr>
          <w:rFonts w:asciiTheme="minorHAnsi" w:eastAsia="Calibri" w:hAnsiTheme="minorHAnsi" w:cstheme="minorHAnsi"/>
          <w:color w:val="000000" w:themeColor="text1"/>
          <w:sz w:val="26"/>
          <w:szCs w:val="26"/>
        </w:rPr>
        <w:t xml:space="preserve">au participat online la evenimentul de lansare a </w:t>
      </w:r>
      <w:r w:rsidRPr="001862D3">
        <w:rPr>
          <w:rFonts w:asciiTheme="minorHAnsi" w:hAnsiTheme="minorHAnsi" w:cstheme="minorHAnsi"/>
          <w:color w:val="000000" w:themeColor="text1"/>
          <w:sz w:val="26"/>
          <w:szCs w:val="26"/>
        </w:rPr>
        <w:t>cursului HELP - Introducere în Protecția Drepturilor Omului - Interacțiunea dintre C</w:t>
      </w:r>
      <w:r w:rsidR="00E62F82">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E</w:t>
      </w:r>
      <w:r w:rsidR="00E62F82">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D</w:t>
      </w:r>
      <w:r w:rsidR="00E62F82">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O</w:t>
      </w:r>
      <w:r w:rsidR="00E62F82">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 xml:space="preserve"> și Carta Drepturilor Fundamentale a U</w:t>
      </w:r>
      <w:r w:rsidR="00E62F82">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E</w:t>
      </w:r>
      <w:r w:rsidR="00E62F82">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 având ca obiectiv prezentarea structurii și funcționalităților cursului online HELP, precum și familiarizarea participanților cu resursele interactive puse la dispoziție prin această platformă modernă de formare continuă.</w:t>
      </w:r>
    </w:p>
    <w:p w14:paraId="38E33107" w14:textId="69FEC1B9" w:rsidR="00021845" w:rsidRPr="001862D3" w:rsidRDefault="00021845" w:rsidP="009E3AD8">
      <w:pPr>
        <w:spacing w:after="160" w:line="276" w:lineRule="auto"/>
        <w:ind w:firstLine="720"/>
        <w:contextualSpacing/>
        <w:jc w:val="both"/>
        <w:rPr>
          <w:rFonts w:asciiTheme="minorHAnsi" w:eastAsia="Calibri" w:hAnsiTheme="minorHAnsi" w:cstheme="minorHAnsi"/>
          <w:color w:val="000000" w:themeColor="text1"/>
          <w:sz w:val="26"/>
          <w:szCs w:val="26"/>
        </w:rPr>
      </w:pPr>
      <w:r w:rsidRPr="001862D3">
        <w:rPr>
          <w:rFonts w:asciiTheme="minorHAnsi" w:hAnsiTheme="minorHAnsi" w:cstheme="minorHAnsi"/>
          <w:color w:val="000000" w:themeColor="text1"/>
          <w:sz w:val="26"/>
          <w:szCs w:val="26"/>
        </w:rPr>
        <w:t xml:space="preserve">La datele de 14 </w:t>
      </w:r>
      <w:r w:rsidR="00791F0A">
        <w:rPr>
          <w:rFonts w:asciiTheme="minorHAnsi" w:hAnsiTheme="minorHAnsi" w:cstheme="minorHAnsi"/>
          <w:color w:val="000000" w:themeColor="text1"/>
          <w:sz w:val="26"/>
          <w:szCs w:val="26"/>
        </w:rPr>
        <w:t xml:space="preserve">iulie </w:t>
      </w:r>
      <w:r w:rsidRPr="001862D3">
        <w:rPr>
          <w:rFonts w:asciiTheme="minorHAnsi" w:hAnsiTheme="minorHAnsi" w:cstheme="minorHAnsi"/>
          <w:color w:val="000000" w:themeColor="text1"/>
          <w:sz w:val="26"/>
          <w:szCs w:val="26"/>
        </w:rPr>
        <w:t>și 17 iulie 2025, auditorii de justiție au participat la ateliere de drept procesual civil – executare silită, susținute de un formator cu normă întreagă al Institutului.</w:t>
      </w:r>
    </w:p>
    <w:p w14:paraId="7EDC9F73" w14:textId="607B74BB" w:rsidR="00021845" w:rsidRPr="001862D3" w:rsidRDefault="00021845" w:rsidP="009E3AD8">
      <w:pPr>
        <w:spacing w:after="160" w:line="276" w:lineRule="auto"/>
        <w:ind w:firstLine="720"/>
        <w:contextualSpacing/>
        <w:jc w:val="both"/>
        <w:rPr>
          <w:rFonts w:asciiTheme="minorHAnsi" w:hAnsiTheme="minorHAnsi" w:cstheme="minorHAnsi"/>
          <w:color w:val="000000" w:themeColor="text1"/>
          <w:sz w:val="26"/>
          <w:szCs w:val="26"/>
        </w:rPr>
      </w:pPr>
      <w:r w:rsidRPr="001862D3">
        <w:rPr>
          <w:rFonts w:asciiTheme="minorHAnsi" w:hAnsiTheme="minorHAnsi" w:cstheme="minorHAnsi"/>
          <w:color w:val="000000" w:themeColor="text1"/>
          <w:sz w:val="26"/>
          <w:szCs w:val="26"/>
        </w:rPr>
        <w:t xml:space="preserve">La datele de 18 iulie și 29 iulie </w:t>
      </w:r>
      <w:r w:rsidR="00791F0A">
        <w:rPr>
          <w:rFonts w:asciiTheme="minorHAnsi" w:hAnsiTheme="minorHAnsi" w:cstheme="minorHAnsi"/>
          <w:color w:val="000000" w:themeColor="text1"/>
          <w:sz w:val="26"/>
          <w:szCs w:val="26"/>
        </w:rPr>
        <w:t xml:space="preserve">2025 </w:t>
      </w:r>
      <w:r w:rsidRPr="001862D3">
        <w:rPr>
          <w:rFonts w:asciiTheme="minorHAnsi" w:hAnsiTheme="minorHAnsi" w:cstheme="minorHAnsi"/>
          <w:color w:val="000000" w:themeColor="text1"/>
          <w:sz w:val="26"/>
          <w:szCs w:val="26"/>
        </w:rPr>
        <w:t xml:space="preserve">au avut loc o serie de reuniuni în format online, coordonate de către formatorii cu normă întreagă, întâlniri în cadrul cărora auditorii de justiţie din anul I au prezentat experiențele proprii cu privire la activitatea de voluntariat desfășurată. </w:t>
      </w:r>
    </w:p>
    <w:p w14:paraId="70DDEAAC" w14:textId="73EFBD94" w:rsidR="00021845" w:rsidRPr="006E7638" w:rsidRDefault="00021845" w:rsidP="009E3AD8">
      <w:pPr>
        <w:spacing w:line="276" w:lineRule="auto"/>
        <w:ind w:firstLine="720"/>
        <w:jc w:val="both"/>
        <w:rPr>
          <w:rFonts w:asciiTheme="minorHAnsi" w:hAnsiTheme="minorHAnsi" w:cstheme="minorHAnsi"/>
          <w:sz w:val="26"/>
          <w:szCs w:val="26"/>
          <w14:ligatures w14:val="standardContextual"/>
        </w:rPr>
      </w:pPr>
      <w:r w:rsidRPr="006E7638">
        <w:rPr>
          <w:rFonts w:asciiTheme="minorHAnsi" w:hAnsiTheme="minorHAnsi" w:cstheme="minorHAnsi"/>
          <w:sz w:val="26"/>
          <w:szCs w:val="26"/>
        </w:rPr>
        <w:lastRenderedPageBreak/>
        <w:t xml:space="preserve">În intervalul iulie – decembrie 2025, un număr de 91 de auditori de justiție </w:t>
      </w:r>
      <w:r w:rsidR="00DF21E0" w:rsidRPr="006E7638">
        <w:rPr>
          <w:rFonts w:asciiTheme="minorHAnsi" w:hAnsiTheme="minorHAnsi" w:cstheme="minorHAnsi"/>
          <w:sz w:val="26"/>
          <w:szCs w:val="26"/>
        </w:rPr>
        <w:t xml:space="preserve">au </w:t>
      </w:r>
      <w:r w:rsidRPr="006E7638">
        <w:rPr>
          <w:rFonts w:asciiTheme="minorHAnsi" w:hAnsiTheme="minorHAnsi" w:cstheme="minorHAnsi"/>
          <w:sz w:val="26"/>
          <w:szCs w:val="26"/>
        </w:rPr>
        <w:t>particip</w:t>
      </w:r>
      <w:r w:rsidR="00DF21E0" w:rsidRPr="006E7638">
        <w:rPr>
          <w:rFonts w:asciiTheme="minorHAnsi" w:hAnsiTheme="minorHAnsi" w:cstheme="minorHAnsi"/>
          <w:sz w:val="26"/>
          <w:szCs w:val="26"/>
        </w:rPr>
        <w:t>at</w:t>
      </w:r>
      <w:r w:rsidRPr="006E7638">
        <w:rPr>
          <w:rFonts w:asciiTheme="minorHAnsi" w:hAnsiTheme="minorHAnsi" w:cstheme="minorHAnsi"/>
          <w:sz w:val="26"/>
          <w:szCs w:val="26"/>
        </w:rPr>
        <w:t xml:space="preserve"> la ateliere dedicate tehnicii de audiere a minorilor, susținute de către un procuror specializat, formator al Institutului. În completarea acestor activități de formare, 51 dintre aceștia au beneficiat,</w:t>
      </w:r>
      <w:r w:rsidRPr="006E7638">
        <w:rPr>
          <w:rFonts w:asciiTheme="minorHAnsi" w:eastAsia="Calibri" w:hAnsiTheme="minorHAnsi" w:cstheme="minorHAnsi"/>
          <w:sz w:val="26"/>
          <w:szCs w:val="26"/>
          <w14:ligatures w14:val="standardContextual"/>
        </w:rPr>
        <w:t xml:space="preserve"> în perioada 29 septembrie – 10 octombrie 2025</w:t>
      </w:r>
      <w:r w:rsidRPr="006E7638">
        <w:rPr>
          <w:rFonts w:asciiTheme="minorHAnsi" w:hAnsiTheme="minorHAnsi" w:cstheme="minorHAnsi"/>
          <w:sz w:val="26"/>
          <w:szCs w:val="26"/>
        </w:rPr>
        <w:t xml:space="preserve">, de un pachet de </w:t>
      </w:r>
      <w:r w:rsidRPr="006E7638">
        <w:rPr>
          <w:rFonts w:asciiTheme="minorHAnsi" w:eastAsia="Calibri" w:hAnsiTheme="minorHAnsi" w:cstheme="minorHAnsi"/>
          <w:sz w:val="26"/>
          <w:szCs w:val="26"/>
          <w14:ligatures w14:val="standardContextual"/>
        </w:rPr>
        <w:t xml:space="preserve">vizite în cadrul unor instituții cu activitate relevantă, precum: </w:t>
      </w:r>
      <w:r w:rsidRPr="006E7638">
        <w:rPr>
          <w:rFonts w:asciiTheme="minorHAnsi" w:hAnsiTheme="minorHAnsi" w:cstheme="minorHAnsi"/>
          <w:sz w:val="26"/>
          <w:szCs w:val="26"/>
          <w14:ligatures w14:val="standardContextual"/>
        </w:rPr>
        <w:t>Parchetul de pe lângă Tribunalul București, Judecătoria Sectorului 6 București, Asociația Salvați Copiii – Centrul Barnahus</w:t>
      </w:r>
      <w:r w:rsidRPr="006E7638">
        <w:rPr>
          <w:rFonts w:asciiTheme="minorHAnsi" w:eastAsia="Calibri" w:hAnsiTheme="minorHAnsi" w:cstheme="minorHAnsi"/>
          <w:sz w:val="26"/>
          <w:szCs w:val="26"/>
          <w14:ligatures w14:val="standardContextual"/>
        </w:rPr>
        <w:t xml:space="preserve">, </w:t>
      </w:r>
      <w:r w:rsidRPr="006E7638">
        <w:rPr>
          <w:rFonts w:asciiTheme="minorHAnsi" w:hAnsiTheme="minorHAnsi" w:cstheme="minorHAnsi"/>
          <w:sz w:val="26"/>
          <w:szCs w:val="26"/>
          <w14:ligatures w14:val="standardContextual"/>
        </w:rPr>
        <w:t>Institutul pentru Studiul și Tratamentul Traumei</w:t>
      </w:r>
      <w:r w:rsidRPr="006E7638">
        <w:rPr>
          <w:rFonts w:asciiTheme="minorHAnsi" w:eastAsia="Calibri" w:hAnsiTheme="minorHAnsi" w:cstheme="minorHAnsi"/>
          <w:sz w:val="26"/>
          <w:szCs w:val="26"/>
          <w14:ligatures w14:val="standardContextual"/>
        </w:rPr>
        <w:t xml:space="preserve">, </w:t>
      </w:r>
      <w:r w:rsidRPr="006E7638">
        <w:rPr>
          <w:rFonts w:asciiTheme="minorHAnsi" w:hAnsiTheme="minorHAnsi" w:cstheme="minorHAnsi"/>
          <w:sz w:val="26"/>
          <w:szCs w:val="26"/>
          <w14:ligatures w14:val="standardContextual"/>
        </w:rPr>
        <w:t>Poliția Capitalei.</w:t>
      </w:r>
    </w:p>
    <w:p w14:paraId="36D38C35" w14:textId="71B99E39" w:rsidR="00DA05E1" w:rsidRPr="006E7638" w:rsidRDefault="00DA05E1" w:rsidP="00DA05E1">
      <w:pPr>
        <w:spacing w:line="276" w:lineRule="auto"/>
        <w:ind w:firstLine="720"/>
        <w:jc w:val="both"/>
        <w:rPr>
          <w:rFonts w:asciiTheme="minorHAnsi" w:eastAsia="Calibri" w:hAnsiTheme="minorHAnsi" w:cstheme="minorHAnsi"/>
          <w:sz w:val="26"/>
          <w:szCs w:val="26"/>
          <w14:ligatures w14:val="standardContextual"/>
        </w:rPr>
      </w:pPr>
      <w:r w:rsidRPr="006E7638">
        <w:rPr>
          <w:rFonts w:asciiTheme="minorHAnsi" w:eastAsia="Calibri" w:hAnsiTheme="minorHAnsi" w:cstheme="minorHAnsi"/>
          <w:sz w:val="26"/>
          <w:szCs w:val="26"/>
          <w14:ligatures w14:val="standardContextual"/>
        </w:rPr>
        <w:t xml:space="preserve">La data de </w:t>
      </w:r>
      <w:r w:rsidR="006E7638">
        <w:rPr>
          <w:rFonts w:asciiTheme="minorHAnsi" w:eastAsia="Calibri" w:hAnsiTheme="minorHAnsi" w:cstheme="minorHAnsi"/>
          <w:sz w:val="26"/>
          <w:szCs w:val="26"/>
          <w14:ligatures w14:val="standardContextual"/>
        </w:rPr>
        <w:t>0</w:t>
      </w:r>
      <w:r w:rsidRPr="006E7638">
        <w:rPr>
          <w:rFonts w:asciiTheme="minorHAnsi" w:eastAsia="Calibri" w:hAnsiTheme="minorHAnsi" w:cstheme="minorHAnsi"/>
          <w:sz w:val="26"/>
          <w:szCs w:val="26"/>
          <w14:ligatures w14:val="standardContextual"/>
        </w:rPr>
        <w:t>6 noiembrie 2025 a avut loc conferința extracurriculară „În dialog cu doamna Octavia Spineanu-Matei, judecătorul român la Curtea de Justiție a Uniunii Europene”, în contextul căreia auditorii de justiție au avut posibilitatea să formuleze întrebări și să primească răspunsuri directe și consistente, bazate pe experiența reală a doamnei judecător.</w:t>
      </w:r>
    </w:p>
    <w:p w14:paraId="6CB690FD" w14:textId="77777777" w:rsidR="00DA05E1" w:rsidRPr="006E7638" w:rsidRDefault="00DA05E1" w:rsidP="00DA05E1">
      <w:pPr>
        <w:spacing w:line="276" w:lineRule="auto"/>
        <w:ind w:firstLine="720"/>
        <w:jc w:val="both"/>
        <w:rPr>
          <w:rFonts w:asciiTheme="minorHAnsi" w:eastAsia="Calibri" w:hAnsiTheme="minorHAnsi" w:cstheme="minorHAnsi"/>
          <w:sz w:val="26"/>
          <w:szCs w:val="26"/>
          <w14:ligatures w14:val="standardContextual"/>
        </w:rPr>
      </w:pPr>
      <w:r w:rsidRPr="006E7638">
        <w:rPr>
          <w:rFonts w:asciiTheme="minorHAnsi" w:eastAsia="Calibri" w:hAnsiTheme="minorHAnsi" w:cstheme="minorHAnsi"/>
          <w:sz w:val="26"/>
          <w:szCs w:val="26"/>
          <w14:ligatures w14:val="standardContextual"/>
        </w:rPr>
        <w:t>La data de 17 noiembrie 2025 a avut loc conferința extracurriculară dedicată activităților de voluntariat, intitulată „Jurnal de voluntar”, în cadrul căreia auditori de justiție, formatori și reprezentanți ai organismelor și instituțiilor partenere au împărtășit experiențele acumulate pe parcursul primului an de existență a programului.</w:t>
      </w:r>
    </w:p>
    <w:p w14:paraId="32E51B8B" w14:textId="78F7F0E8" w:rsidR="00DA05E1" w:rsidRPr="006E7638" w:rsidRDefault="00DA05E1" w:rsidP="00DA05E1">
      <w:pPr>
        <w:spacing w:line="276" w:lineRule="auto"/>
        <w:ind w:firstLine="720"/>
        <w:jc w:val="both"/>
        <w:rPr>
          <w:rFonts w:asciiTheme="minorHAnsi" w:eastAsia="Calibri" w:hAnsiTheme="minorHAnsi" w:cstheme="minorHAnsi"/>
          <w:sz w:val="26"/>
          <w:szCs w:val="26"/>
          <w14:ligatures w14:val="standardContextual"/>
        </w:rPr>
      </w:pPr>
      <w:r w:rsidRPr="006E7638">
        <w:rPr>
          <w:rFonts w:asciiTheme="minorHAnsi" w:eastAsia="Calibri" w:hAnsiTheme="minorHAnsi" w:cstheme="minorHAnsi"/>
          <w:sz w:val="26"/>
          <w:szCs w:val="26"/>
          <w14:ligatures w14:val="standardContextual"/>
        </w:rPr>
        <w:t xml:space="preserve">La data de </w:t>
      </w:r>
      <w:r w:rsidR="006E7638" w:rsidRPr="006E7638">
        <w:rPr>
          <w:rFonts w:asciiTheme="minorHAnsi" w:eastAsia="Calibri" w:hAnsiTheme="minorHAnsi" w:cstheme="minorHAnsi"/>
          <w:sz w:val="26"/>
          <w:szCs w:val="26"/>
          <w14:ligatures w14:val="standardContextual"/>
        </w:rPr>
        <w:t>0</w:t>
      </w:r>
      <w:r w:rsidRPr="006E7638">
        <w:rPr>
          <w:rFonts w:asciiTheme="minorHAnsi" w:eastAsia="Calibri" w:hAnsiTheme="minorHAnsi" w:cstheme="minorHAnsi"/>
          <w:sz w:val="26"/>
          <w:szCs w:val="26"/>
          <w14:ligatures w14:val="standardContextual"/>
        </w:rPr>
        <w:t>3 decembrie 2025 s-a desfășurat conferința extracurriculară cu tema „Drept procesual penal – folosirea metodelor speciale de supraveghere sau cercetare”, susținută de un formator al I.N.M., o a doua conferință cu această tematică fiind planificată, de asemenea, pentru data de 17 decembrie 2025.</w:t>
      </w:r>
    </w:p>
    <w:p w14:paraId="1A5E710D" w14:textId="77777777" w:rsidR="00DA05E1" w:rsidRPr="006E7638" w:rsidRDefault="00DA05E1" w:rsidP="00DA05E1">
      <w:pPr>
        <w:spacing w:line="276" w:lineRule="auto"/>
        <w:ind w:firstLine="720"/>
        <w:jc w:val="both"/>
        <w:rPr>
          <w:rFonts w:asciiTheme="minorHAnsi" w:eastAsia="Calibri" w:hAnsiTheme="minorHAnsi" w:cstheme="minorHAnsi"/>
          <w:sz w:val="26"/>
          <w:szCs w:val="26"/>
          <w14:ligatures w14:val="standardContextual"/>
        </w:rPr>
      </w:pPr>
      <w:r w:rsidRPr="006E7638">
        <w:rPr>
          <w:rFonts w:asciiTheme="minorHAnsi" w:eastAsia="Calibri" w:hAnsiTheme="minorHAnsi" w:cstheme="minorHAnsi"/>
          <w:sz w:val="26"/>
          <w:szCs w:val="26"/>
          <w14:ligatures w14:val="standardContextual"/>
        </w:rPr>
        <w:t xml:space="preserve">La data de 11 decembrie 2025 a avut loc conferința extracurriculară intitulată „În dialog cu domnul Marian Nazat - Intersecții despre adevăr: drept, cultură și societate”. </w:t>
      </w:r>
    </w:p>
    <w:p w14:paraId="3423B320" w14:textId="762973A1" w:rsidR="00DA05E1" w:rsidRPr="006E7638" w:rsidRDefault="00DA05E1" w:rsidP="00DA05E1">
      <w:pPr>
        <w:spacing w:line="276" w:lineRule="auto"/>
        <w:ind w:firstLine="720"/>
        <w:jc w:val="both"/>
        <w:rPr>
          <w:rFonts w:asciiTheme="minorHAnsi" w:eastAsia="Calibri" w:hAnsiTheme="minorHAnsi" w:cstheme="minorHAnsi"/>
          <w:sz w:val="26"/>
          <w:szCs w:val="26"/>
          <w14:ligatures w14:val="standardContextual"/>
        </w:rPr>
      </w:pPr>
      <w:r w:rsidRPr="006E7638">
        <w:rPr>
          <w:rFonts w:asciiTheme="minorHAnsi" w:eastAsia="Calibri" w:hAnsiTheme="minorHAnsi" w:cstheme="minorHAnsi"/>
          <w:sz w:val="26"/>
          <w:szCs w:val="26"/>
          <w14:ligatures w14:val="standardContextual"/>
        </w:rPr>
        <w:t>La data de 15 decembrie 2025 s-a desfășurat o activitate de tip webinar, cu tema „Implementarea eficientă a hotărârilor C</w:t>
      </w:r>
      <w:r w:rsidR="00AD0C0F" w:rsidRPr="006E7638">
        <w:rPr>
          <w:rFonts w:asciiTheme="minorHAnsi" w:eastAsia="Calibri" w:hAnsiTheme="minorHAnsi" w:cstheme="minorHAnsi"/>
          <w:sz w:val="26"/>
          <w:szCs w:val="26"/>
          <w14:ligatures w14:val="standardContextual"/>
        </w:rPr>
        <w:t>.</w:t>
      </w:r>
      <w:r w:rsidRPr="006E7638">
        <w:rPr>
          <w:rFonts w:asciiTheme="minorHAnsi" w:eastAsia="Calibri" w:hAnsiTheme="minorHAnsi" w:cstheme="minorHAnsi"/>
          <w:sz w:val="26"/>
          <w:szCs w:val="26"/>
          <w14:ligatures w14:val="standardContextual"/>
        </w:rPr>
        <w:t>E</w:t>
      </w:r>
      <w:r w:rsidR="00AD0C0F" w:rsidRPr="006E7638">
        <w:rPr>
          <w:rFonts w:asciiTheme="minorHAnsi" w:eastAsia="Calibri" w:hAnsiTheme="minorHAnsi" w:cstheme="minorHAnsi"/>
          <w:sz w:val="26"/>
          <w:szCs w:val="26"/>
          <w14:ligatures w14:val="standardContextual"/>
        </w:rPr>
        <w:t>.</w:t>
      </w:r>
      <w:r w:rsidRPr="006E7638">
        <w:rPr>
          <w:rFonts w:asciiTheme="minorHAnsi" w:eastAsia="Calibri" w:hAnsiTheme="minorHAnsi" w:cstheme="minorHAnsi"/>
          <w:sz w:val="26"/>
          <w:szCs w:val="26"/>
          <w14:ligatures w14:val="standardContextual"/>
        </w:rPr>
        <w:t>D</w:t>
      </w:r>
      <w:r w:rsidR="00AD0C0F" w:rsidRPr="006E7638">
        <w:rPr>
          <w:rFonts w:asciiTheme="minorHAnsi" w:eastAsia="Calibri" w:hAnsiTheme="minorHAnsi" w:cstheme="minorHAnsi"/>
          <w:sz w:val="26"/>
          <w:szCs w:val="26"/>
          <w14:ligatures w14:val="standardContextual"/>
        </w:rPr>
        <w:t>.</w:t>
      </w:r>
      <w:r w:rsidRPr="006E7638">
        <w:rPr>
          <w:rFonts w:asciiTheme="minorHAnsi" w:eastAsia="Calibri" w:hAnsiTheme="minorHAnsi" w:cstheme="minorHAnsi"/>
          <w:sz w:val="26"/>
          <w:szCs w:val="26"/>
          <w14:ligatures w14:val="standardContextual"/>
        </w:rPr>
        <w:t>O</w:t>
      </w:r>
      <w:r w:rsidR="00AD0C0F" w:rsidRPr="006E7638">
        <w:rPr>
          <w:rFonts w:asciiTheme="minorHAnsi" w:eastAsia="Calibri" w:hAnsiTheme="minorHAnsi" w:cstheme="minorHAnsi"/>
          <w:sz w:val="26"/>
          <w:szCs w:val="26"/>
          <w14:ligatures w14:val="standardContextual"/>
        </w:rPr>
        <w:t>.</w:t>
      </w:r>
      <w:r w:rsidRPr="006E7638">
        <w:rPr>
          <w:rFonts w:asciiTheme="minorHAnsi" w:eastAsia="Calibri" w:hAnsiTheme="minorHAnsi" w:cstheme="minorHAnsi"/>
          <w:sz w:val="26"/>
          <w:szCs w:val="26"/>
          <w14:ligatures w14:val="standardContextual"/>
        </w:rPr>
        <w:t xml:space="preserve"> de către instanțele românești”, la care, pe lângă judecători, procurori și alte categorii profesionale din cadrul sistemului judiciar, au participat și auditori de justiție. Activitatea face parte dintr-un proiect pilot cuprinzând sesiuni scurte de formare profesională continuă organizate online - lunchtime webinars, lansat de I.N.M. în cursul acestui an. Webinarul a abordat principalele mecanisme și bune practici prin care instanțele din România pot asigura aplicarea corectă și promptă a jurisprudenței Curții Europene a Drepturilor Omului. Au fost analizate provocările actuale si obligațiile statului român si au fost oferite exemple relevante din practica recentă, precum și instrumentele disponibile judecătorilor pentru a integra standardele C</w:t>
      </w:r>
      <w:r w:rsidR="00AD0C0F" w:rsidRPr="006E7638">
        <w:rPr>
          <w:rFonts w:asciiTheme="minorHAnsi" w:eastAsia="Calibri" w:hAnsiTheme="minorHAnsi" w:cstheme="minorHAnsi"/>
          <w:sz w:val="26"/>
          <w:szCs w:val="26"/>
          <w14:ligatures w14:val="standardContextual"/>
        </w:rPr>
        <w:t>.</w:t>
      </w:r>
      <w:r w:rsidRPr="006E7638">
        <w:rPr>
          <w:rFonts w:asciiTheme="minorHAnsi" w:eastAsia="Calibri" w:hAnsiTheme="minorHAnsi" w:cstheme="minorHAnsi"/>
          <w:sz w:val="26"/>
          <w:szCs w:val="26"/>
          <w14:ligatures w14:val="standardContextual"/>
        </w:rPr>
        <w:t>E</w:t>
      </w:r>
      <w:r w:rsidR="00AD0C0F" w:rsidRPr="006E7638">
        <w:rPr>
          <w:rFonts w:asciiTheme="minorHAnsi" w:eastAsia="Calibri" w:hAnsiTheme="minorHAnsi" w:cstheme="minorHAnsi"/>
          <w:sz w:val="26"/>
          <w:szCs w:val="26"/>
          <w14:ligatures w14:val="standardContextual"/>
        </w:rPr>
        <w:t>.</w:t>
      </w:r>
      <w:r w:rsidRPr="006E7638">
        <w:rPr>
          <w:rFonts w:asciiTheme="minorHAnsi" w:eastAsia="Calibri" w:hAnsiTheme="minorHAnsi" w:cstheme="minorHAnsi"/>
          <w:sz w:val="26"/>
          <w:szCs w:val="26"/>
          <w14:ligatures w14:val="standardContextual"/>
        </w:rPr>
        <w:t>D</w:t>
      </w:r>
      <w:r w:rsidR="00AD0C0F" w:rsidRPr="006E7638">
        <w:rPr>
          <w:rFonts w:asciiTheme="minorHAnsi" w:eastAsia="Calibri" w:hAnsiTheme="minorHAnsi" w:cstheme="minorHAnsi"/>
          <w:sz w:val="26"/>
          <w:szCs w:val="26"/>
          <w14:ligatures w14:val="standardContextual"/>
        </w:rPr>
        <w:t>.</w:t>
      </w:r>
      <w:r w:rsidRPr="006E7638">
        <w:rPr>
          <w:rFonts w:asciiTheme="minorHAnsi" w:eastAsia="Calibri" w:hAnsiTheme="minorHAnsi" w:cstheme="minorHAnsi"/>
          <w:sz w:val="26"/>
          <w:szCs w:val="26"/>
          <w14:ligatures w14:val="standardContextual"/>
        </w:rPr>
        <w:t>O</w:t>
      </w:r>
      <w:r w:rsidR="00AD0C0F" w:rsidRPr="006E7638">
        <w:rPr>
          <w:rFonts w:asciiTheme="minorHAnsi" w:eastAsia="Calibri" w:hAnsiTheme="minorHAnsi" w:cstheme="minorHAnsi"/>
          <w:sz w:val="26"/>
          <w:szCs w:val="26"/>
          <w14:ligatures w14:val="standardContextual"/>
        </w:rPr>
        <w:t>.</w:t>
      </w:r>
      <w:r w:rsidRPr="006E7638">
        <w:rPr>
          <w:rFonts w:asciiTheme="minorHAnsi" w:eastAsia="Calibri" w:hAnsiTheme="minorHAnsi" w:cstheme="minorHAnsi"/>
          <w:sz w:val="26"/>
          <w:szCs w:val="26"/>
          <w14:ligatures w14:val="standardContextual"/>
        </w:rPr>
        <w:t>.</w:t>
      </w:r>
    </w:p>
    <w:p w14:paraId="0C80B7E8" w14:textId="4D37F750" w:rsidR="00021845" w:rsidRPr="001862D3" w:rsidRDefault="00021845" w:rsidP="009E3AD8">
      <w:pPr>
        <w:shd w:val="clear" w:color="auto" w:fill="FFFFFF" w:themeFill="background1"/>
        <w:spacing w:line="276" w:lineRule="auto"/>
        <w:ind w:firstLine="720"/>
        <w:jc w:val="both"/>
        <w:rPr>
          <w:rFonts w:asciiTheme="minorHAnsi" w:hAnsiTheme="minorHAnsi" w:cstheme="minorHAnsi"/>
          <w:color w:val="000000" w:themeColor="text1"/>
          <w:sz w:val="26"/>
          <w:szCs w:val="26"/>
        </w:rPr>
      </w:pPr>
      <w:r w:rsidRPr="001862D3">
        <w:rPr>
          <w:rFonts w:asciiTheme="minorHAnsi" w:hAnsiTheme="minorHAnsi" w:cstheme="minorHAnsi"/>
          <w:color w:val="000000" w:themeColor="text1"/>
          <w:sz w:val="26"/>
          <w:szCs w:val="26"/>
        </w:rPr>
        <w:t xml:space="preserve">Colaborarea Institutului Național al Magistraturii cu Institutul Național pentru Pregătirea și Perfecționarea Avocaților în ceea ce privește organizarea unor activități de formare inițială comune a continuat și în anul de referință. Astfel, au fost organizate o serie de activități de tip </w:t>
      </w:r>
      <w:r w:rsidRPr="000D0B75">
        <w:rPr>
          <w:rFonts w:asciiTheme="minorHAnsi" w:hAnsiTheme="minorHAnsi" w:cstheme="minorHAnsi"/>
          <w:color w:val="000000" w:themeColor="text1"/>
          <w:sz w:val="26"/>
          <w:szCs w:val="26"/>
        </w:rPr>
        <w:t>procese simulate,</w:t>
      </w:r>
      <w:r w:rsidRPr="001862D3">
        <w:rPr>
          <w:rFonts w:asciiTheme="minorHAnsi" w:hAnsiTheme="minorHAnsi" w:cstheme="minorHAnsi"/>
          <w:color w:val="000000" w:themeColor="text1"/>
          <w:sz w:val="26"/>
          <w:szCs w:val="26"/>
        </w:rPr>
        <w:t xml:space="preserve"> în cadrul cărora au participat, alături de auditorii de justiție și formatorii I</w:t>
      </w:r>
      <w:r w:rsidR="00E764CC">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N</w:t>
      </w:r>
      <w:r w:rsidR="00E764CC">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M</w:t>
      </w:r>
      <w:r w:rsidR="00E764CC">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 avocați stagiari – cursanți ai I</w:t>
      </w:r>
      <w:r w:rsidR="00E764CC">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N</w:t>
      </w:r>
      <w:r w:rsidR="00E764CC">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P</w:t>
      </w:r>
      <w:r w:rsidR="00E764CC">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P</w:t>
      </w:r>
      <w:r w:rsidR="00E764CC">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A</w:t>
      </w:r>
      <w:r w:rsidR="00E764CC">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 precum și avocați – formatori în cadrul I</w:t>
      </w:r>
      <w:r w:rsidR="00BF7BE6">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N</w:t>
      </w:r>
      <w:r w:rsidR="00BF7BE6">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P</w:t>
      </w:r>
      <w:r w:rsidR="00BF7BE6">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P</w:t>
      </w:r>
      <w:r w:rsidR="00BF7BE6">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A</w:t>
      </w:r>
      <w:r w:rsidR="00BF7BE6">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 după cum urmează:</w:t>
      </w:r>
    </w:p>
    <w:p w14:paraId="411BF6A7" w14:textId="18C67654" w:rsidR="00021845" w:rsidRPr="000D0B75" w:rsidRDefault="00021845" w:rsidP="00281400">
      <w:pPr>
        <w:pStyle w:val="ListParagraph"/>
        <w:numPr>
          <w:ilvl w:val="0"/>
          <w:numId w:val="33"/>
        </w:numPr>
        <w:spacing w:line="276" w:lineRule="auto"/>
        <w:jc w:val="both"/>
        <w:rPr>
          <w:rFonts w:asciiTheme="minorHAnsi" w:hAnsiTheme="minorHAnsi" w:cstheme="minorHAnsi"/>
          <w:color w:val="000000" w:themeColor="text1"/>
          <w:sz w:val="26"/>
          <w:szCs w:val="26"/>
        </w:rPr>
      </w:pPr>
      <w:r w:rsidRPr="000D0B75">
        <w:rPr>
          <w:rFonts w:asciiTheme="minorHAnsi" w:hAnsiTheme="minorHAnsi" w:cstheme="minorHAnsi"/>
          <w:color w:val="000000" w:themeColor="text1"/>
          <w:sz w:val="26"/>
          <w:szCs w:val="26"/>
        </w:rPr>
        <w:t>28 februarie 2025 - proces simulat în materia dreptului procesual civil, cu participarea  a 6 avocați stagiari, însoțiți de un formator al I</w:t>
      </w:r>
      <w:r w:rsidR="00BF7BE6" w:rsidRPr="000D0B75">
        <w:rPr>
          <w:rFonts w:asciiTheme="minorHAnsi" w:hAnsiTheme="minorHAnsi" w:cstheme="minorHAnsi"/>
          <w:color w:val="000000" w:themeColor="text1"/>
          <w:sz w:val="26"/>
          <w:szCs w:val="26"/>
        </w:rPr>
        <w:t>.</w:t>
      </w:r>
      <w:r w:rsidRPr="000D0B75">
        <w:rPr>
          <w:rFonts w:asciiTheme="minorHAnsi" w:hAnsiTheme="minorHAnsi" w:cstheme="minorHAnsi"/>
          <w:color w:val="000000" w:themeColor="text1"/>
          <w:sz w:val="26"/>
          <w:szCs w:val="26"/>
        </w:rPr>
        <w:t>N</w:t>
      </w:r>
      <w:r w:rsidR="00BF7BE6" w:rsidRPr="000D0B75">
        <w:rPr>
          <w:rFonts w:asciiTheme="minorHAnsi" w:hAnsiTheme="minorHAnsi" w:cstheme="minorHAnsi"/>
          <w:color w:val="000000" w:themeColor="text1"/>
          <w:sz w:val="26"/>
          <w:szCs w:val="26"/>
        </w:rPr>
        <w:t>.</w:t>
      </w:r>
      <w:r w:rsidRPr="000D0B75">
        <w:rPr>
          <w:rFonts w:asciiTheme="minorHAnsi" w:hAnsiTheme="minorHAnsi" w:cstheme="minorHAnsi"/>
          <w:color w:val="000000" w:themeColor="text1"/>
          <w:sz w:val="26"/>
          <w:szCs w:val="26"/>
        </w:rPr>
        <w:t>P</w:t>
      </w:r>
      <w:r w:rsidR="00BF7BE6" w:rsidRPr="000D0B75">
        <w:rPr>
          <w:rFonts w:asciiTheme="minorHAnsi" w:hAnsiTheme="minorHAnsi" w:cstheme="minorHAnsi"/>
          <w:color w:val="000000" w:themeColor="text1"/>
          <w:sz w:val="26"/>
          <w:szCs w:val="26"/>
        </w:rPr>
        <w:t>.</w:t>
      </w:r>
      <w:r w:rsidRPr="000D0B75">
        <w:rPr>
          <w:rFonts w:asciiTheme="minorHAnsi" w:hAnsiTheme="minorHAnsi" w:cstheme="minorHAnsi"/>
          <w:color w:val="000000" w:themeColor="text1"/>
          <w:sz w:val="26"/>
          <w:szCs w:val="26"/>
        </w:rPr>
        <w:t>P</w:t>
      </w:r>
      <w:r w:rsidR="00BF7BE6" w:rsidRPr="000D0B75">
        <w:rPr>
          <w:rFonts w:asciiTheme="minorHAnsi" w:hAnsiTheme="minorHAnsi" w:cstheme="minorHAnsi"/>
          <w:color w:val="000000" w:themeColor="text1"/>
          <w:sz w:val="26"/>
          <w:szCs w:val="26"/>
        </w:rPr>
        <w:t>.</w:t>
      </w:r>
      <w:r w:rsidRPr="000D0B75">
        <w:rPr>
          <w:rFonts w:asciiTheme="minorHAnsi" w:hAnsiTheme="minorHAnsi" w:cstheme="minorHAnsi"/>
          <w:color w:val="000000" w:themeColor="text1"/>
          <w:sz w:val="26"/>
          <w:szCs w:val="26"/>
        </w:rPr>
        <w:t>A</w:t>
      </w:r>
      <w:r w:rsidR="00BF7BE6" w:rsidRPr="000D0B75">
        <w:rPr>
          <w:rFonts w:asciiTheme="minorHAnsi" w:hAnsiTheme="minorHAnsi" w:cstheme="minorHAnsi"/>
          <w:color w:val="000000" w:themeColor="text1"/>
          <w:sz w:val="26"/>
          <w:szCs w:val="26"/>
        </w:rPr>
        <w:t>.</w:t>
      </w:r>
      <w:r w:rsidRPr="000D0B75">
        <w:rPr>
          <w:rFonts w:asciiTheme="minorHAnsi" w:hAnsiTheme="minorHAnsi" w:cstheme="minorHAnsi"/>
          <w:color w:val="000000" w:themeColor="text1"/>
          <w:sz w:val="26"/>
          <w:szCs w:val="26"/>
        </w:rPr>
        <w:t>;</w:t>
      </w:r>
    </w:p>
    <w:p w14:paraId="68D2476C" w14:textId="2A2DCE52" w:rsidR="00021845" w:rsidRPr="000D0B75" w:rsidRDefault="00021845" w:rsidP="00281400">
      <w:pPr>
        <w:pStyle w:val="ListParagraph"/>
        <w:numPr>
          <w:ilvl w:val="0"/>
          <w:numId w:val="33"/>
        </w:numPr>
        <w:spacing w:line="276" w:lineRule="auto"/>
        <w:jc w:val="both"/>
        <w:rPr>
          <w:rFonts w:asciiTheme="minorHAnsi" w:hAnsiTheme="minorHAnsi" w:cstheme="minorHAnsi"/>
          <w:color w:val="000000" w:themeColor="text1"/>
          <w:sz w:val="26"/>
          <w:szCs w:val="26"/>
        </w:rPr>
      </w:pPr>
      <w:r w:rsidRPr="000D0B75">
        <w:rPr>
          <w:rFonts w:asciiTheme="minorHAnsi" w:hAnsiTheme="minorHAnsi" w:cstheme="minorHAnsi"/>
          <w:color w:val="000000" w:themeColor="text1"/>
          <w:sz w:val="26"/>
          <w:szCs w:val="26"/>
        </w:rPr>
        <w:t>28 martie 2025 - proces simulat în materia dreptului civil, cu participarea a 5 avocați stagiari, însoțiți de un formator al I</w:t>
      </w:r>
      <w:r w:rsidR="00BF7BE6" w:rsidRPr="000D0B75">
        <w:rPr>
          <w:rFonts w:asciiTheme="minorHAnsi" w:hAnsiTheme="minorHAnsi" w:cstheme="minorHAnsi"/>
          <w:color w:val="000000" w:themeColor="text1"/>
          <w:sz w:val="26"/>
          <w:szCs w:val="26"/>
        </w:rPr>
        <w:t>.</w:t>
      </w:r>
      <w:r w:rsidRPr="000D0B75">
        <w:rPr>
          <w:rFonts w:asciiTheme="minorHAnsi" w:hAnsiTheme="minorHAnsi" w:cstheme="minorHAnsi"/>
          <w:color w:val="000000" w:themeColor="text1"/>
          <w:sz w:val="26"/>
          <w:szCs w:val="26"/>
        </w:rPr>
        <w:t>N</w:t>
      </w:r>
      <w:r w:rsidR="00BF7BE6" w:rsidRPr="000D0B75">
        <w:rPr>
          <w:rFonts w:asciiTheme="minorHAnsi" w:hAnsiTheme="minorHAnsi" w:cstheme="minorHAnsi"/>
          <w:color w:val="000000" w:themeColor="text1"/>
          <w:sz w:val="26"/>
          <w:szCs w:val="26"/>
        </w:rPr>
        <w:t>.</w:t>
      </w:r>
      <w:r w:rsidRPr="000D0B75">
        <w:rPr>
          <w:rFonts w:asciiTheme="minorHAnsi" w:hAnsiTheme="minorHAnsi" w:cstheme="minorHAnsi"/>
          <w:color w:val="000000" w:themeColor="text1"/>
          <w:sz w:val="26"/>
          <w:szCs w:val="26"/>
        </w:rPr>
        <w:t>P</w:t>
      </w:r>
      <w:r w:rsidR="00BF7BE6" w:rsidRPr="000D0B75">
        <w:rPr>
          <w:rFonts w:asciiTheme="minorHAnsi" w:hAnsiTheme="minorHAnsi" w:cstheme="minorHAnsi"/>
          <w:color w:val="000000" w:themeColor="text1"/>
          <w:sz w:val="26"/>
          <w:szCs w:val="26"/>
        </w:rPr>
        <w:t>.</w:t>
      </w:r>
      <w:r w:rsidRPr="000D0B75">
        <w:rPr>
          <w:rFonts w:asciiTheme="minorHAnsi" w:hAnsiTheme="minorHAnsi" w:cstheme="minorHAnsi"/>
          <w:color w:val="000000" w:themeColor="text1"/>
          <w:sz w:val="26"/>
          <w:szCs w:val="26"/>
        </w:rPr>
        <w:t>P</w:t>
      </w:r>
      <w:r w:rsidR="00BF7BE6" w:rsidRPr="000D0B75">
        <w:rPr>
          <w:rFonts w:asciiTheme="minorHAnsi" w:hAnsiTheme="minorHAnsi" w:cstheme="minorHAnsi"/>
          <w:color w:val="000000" w:themeColor="text1"/>
          <w:sz w:val="26"/>
          <w:szCs w:val="26"/>
        </w:rPr>
        <w:t>.</w:t>
      </w:r>
      <w:r w:rsidRPr="000D0B75">
        <w:rPr>
          <w:rFonts w:asciiTheme="minorHAnsi" w:hAnsiTheme="minorHAnsi" w:cstheme="minorHAnsi"/>
          <w:color w:val="000000" w:themeColor="text1"/>
          <w:sz w:val="26"/>
          <w:szCs w:val="26"/>
        </w:rPr>
        <w:t>A</w:t>
      </w:r>
      <w:r w:rsidR="00BF7BE6" w:rsidRPr="000D0B75">
        <w:rPr>
          <w:rFonts w:asciiTheme="minorHAnsi" w:hAnsiTheme="minorHAnsi" w:cstheme="minorHAnsi"/>
          <w:color w:val="000000" w:themeColor="text1"/>
          <w:sz w:val="26"/>
          <w:szCs w:val="26"/>
        </w:rPr>
        <w:t>.</w:t>
      </w:r>
      <w:r w:rsidRPr="000D0B75">
        <w:rPr>
          <w:rFonts w:asciiTheme="minorHAnsi" w:hAnsiTheme="minorHAnsi" w:cstheme="minorHAnsi"/>
          <w:color w:val="000000" w:themeColor="text1"/>
          <w:sz w:val="26"/>
          <w:szCs w:val="26"/>
        </w:rPr>
        <w:t>;</w:t>
      </w:r>
    </w:p>
    <w:p w14:paraId="660AE382" w14:textId="0A6019FD" w:rsidR="00021845" w:rsidRPr="001862D3" w:rsidRDefault="00021845" w:rsidP="00281400">
      <w:pPr>
        <w:pStyle w:val="ListParagraph"/>
        <w:numPr>
          <w:ilvl w:val="0"/>
          <w:numId w:val="33"/>
        </w:numPr>
        <w:spacing w:line="276" w:lineRule="auto"/>
        <w:jc w:val="both"/>
        <w:rPr>
          <w:rFonts w:asciiTheme="minorHAnsi" w:hAnsiTheme="minorHAnsi" w:cstheme="minorHAnsi"/>
          <w:color w:val="000000" w:themeColor="text1"/>
          <w:sz w:val="26"/>
          <w:szCs w:val="26"/>
          <w:lang w:val="es-ES"/>
        </w:rPr>
      </w:pPr>
      <w:r w:rsidRPr="001862D3">
        <w:rPr>
          <w:rFonts w:asciiTheme="minorHAnsi" w:hAnsiTheme="minorHAnsi" w:cstheme="minorHAnsi"/>
          <w:color w:val="000000" w:themeColor="text1"/>
          <w:sz w:val="26"/>
          <w:szCs w:val="26"/>
          <w:lang w:val="es-ES"/>
        </w:rPr>
        <w:t xml:space="preserve">7 </w:t>
      </w:r>
      <w:proofErr w:type="spellStart"/>
      <w:r w:rsidRPr="001862D3">
        <w:rPr>
          <w:rFonts w:asciiTheme="minorHAnsi" w:hAnsiTheme="minorHAnsi" w:cstheme="minorHAnsi"/>
          <w:color w:val="000000" w:themeColor="text1"/>
          <w:sz w:val="26"/>
          <w:szCs w:val="26"/>
          <w:lang w:val="es-ES"/>
        </w:rPr>
        <w:t>aprilie</w:t>
      </w:r>
      <w:proofErr w:type="spellEnd"/>
      <w:r w:rsidRPr="001862D3">
        <w:rPr>
          <w:rFonts w:asciiTheme="minorHAnsi" w:hAnsiTheme="minorHAnsi" w:cstheme="minorHAnsi"/>
          <w:color w:val="000000" w:themeColor="text1"/>
          <w:sz w:val="26"/>
          <w:szCs w:val="26"/>
          <w:lang w:val="es-ES"/>
        </w:rPr>
        <w:t xml:space="preserve"> 2025 - </w:t>
      </w:r>
      <w:proofErr w:type="spellStart"/>
      <w:r w:rsidRPr="001862D3">
        <w:rPr>
          <w:rFonts w:asciiTheme="minorHAnsi" w:hAnsiTheme="minorHAnsi" w:cstheme="minorHAnsi"/>
          <w:color w:val="000000" w:themeColor="text1"/>
          <w:sz w:val="26"/>
          <w:szCs w:val="26"/>
          <w:lang w:val="es-ES"/>
        </w:rPr>
        <w:t>proces</w:t>
      </w:r>
      <w:proofErr w:type="spellEnd"/>
      <w:r w:rsidRPr="001862D3">
        <w:rPr>
          <w:rFonts w:asciiTheme="minorHAnsi" w:hAnsiTheme="minorHAnsi" w:cstheme="minorHAnsi"/>
          <w:color w:val="000000" w:themeColor="text1"/>
          <w:sz w:val="26"/>
          <w:szCs w:val="26"/>
          <w:lang w:val="es-ES"/>
        </w:rPr>
        <w:t xml:space="preserve"> </w:t>
      </w:r>
      <w:proofErr w:type="spellStart"/>
      <w:r w:rsidRPr="001862D3">
        <w:rPr>
          <w:rFonts w:asciiTheme="minorHAnsi" w:hAnsiTheme="minorHAnsi" w:cstheme="minorHAnsi"/>
          <w:color w:val="000000" w:themeColor="text1"/>
          <w:sz w:val="26"/>
          <w:szCs w:val="26"/>
          <w:lang w:val="es-ES"/>
        </w:rPr>
        <w:t>simulat</w:t>
      </w:r>
      <w:proofErr w:type="spellEnd"/>
      <w:r w:rsidRPr="001862D3">
        <w:rPr>
          <w:rFonts w:asciiTheme="minorHAnsi" w:hAnsiTheme="minorHAnsi" w:cstheme="minorHAnsi"/>
          <w:color w:val="000000" w:themeColor="text1"/>
          <w:sz w:val="26"/>
          <w:szCs w:val="26"/>
          <w:lang w:val="es-ES"/>
        </w:rPr>
        <w:t xml:space="preserve"> </w:t>
      </w:r>
      <w:proofErr w:type="spellStart"/>
      <w:r w:rsidRPr="001862D3">
        <w:rPr>
          <w:rFonts w:asciiTheme="minorHAnsi" w:hAnsiTheme="minorHAnsi" w:cstheme="minorHAnsi"/>
          <w:color w:val="000000" w:themeColor="text1"/>
          <w:sz w:val="26"/>
          <w:szCs w:val="26"/>
          <w:lang w:val="es-ES"/>
        </w:rPr>
        <w:t>în</w:t>
      </w:r>
      <w:proofErr w:type="spellEnd"/>
      <w:r w:rsidRPr="001862D3">
        <w:rPr>
          <w:rFonts w:asciiTheme="minorHAnsi" w:hAnsiTheme="minorHAnsi" w:cstheme="minorHAnsi"/>
          <w:color w:val="000000" w:themeColor="text1"/>
          <w:sz w:val="26"/>
          <w:szCs w:val="26"/>
          <w:lang w:val="es-ES"/>
        </w:rPr>
        <w:t xml:space="preserve"> materia </w:t>
      </w:r>
      <w:proofErr w:type="spellStart"/>
      <w:r w:rsidRPr="001862D3">
        <w:rPr>
          <w:rFonts w:asciiTheme="minorHAnsi" w:hAnsiTheme="minorHAnsi" w:cstheme="minorHAnsi"/>
          <w:color w:val="000000" w:themeColor="text1"/>
          <w:sz w:val="26"/>
          <w:szCs w:val="26"/>
          <w:lang w:val="es-ES"/>
        </w:rPr>
        <w:t>dreptului</w:t>
      </w:r>
      <w:proofErr w:type="spellEnd"/>
      <w:r w:rsidRPr="001862D3">
        <w:rPr>
          <w:rFonts w:asciiTheme="minorHAnsi" w:hAnsiTheme="minorHAnsi" w:cstheme="minorHAnsi"/>
          <w:color w:val="000000" w:themeColor="text1"/>
          <w:sz w:val="26"/>
          <w:szCs w:val="26"/>
          <w:lang w:val="es-ES"/>
        </w:rPr>
        <w:t xml:space="preserve"> procesual penal, </w:t>
      </w:r>
      <w:proofErr w:type="spellStart"/>
      <w:r w:rsidRPr="001862D3">
        <w:rPr>
          <w:rFonts w:asciiTheme="minorHAnsi" w:hAnsiTheme="minorHAnsi" w:cstheme="minorHAnsi"/>
          <w:color w:val="000000" w:themeColor="text1"/>
          <w:sz w:val="26"/>
          <w:szCs w:val="26"/>
          <w:lang w:val="es-ES"/>
        </w:rPr>
        <w:t>cu</w:t>
      </w:r>
      <w:proofErr w:type="spellEnd"/>
      <w:r w:rsidRPr="001862D3">
        <w:rPr>
          <w:rFonts w:asciiTheme="minorHAnsi" w:hAnsiTheme="minorHAnsi" w:cstheme="minorHAnsi"/>
          <w:color w:val="000000" w:themeColor="text1"/>
          <w:sz w:val="26"/>
          <w:szCs w:val="26"/>
          <w:lang w:val="es-ES"/>
        </w:rPr>
        <w:t xml:space="preserve"> </w:t>
      </w:r>
      <w:proofErr w:type="spellStart"/>
      <w:r w:rsidRPr="001862D3">
        <w:rPr>
          <w:rFonts w:asciiTheme="minorHAnsi" w:hAnsiTheme="minorHAnsi" w:cstheme="minorHAnsi"/>
          <w:color w:val="000000" w:themeColor="text1"/>
          <w:sz w:val="26"/>
          <w:szCs w:val="26"/>
          <w:lang w:val="es-ES"/>
        </w:rPr>
        <w:t>participarea</w:t>
      </w:r>
      <w:proofErr w:type="spellEnd"/>
      <w:r w:rsidRPr="001862D3">
        <w:rPr>
          <w:rFonts w:asciiTheme="minorHAnsi" w:hAnsiTheme="minorHAnsi" w:cstheme="minorHAnsi"/>
          <w:color w:val="000000" w:themeColor="text1"/>
          <w:sz w:val="26"/>
          <w:szCs w:val="26"/>
          <w:lang w:val="es-ES"/>
        </w:rPr>
        <w:t xml:space="preserve"> a 10 </w:t>
      </w:r>
      <w:proofErr w:type="spellStart"/>
      <w:r w:rsidRPr="001862D3">
        <w:rPr>
          <w:rFonts w:asciiTheme="minorHAnsi" w:hAnsiTheme="minorHAnsi" w:cstheme="minorHAnsi"/>
          <w:color w:val="000000" w:themeColor="text1"/>
          <w:sz w:val="26"/>
          <w:szCs w:val="26"/>
          <w:lang w:val="es-ES"/>
        </w:rPr>
        <w:t>avocați</w:t>
      </w:r>
      <w:proofErr w:type="spellEnd"/>
      <w:r w:rsidRPr="001862D3">
        <w:rPr>
          <w:rFonts w:asciiTheme="minorHAnsi" w:hAnsiTheme="minorHAnsi" w:cstheme="minorHAnsi"/>
          <w:color w:val="000000" w:themeColor="text1"/>
          <w:sz w:val="26"/>
          <w:szCs w:val="26"/>
          <w:lang w:val="es-ES"/>
        </w:rPr>
        <w:t xml:space="preserve"> </w:t>
      </w:r>
      <w:proofErr w:type="spellStart"/>
      <w:r w:rsidRPr="001862D3">
        <w:rPr>
          <w:rFonts w:asciiTheme="minorHAnsi" w:hAnsiTheme="minorHAnsi" w:cstheme="minorHAnsi"/>
          <w:color w:val="000000" w:themeColor="text1"/>
          <w:sz w:val="26"/>
          <w:szCs w:val="26"/>
          <w:lang w:val="es-ES"/>
        </w:rPr>
        <w:t>stagiari</w:t>
      </w:r>
      <w:proofErr w:type="spellEnd"/>
      <w:r w:rsidRPr="001862D3">
        <w:rPr>
          <w:rFonts w:asciiTheme="minorHAnsi" w:hAnsiTheme="minorHAnsi" w:cstheme="minorHAnsi"/>
          <w:color w:val="000000" w:themeColor="text1"/>
          <w:sz w:val="26"/>
          <w:szCs w:val="26"/>
          <w:lang w:val="es-ES"/>
        </w:rPr>
        <w:t xml:space="preserve">, </w:t>
      </w:r>
      <w:proofErr w:type="spellStart"/>
      <w:r w:rsidRPr="001862D3">
        <w:rPr>
          <w:rFonts w:asciiTheme="minorHAnsi" w:hAnsiTheme="minorHAnsi" w:cstheme="minorHAnsi"/>
          <w:color w:val="000000" w:themeColor="text1"/>
          <w:sz w:val="26"/>
          <w:szCs w:val="26"/>
          <w:lang w:val="es-ES"/>
        </w:rPr>
        <w:t>însoțiți</w:t>
      </w:r>
      <w:proofErr w:type="spellEnd"/>
      <w:r w:rsidRPr="001862D3">
        <w:rPr>
          <w:rFonts w:asciiTheme="minorHAnsi" w:hAnsiTheme="minorHAnsi" w:cstheme="minorHAnsi"/>
          <w:color w:val="000000" w:themeColor="text1"/>
          <w:sz w:val="26"/>
          <w:szCs w:val="26"/>
          <w:lang w:val="es-ES"/>
        </w:rPr>
        <w:t xml:space="preserve"> de un </w:t>
      </w:r>
      <w:proofErr w:type="spellStart"/>
      <w:r w:rsidRPr="001862D3">
        <w:rPr>
          <w:rFonts w:asciiTheme="minorHAnsi" w:hAnsiTheme="minorHAnsi" w:cstheme="minorHAnsi"/>
          <w:color w:val="000000" w:themeColor="text1"/>
          <w:sz w:val="26"/>
          <w:szCs w:val="26"/>
          <w:lang w:val="es-ES"/>
        </w:rPr>
        <w:t>formator</w:t>
      </w:r>
      <w:proofErr w:type="spellEnd"/>
      <w:r w:rsidRPr="001862D3">
        <w:rPr>
          <w:rFonts w:asciiTheme="minorHAnsi" w:hAnsiTheme="minorHAnsi" w:cstheme="minorHAnsi"/>
          <w:color w:val="000000" w:themeColor="text1"/>
          <w:sz w:val="26"/>
          <w:szCs w:val="26"/>
          <w:lang w:val="es-ES"/>
        </w:rPr>
        <w:t xml:space="preserve"> al I</w:t>
      </w:r>
      <w:r w:rsidR="00BF7BE6">
        <w:rPr>
          <w:rFonts w:asciiTheme="minorHAnsi" w:hAnsiTheme="minorHAnsi" w:cstheme="minorHAnsi"/>
          <w:color w:val="000000" w:themeColor="text1"/>
          <w:sz w:val="26"/>
          <w:szCs w:val="26"/>
          <w:lang w:val="es-ES"/>
        </w:rPr>
        <w:t>.</w:t>
      </w:r>
      <w:r w:rsidRPr="001862D3">
        <w:rPr>
          <w:rFonts w:asciiTheme="minorHAnsi" w:hAnsiTheme="minorHAnsi" w:cstheme="minorHAnsi"/>
          <w:color w:val="000000" w:themeColor="text1"/>
          <w:sz w:val="26"/>
          <w:szCs w:val="26"/>
          <w:lang w:val="es-ES"/>
        </w:rPr>
        <w:t>N</w:t>
      </w:r>
      <w:r w:rsidR="00BF7BE6">
        <w:rPr>
          <w:rFonts w:asciiTheme="minorHAnsi" w:hAnsiTheme="minorHAnsi" w:cstheme="minorHAnsi"/>
          <w:color w:val="000000" w:themeColor="text1"/>
          <w:sz w:val="26"/>
          <w:szCs w:val="26"/>
          <w:lang w:val="es-ES"/>
        </w:rPr>
        <w:t>.</w:t>
      </w:r>
      <w:r w:rsidRPr="001862D3">
        <w:rPr>
          <w:rFonts w:asciiTheme="minorHAnsi" w:hAnsiTheme="minorHAnsi" w:cstheme="minorHAnsi"/>
          <w:color w:val="000000" w:themeColor="text1"/>
          <w:sz w:val="26"/>
          <w:szCs w:val="26"/>
          <w:lang w:val="es-ES"/>
        </w:rPr>
        <w:t>P</w:t>
      </w:r>
      <w:r w:rsidR="00BF7BE6">
        <w:rPr>
          <w:rFonts w:asciiTheme="minorHAnsi" w:hAnsiTheme="minorHAnsi" w:cstheme="minorHAnsi"/>
          <w:color w:val="000000" w:themeColor="text1"/>
          <w:sz w:val="26"/>
          <w:szCs w:val="26"/>
          <w:lang w:val="es-ES"/>
        </w:rPr>
        <w:t>.</w:t>
      </w:r>
      <w:r w:rsidRPr="001862D3">
        <w:rPr>
          <w:rFonts w:asciiTheme="minorHAnsi" w:hAnsiTheme="minorHAnsi" w:cstheme="minorHAnsi"/>
          <w:color w:val="000000" w:themeColor="text1"/>
          <w:sz w:val="26"/>
          <w:szCs w:val="26"/>
          <w:lang w:val="es-ES"/>
        </w:rPr>
        <w:t>P</w:t>
      </w:r>
      <w:r w:rsidR="00BF7BE6">
        <w:rPr>
          <w:rFonts w:asciiTheme="minorHAnsi" w:hAnsiTheme="minorHAnsi" w:cstheme="minorHAnsi"/>
          <w:color w:val="000000" w:themeColor="text1"/>
          <w:sz w:val="26"/>
          <w:szCs w:val="26"/>
          <w:lang w:val="es-ES"/>
        </w:rPr>
        <w:t>.</w:t>
      </w:r>
      <w:r w:rsidRPr="001862D3">
        <w:rPr>
          <w:rFonts w:asciiTheme="minorHAnsi" w:hAnsiTheme="minorHAnsi" w:cstheme="minorHAnsi"/>
          <w:color w:val="000000" w:themeColor="text1"/>
          <w:sz w:val="26"/>
          <w:szCs w:val="26"/>
          <w:lang w:val="es-ES"/>
        </w:rPr>
        <w:t>A</w:t>
      </w:r>
      <w:r w:rsidR="00BF7BE6">
        <w:rPr>
          <w:rFonts w:asciiTheme="minorHAnsi" w:hAnsiTheme="minorHAnsi" w:cstheme="minorHAnsi"/>
          <w:color w:val="000000" w:themeColor="text1"/>
          <w:sz w:val="26"/>
          <w:szCs w:val="26"/>
          <w:lang w:val="es-ES"/>
        </w:rPr>
        <w:t>.</w:t>
      </w:r>
      <w:r w:rsidRPr="001862D3">
        <w:rPr>
          <w:rFonts w:asciiTheme="minorHAnsi" w:hAnsiTheme="minorHAnsi" w:cstheme="minorHAnsi"/>
          <w:color w:val="000000" w:themeColor="text1"/>
          <w:sz w:val="26"/>
          <w:szCs w:val="26"/>
          <w:lang w:val="es-ES"/>
        </w:rPr>
        <w:t>;</w:t>
      </w:r>
    </w:p>
    <w:p w14:paraId="4AC6D3EF" w14:textId="452859D4" w:rsidR="00021845" w:rsidRPr="001862D3" w:rsidRDefault="00021845" w:rsidP="00281400">
      <w:pPr>
        <w:pStyle w:val="ListParagraph"/>
        <w:numPr>
          <w:ilvl w:val="0"/>
          <w:numId w:val="33"/>
        </w:numPr>
        <w:spacing w:line="276" w:lineRule="auto"/>
        <w:jc w:val="both"/>
        <w:rPr>
          <w:rFonts w:asciiTheme="minorHAnsi" w:hAnsiTheme="minorHAnsi" w:cstheme="minorHAnsi"/>
          <w:color w:val="000000" w:themeColor="text1"/>
          <w:sz w:val="26"/>
          <w:szCs w:val="26"/>
          <w:lang w:val="es-ES"/>
        </w:rPr>
      </w:pPr>
      <w:r w:rsidRPr="001862D3">
        <w:rPr>
          <w:rFonts w:asciiTheme="minorHAnsi" w:hAnsiTheme="minorHAnsi" w:cstheme="minorHAnsi"/>
          <w:color w:val="000000" w:themeColor="text1"/>
          <w:sz w:val="26"/>
          <w:szCs w:val="26"/>
          <w:lang w:val="es-ES"/>
        </w:rPr>
        <w:lastRenderedPageBreak/>
        <w:t xml:space="preserve">12 </w:t>
      </w:r>
      <w:proofErr w:type="spellStart"/>
      <w:r w:rsidRPr="001862D3">
        <w:rPr>
          <w:rFonts w:asciiTheme="minorHAnsi" w:hAnsiTheme="minorHAnsi" w:cstheme="minorHAnsi"/>
          <w:color w:val="000000" w:themeColor="text1"/>
          <w:sz w:val="26"/>
          <w:szCs w:val="26"/>
          <w:lang w:val="es-ES"/>
        </w:rPr>
        <w:t>septembrie</w:t>
      </w:r>
      <w:proofErr w:type="spellEnd"/>
      <w:r w:rsidRPr="001862D3">
        <w:rPr>
          <w:rFonts w:asciiTheme="minorHAnsi" w:hAnsiTheme="minorHAnsi" w:cstheme="minorHAnsi"/>
          <w:color w:val="000000" w:themeColor="text1"/>
          <w:sz w:val="26"/>
          <w:szCs w:val="26"/>
          <w:lang w:val="es-ES"/>
        </w:rPr>
        <w:t xml:space="preserve"> 2025 - </w:t>
      </w:r>
      <w:proofErr w:type="spellStart"/>
      <w:r w:rsidRPr="001862D3">
        <w:rPr>
          <w:rFonts w:asciiTheme="minorHAnsi" w:hAnsiTheme="minorHAnsi" w:cstheme="minorHAnsi"/>
          <w:color w:val="000000" w:themeColor="text1"/>
          <w:sz w:val="26"/>
          <w:szCs w:val="26"/>
          <w:lang w:val="es-ES"/>
        </w:rPr>
        <w:t>proces</w:t>
      </w:r>
      <w:proofErr w:type="spellEnd"/>
      <w:r w:rsidRPr="001862D3">
        <w:rPr>
          <w:rFonts w:asciiTheme="minorHAnsi" w:hAnsiTheme="minorHAnsi" w:cstheme="minorHAnsi"/>
          <w:color w:val="000000" w:themeColor="text1"/>
          <w:sz w:val="26"/>
          <w:szCs w:val="26"/>
          <w:lang w:val="es-ES"/>
        </w:rPr>
        <w:t xml:space="preserve"> </w:t>
      </w:r>
      <w:proofErr w:type="spellStart"/>
      <w:r w:rsidRPr="001862D3">
        <w:rPr>
          <w:rFonts w:asciiTheme="minorHAnsi" w:hAnsiTheme="minorHAnsi" w:cstheme="minorHAnsi"/>
          <w:color w:val="000000" w:themeColor="text1"/>
          <w:sz w:val="26"/>
          <w:szCs w:val="26"/>
          <w:lang w:val="es-ES"/>
        </w:rPr>
        <w:t>simulat</w:t>
      </w:r>
      <w:proofErr w:type="spellEnd"/>
      <w:r w:rsidRPr="001862D3">
        <w:rPr>
          <w:rFonts w:asciiTheme="minorHAnsi" w:hAnsiTheme="minorHAnsi" w:cstheme="minorHAnsi"/>
          <w:color w:val="000000" w:themeColor="text1"/>
          <w:sz w:val="26"/>
          <w:szCs w:val="26"/>
          <w:lang w:val="es-ES"/>
        </w:rPr>
        <w:t xml:space="preserve"> </w:t>
      </w:r>
      <w:proofErr w:type="spellStart"/>
      <w:r w:rsidRPr="001862D3">
        <w:rPr>
          <w:rFonts w:asciiTheme="minorHAnsi" w:hAnsiTheme="minorHAnsi" w:cstheme="minorHAnsi"/>
          <w:color w:val="000000" w:themeColor="text1"/>
          <w:sz w:val="26"/>
          <w:szCs w:val="26"/>
          <w:lang w:val="es-ES"/>
        </w:rPr>
        <w:t>în</w:t>
      </w:r>
      <w:proofErr w:type="spellEnd"/>
      <w:r w:rsidRPr="001862D3">
        <w:rPr>
          <w:rFonts w:asciiTheme="minorHAnsi" w:hAnsiTheme="minorHAnsi" w:cstheme="minorHAnsi"/>
          <w:color w:val="000000" w:themeColor="text1"/>
          <w:sz w:val="26"/>
          <w:szCs w:val="26"/>
          <w:lang w:val="es-ES"/>
        </w:rPr>
        <w:t xml:space="preserve"> materia </w:t>
      </w:r>
      <w:proofErr w:type="spellStart"/>
      <w:r w:rsidRPr="001862D3">
        <w:rPr>
          <w:rFonts w:asciiTheme="minorHAnsi" w:hAnsiTheme="minorHAnsi" w:cstheme="minorHAnsi"/>
          <w:color w:val="000000" w:themeColor="text1"/>
          <w:sz w:val="26"/>
          <w:szCs w:val="26"/>
          <w:lang w:val="es-ES"/>
        </w:rPr>
        <w:t>litigii</w:t>
      </w:r>
      <w:proofErr w:type="spellEnd"/>
      <w:r w:rsidRPr="001862D3">
        <w:rPr>
          <w:rFonts w:asciiTheme="minorHAnsi" w:hAnsiTheme="minorHAnsi" w:cstheme="minorHAnsi"/>
          <w:color w:val="000000" w:themeColor="text1"/>
          <w:sz w:val="26"/>
          <w:szCs w:val="26"/>
          <w:lang w:val="es-ES"/>
        </w:rPr>
        <w:t xml:space="preserve"> </w:t>
      </w:r>
      <w:proofErr w:type="spellStart"/>
      <w:r w:rsidRPr="001862D3">
        <w:rPr>
          <w:rFonts w:asciiTheme="minorHAnsi" w:hAnsiTheme="minorHAnsi" w:cstheme="minorHAnsi"/>
          <w:color w:val="000000" w:themeColor="text1"/>
          <w:sz w:val="26"/>
          <w:szCs w:val="26"/>
          <w:lang w:val="es-ES"/>
        </w:rPr>
        <w:t>cu</w:t>
      </w:r>
      <w:proofErr w:type="spellEnd"/>
      <w:r w:rsidRPr="001862D3">
        <w:rPr>
          <w:rFonts w:asciiTheme="minorHAnsi" w:hAnsiTheme="minorHAnsi" w:cstheme="minorHAnsi"/>
          <w:color w:val="000000" w:themeColor="text1"/>
          <w:sz w:val="26"/>
          <w:szCs w:val="26"/>
          <w:lang w:val="es-ES"/>
        </w:rPr>
        <w:t xml:space="preserve"> </w:t>
      </w:r>
      <w:proofErr w:type="spellStart"/>
      <w:r w:rsidRPr="001862D3">
        <w:rPr>
          <w:rFonts w:asciiTheme="minorHAnsi" w:hAnsiTheme="minorHAnsi" w:cstheme="minorHAnsi"/>
          <w:color w:val="000000" w:themeColor="text1"/>
          <w:sz w:val="26"/>
          <w:szCs w:val="26"/>
          <w:lang w:val="es-ES"/>
        </w:rPr>
        <w:t>profesioniști</w:t>
      </w:r>
      <w:proofErr w:type="spellEnd"/>
      <w:r w:rsidRPr="001862D3">
        <w:rPr>
          <w:rFonts w:asciiTheme="minorHAnsi" w:hAnsiTheme="minorHAnsi" w:cstheme="minorHAnsi"/>
          <w:color w:val="000000" w:themeColor="text1"/>
          <w:sz w:val="26"/>
          <w:szCs w:val="26"/>
          <w:lang w:val="es-ES"/>
        </w:rPr>
        <w:t xml:space="preserve">, </w:t>
      </w:r>
      <w:proofErr w:type="spellStart"/>
      <w:r w:rsidRPr="001862D3">
        <w:rPr>
          <w:rFonts w:asciiTheme="minorHAnsi" w:hAnsiTheme="minorHAnsi" w:cstheme="minorHAnsi"/>
          <w:color w:val="000000" w:themeColor="text1"/>
          <w:sz w:val="26"/>
          <w:szCs w:val="26"/>
          <w:lang w:val="es-ES"/>
        </w:rPr>
        <w:t>cu</w:t>
      </w:r>
      <w:proofErr w:type="spellEnd"/>
      <w:r w:rsidRPr="001862D3">
        <w:rPr>
          <w:rFonts w:asciiTheme="minorHAnsi" w:hAnsiTheme="minorHAnsi" w:cstheme="minorHAnsi"/>
          <w:color w:val="000000" w:themeColor="text1"/>
          <w:sz w:val="26"/>
          <w:szCs w:val="26"/>
          <w:lang w:val="es-ES"/>
        </w:rPr>
        <w:t xml:space="preserve"> </w:t>
      </w:r>
      <w:proofErr w:type="spellStart"/>
      <w:r w:rsidRPr="001862D3">
        <w:rPr>
          <w:rFonts w:asciiTheme="minorHAnsi" w:hAnsiTheme="minorHAnsi" w:cstheme="minorHAnsi"/>
          <w:color w:val="000000" w:themeColor="text1"/>
          <w:sz w:val="26"/>
          <w:szCs w:val="26"/>
          <w:lang w:val="es-ES"/>
        </w:rPr>
        <w:t>participarea</w:t>
      </w:r>
      <w:proofErr w:type="spellEnd"/>
      <w:r w:rsidRPr="001862D3">
        <w:rPr>
          <w:rFonts w:asciiTheme="minorHAnsi" w:hAnsiTheme="minorHAnsi" w:cstheme="minorHAnsi"/>
          <w:color w:val="000000" w:themeColor="text1"/>
          <w:sz w:val="26"/>
          <w:szCs w:val="26"/>
          <w:lang w:val="es-ES"/>
        </w:rPr>
        <w:t xml:space="preserve"> a 6 </w:t>
      </w:r>
      <w:proofErr w:type="spellStart"/>
      <w:r w:rsidRPr="001862D3">
        <w:rPr>
          <w:rFonts w:asciiTheme="minorHAnsi" w:hAnsiTheme="minorHAnsi" w:cstheme="minorHAnsi"/>
          <w:color w:val="000000" w:themeColor="text1"/>
          <w:sz w:val="26"/>
          <w:szCs w:val="26"/>
          <w:lang w:val="es-ES"/>
        </w:rPr>
        <w:t>avocați</w:t>
      </w:r>
      <w:proofErr w:type="spellEnd"/>
      <w:r w:rsidRPr="001862D3">
        <w:rPr>
          <w:rFonts w:asciiTheme="minorHAnsi" w:hAnsiTheme="minorHAnsi" w:cstheme="minorHAnsi"/>
          <w:color w:val="000000" w:themeColor="text1"/>
          <w:sz w:val="26"/>
          <w:szCs w:val="26"/>
          <w:lang w:val="es-ES"/>
        </w:rPr>
        <w:t xml:space="preserve"> </w:t>
      </w:r>
      <w:proofErr w:type="spellStart"/>
      <w:r w:rsidRPr="001862D3">
        <w:rPr>
          <w:rFonts w:asciiTheme="minorHAnsi" w:hAnsiTheme="minorHAnsi" w:cstheme="minorHAnsi"/>
          <w:color w:val="000000" w:themeColor="text1"/>
          <w:sz w:val="26"/>
          <w:szCs w:val="26"/>
          <w:lang w:val="es-ES"/>
        </w:rPr>
        <w:t>stagiari</w:t>
      </w:r>
      <w:proofErr w:type="spellEnd"/>
      <w:r w:rsidRPr="001862D3">
        <w:rPr>
          <w:rFonts w:asciiTheme="minorHAnsi" w:hAnsiTheme="minorHAnsi" w:cstheme="minorHAnsi"/>
          <w:color w:val="000000" w:themeColor="text1"/>
          <w:sz w:val="26"/>
          <w:szCs w:val="26"/>
          <w:lang w:val="es-ES"/>
        </w:rPr>
        <w:t xml:space="preserve">, </w:t>
      </w:r>
      <w:proofErr w:type="spellStart"/>
      <w:r w:rsidRPr="001862D3">
        <w:rPr>
          <w:rFonts w:asciiTheme="minorHAnsi" w:hAnsiTheme="minorHAnsi" w:cstheme="minorHAnsi"/>
          <w:color w:val="000000" w:themeColor="text1"/>
          <w:sz w:val="26"/>
          <w:szCs w:val="26"/>
          <w:lang w:val="es-ES"/>
        </w:rPr>
        <w:t>însoțiți</w:t>
      </w:r>
      <w:proofErr w:type="spellEnd"/>
      <w:r w:rsidRPr="001862D3">
        <w:rPr>
          <w:rFonts w:asciiTheme="minorHAnsi" w:hAnsiTheme="minorHAnsi" w:cstheme="minorHAnsi"/>
          <w:color w:val="000000" w:themeColor="text1"/>
          <w:sz w:val="26"/>
          <w:szCs w:val="26"/>
          <w:lang w:val="es-ES"/>
        </w:rPr>
        <w:t xml:space="preserve"> de un </w:t>
      </w:r>
      <w:proofErr w:type="spellStart"/>
      <w:r w:rsidRPr="001862D3">
        <w:rPr>
          <w:rFonts w:asciiTheme="minorHAnsi" w:hAnsiTheme="minorHAnsi" w:cstheme="minorHAnsi"/>
          <w:color w:val="000000" w:themeColor="text1"/>
          <w:sz w:val="26"/>
          <w:szCs w:val="26"/>
          <w:lang w:val="es-ES"/>
        </w:rPr>
        <w:t>formator</w:t>
      </w:r>
      <w:proofErr w:type="spellEnd"/>
      <w:r w:rsidRPr="001862D3">
        <w:rPr>
          <w:rFonts w:asciiTheme="minorHAnsi" w:hAnsiTheme="minorHAnsi" w:cstheme="minorHAnsi"/>
          <w:color w:val="000000" w:themeColor="text1"/>
          <w:sz w:val="26"/>
          <w:szCs w:val="26"/>
          <w:lang w:val="es-ES"/>
        </w:rPr>
        <w:t xml:space="preserve"> al I</w:t>
      </w:r>
      <w:r w:rsidR="00BF7BE6">
        <w:rPr>
          <w:rFonts w:asciiTheme="minorHAnsi" w:hAnsiTheme="minorHAnsi" w:cstheme="minorHAnsi"/>
          <w:color w:val="000000" w:themeColor="text1"/>
          <w:sz w:val="26"/>
          <w:szCs w:val="26"/>
          <w:lang w:val="es-ES"/>
        </w:rPr>
        <w:t>.</w:t>
      </w:r>
      <w:r w:rsidRPr="001862D3">
        <w:rPr>
          <w:rFonts w:asciiTheme="minorHAnsi" w:hAnsiTheme="minorHAnsi" w:cstheme="minorHAnsi"/>
          <w:color w:val="000000" w:themeColor="text1"/>
          <w:sz w:val="26"/>
          <w:szCs w:val="26"/>
          <w:lang w:val="es-ES"/>
        </w:rPr>
        <w:t>N</w:t>
      </w:r>
      <w:r w:rsidR="00BF7BE6">
        <w:rPr>
          <w:rFonts w:asciiTheme="minorHAnsi" w:hAnsiTheme="minorHAnsi" w:cstheme="minorHAnsi"/>
          <w:color w:val="000000" w:themeColor="text1"/>
          <w:sz w:val="26"/>
          <w:szCs w:val="26"/>
          <w:lang w:val="es-ES"/>
        </w:rPr>
        <w:t>.</w:t>
      </w:r>
      <w:r w:rsidRPr="001862D3">
        <w:rPr>
          <w:rFonts w:asciiTheme="minorHAnsi" w:hAnsiTheme="minorHAnsi" w:cstheme="minorHAnsi"/>
          <w:color w:val="000000" w:themeColor="text1"/>
          <w:sz w:val="26"/>
          <w:szCs w:val="26"/>
          <w:lang w:val="es-ES"/>
        </w:rPr>
        <w:t>P</w:t>
      </w:r>
      <w:r w:rsidR="00BF7BE6">
        <w:rPr>
          <w:rFonts w:asciiTheme="minorHAnsi" w:hAnsiTheme="minorHAnsi" w:cstheme="minorHAnsi"/>
          <w:color w:val="000000" w:themeColor="text1"/>
          <w:sz w:val="26"/>
          <w:szCs w:val="26"/>
          <w:lang w:val="es-ES"/>
        </w:rPr>
        <w:t>.</w:t>
      </w:r>
      <w:r w:rsidRPr="001862D3">
        <w:rPr>
          <w:rFonts w:asciiTheme="minorHAnsi" w:hAnsiTheme="minorHAnsi" w:cstheme="minorHAnsi"/>
          <w:color w:val="000000" w:themeColor="text1"/>
          <w:sz w:val="26"/>
          <w:szCs w:val="26"/>
          <w:lang w:val="es-ES"/>
        </w:rPr>
        <w:t>P</w:t>
      </w:r>
      <w:r w:rsidR="00BF7BE6">
        <w:rPr>
          <w:rFonts w:asciiTheme="minorHAnsi" w:hAnsiTheme="minorHAnsi" w:cstheme="minorHAnsi"/>
          <w:color w:val="000000" w:themeColor="text1"/>
          <w:sz w:val="26"/>
          <w:szCs w:val="26"/>
          <w:lang w:val="es-ES"/>
        </w:rPr>
        <w:t>.</w:t>
      </w:r>
      <w:r w:rsidRPr="001862D3">
        <w:rPr>
          <w:rFonts w:asciiTheme="minorHAnsi" w:hAnsiTheme="minorHAnsi" w:cstheme="minorHAnsi"/>
          <w:color w:val="000000" w:themeColor="text1"/>
          <w:sz w:val="26"/>
          <w:szCs w:val="26"/>
          <w:lang w:val="es-ES"/>
        </w:rPr>
        <w:t>A</w:t>
      </w:r>
      <w:r w:rsidR="00BF7BE6">
        <w:rPr>
          <w:rFonts w:asciiTheme="minorHAnsi" w:hAnsiTheme="minorHAnsi" w:cstheme="minorHAnsi"/>
          <w:color w:val="000000" w:themeColor="text1"/>
          <w:sz w:val="26"/>
          <w:szCs w:val="26"/>
          <w:lang w:val="es-ES"/>
        </w:rPr>
        <w:t>.</w:t>
      </w:r>
      <w:r w:rsidRPr="001862D3">
        <w:rPr>
          <w:rFonts w:asciiTheme="minorHAnsi" w:hAnsiTheme="minorHAnsi" w:cstheme="minorHAnsi"/>
          <w:color w:val="000000" w:themeColor="text1"/>
          <w:sz w:val="26"/>
          <w:szCs w:val="26"/>
          <w:lang w:val="es-ES"/>
        </w:rPr>
        <w:t>;</w:t>
      </w:r>
    </w:p>
    <w:p w14:paraId="2123C1BE" w14:textId="7B5D2A77" w:rsidR="00021845" w:rsidRDefault="00021845" w:rsidP="00281400">
      <w:pPr>
        <w:pStyle w:val="ListParagraph"/>
        <w:numPr>
          <w:ilvl w:val="0"/>
          <w:numId w:val="33"/>
        </w:numPr>
        <w:spacing w:line="276" w:lineRule="auto"/>
        <w:jc w:val="both"/>
        <w:rPr>
          <w:rFonts w:asciiTheme="minorHAnsi" w:hAnsiTheme="minorHAnsi" w:cstheme="minorHAnsi"/>
          <w:color w:val="000000" w:themeColor="text1"/>
          <w:sz w:val="26"/>
          <w:szCs w:val="26"/>
        </w:rPr>
      </w:pPr>
      <w:r w:rsidRPr="000D0B75">
        <w:rPr>
          <w:rFonts w:asciiTheme="minorHAnsi" w:hAnsiTheme="minorHAnsi" w:cstheme="minorHAnsi"/>
          <w:color w:val="000000" w:themeColor="text1"/>
          <w:sz w:val="26"/>
          <w:szCs w:val="26"/>
        </w:rPr>
        <w:t>12 septembrie 2025 - proces simulat în materia dreptului familiei, cu participarea a 5 avocați stagiari, însoțiți de un formator al I</w:t>
      </w:r>
      <w:r w:rsidR="00BF7BE6" w:rsidRPr="000D0B75">
        <w:rPr>
          <w:rFonts w:asciiTheme="minorHAnsi" w:hAnsiTheme="minorHAnsi" w:cstheme="minorHAnsi"/>
          <w:color w:val="000000" w:themeColor="text1"/>
          <w:sz w:val="26"/>
          <w:szCs w:val="26"/>
        </w:rPr>
        <w:t>.</w:t>
      </w:r>
      <w:r w:rsidRPr="000D0B75">
        <w:rPr>
          <w:rFonts w:asciiTheme="minorHAnsi" w:hAnsiTheme="minorHAnsi" w:cstheme="minorHAnsi"/>
          <w:color w:val="000000" w:themeColor="text1"/>
          <w:sz w:val="26"/>
          <w:szCs w:val="26"/>
        </w:rPr>
        <w:t>N</w:t>
      </w:r>
      <w:r w:rsidR="00BF7BE6" w:rsidRPr="000D0B75">
        <w:rPr>
          <w:rFonts w:asciiTheme="minorHAnsi" w:hAnsiTheme="minorHAnsi" w:cstheme="minorHAnsi"/>
          <w:color w:val="000000" w:themeColor="text1"/>
          <w:sz w:val="26"/>
          <w:szCs w:val="26"/>
        </w:rPr>
        <w:t>.</w:t>
      </w:r>
      <w:r w:rsidRPr="000D0B75">
        <w:rPr>
          <w:rFonts w:asciiTheme="minorHAnsi" w:hAnsiTheme="minorHAnsi" w:cstheme="minorHAnsi"/>
          <w:color w:val="000000" w:themeColor="text1"/>
          <w:sz w:val="26"/>
          <w:szCs w:val="26"/>
        </w:rPr>
        <w:t>P</w:t>
      </w:r>
      <w:r w:rsidR="00BF7BE6" w:rsidRPr="000D0B75">
        <w:rPr>
          <w:rFonts w:asciiTheme="minorHAnsi" w:hAnsiTheme="minorHAnsi" w:cstheme="minorHAnsi"/>
          <w:color w:val="000000" w:themeColor="text1"/>
          <w:sz w:val="26"/>
          <w:szCs w:val="26"/>
        </w:rPr>
        <w:t>.</w:t>
      </w:r>
      <w:r w:rsidRPr="000D0B75">
        <w:rPr>
          <w:rFonts w:asciiTheme="minorHAnsi" w:hAnsiTheme="minorHAnsi" w:cstheme="minorHAnsi"/>
          <w:color w:val="000000" w:themeColor="text1"/>
          <w:sz w:val="26"/>
          <w:szCs w:val="26"/>
        </w:rPr>
        <w:t>P</w:t>
      </w:r>
      <w:r w:rsidR="00BF7BE6" w:rsidRPr="000D0B75">
        <w:rPr>
          <w:rFonts w:asciiTheme="minorHAnsi" w:hAnsiTheme="minorHAnsi" w:cstheme="minorHAnsi"/>
          <w:color w:val="000000" w:themeColor="text1"/>
          <w:sz w:val="26"/>
          <w:szCs w:val="26"/>
        </w:rPr>
        <w:t>.</w:t>
      </w:r>
      <w:r w:rsidRPr="000D0B75">
        <w:rPr>
          <w:rFonts w:asciiTheme="minorHAnsi" w:hAnsiTheme="minorHAnsi" w:cstheme="minorHAnsi"/>
          <w:color w:val="000000" w:themeColor="text1"/>
          <w:sz w:val="26"/>
          <w:szCs w:val="26"/>
        </w:rPr>
        <w:t>A</w:t>
      </w:r>
      <w:r w:rsidR="00BF7BE6" w:rsidRPr="000D0B75">
        <w:rPr>
          <w:rFonts w:asciiTheme="minorHAnsi" w:hAnsiTheme="minorHAnsi" w:cstheme="minorHAnsi"/>
          <w:color w:val="000000" w:themeColor="text1"/>
          <w:sz w:val="26"/>
          <w:szCs w:val="26"/>
        </w:rPr>
        <w:t>.</w:t>
      </w:r>
      <w:r w:rsidRPr="000D0B75">
        <w:rPr>
          <w:rFonts w:asciiTheme="minorHAnsi" w:hAnsiTheme="minorHAnsi" w:cstheme="minorHAnsi"/>
          <w:color w:val="000000" w:themeColor="text1"/>
          <w:sz w:val="26"/>
          <w:szCs w:val="26"/>
        </w:rPr>
        <w:t>.</w:t>
      </w:r>
    </w:p>
    <w:p w14:paraId="7FA176E6" w14:textId="77777777" w:rsidR="00D40084" w:rsidRPr="006E7638" w:rsidRDefault="00D40084" w:rsidP="00D40084">
      <w:pPr>
        <w:pStyle w:val="ListParagraph"/>
        <w:spacing w:line="276" w:lineRule="auto"/>
        <w:ind w:left="0" w:firstLine="720"/>
        <w:jc w:val="both"/>
        <w:rPr>
          <w:rFonts w:asciiTheme="minorHAnsi" w:hAnsiTheme="minorHAnsi" w:cstheme="minorHAnsi"/>
          <w:sz w:val="26"/>
          <w:szCs w:val="26"/>
        </w:rPr>
      </w:pPr>
      <w:r w:rsidRPr="006E7638">
        <w:rPr>
          <w:rFonts w:asciiTheme="minorHAnsi" w:hAnsiTheme="minorHAnsi" w:cstheme="minorHAnsi"/>
          <w:sz w:val="26"/>
          <w:szCs w:val="26"/>
        </w:rPr>
        <w:t xml:space="preserve">La data de 26 noiembrie 2025, Institutul Național al Magistraturii a organizat evenimentul „Între robă și ie: demnitate, justiție, tradiție”, un prilej de a sărbători Ziua Națională și de a reflecta, într-un cadru solemn, asupra misiunii justiției și a rolului magistraturii în societate. Mesajele transmise cu acest prilej, alături de prezentările susținute de invitați, au subliniat contribuția fundamentală a magistraților la procesul unirii și la consolidarea structurilor statului român modern. </w:t>
      </w:r>
    </w:p>
    <w:p w14:paraId="73CC6538" w14:textId="77777777" w:rsidR="00021845" w:rsidRPr="001862D3" w:rsidRDefault="00021845" w:rsidP="009E3AD8">
      <w:pPr>
        <w:shd w:val="clear" w:color="auto" w:fill="FFFFFF" w:themeFill="background1"/>
        <w:spacing w:line="276" w:lineRule="auto"/>
        <w:jc w:val="both"/>
        <w:rPr>
          <w:rFonts w:asciiTheme="minorHAnsi" w:hAnsiTheme="minorHAnsi" w:cstheme="minorHAnsi"/>
          <w:color w:val="000000" w:themeColor="text1"/>
          <w:sz w:val="26"/>
          <w:szCs w:val="26"/>
        </w:rPr>
      </w:pPr>
      <w:r w:rsidRPr="001862D3">
        <w:rPr>
          <w:rFonts w:asciiTheme="minorHAnsi" w:hAnsiTheme="minorHAnsi" w:cstheme="minorHAnsi"/>
          <w:b/>
          <w:color w:val="000000" w:themeColor="text1"/>
          <w:sz w:val="26"/>
          <w:szCs w:val="26"/>
        </w:rPr>
        <w:tab/>
        <w:t>Stagiu de practică - studenți ai facultăților de drept</w:t>
      </w:r>
      <w:r w:rsidRPr="001862D3">
        <w:rPr>
          <w:rFonts w:asciiTheme="minorHAnsi" w:hAnsiTheme="minorHAnsi" w:cstheme="minorHAnsi"/>
          <w:color w:val="000000" w:themeColor="text1"/>
          <w:sz w:val="26"/>
          <w:szCs w:val="26"/>
        </w:rPr>
        <w:t xml:space="preserve"> </w:t>
      </w:r>
    </w:p>
    <w:p w14:paraId="03541553" w14:textId="5ACB7988" w:rsidR="00021845" w:rsidRPr="001862D3" w:rsidRDefault="00021845" w:rsidP="009E3AD8">
      <w:pPr>
        <w:shd w:val="clear" w:color="auto" w:fill="FFFFFF" w:themeFill="background1"/>
        <w:spacing w:line="276" w:lineRule="auto"/>
        <w:ind w:firstLine="720"/>
        <w:jc w:val="both"/>
        <w:rPr>
          <w:rFonts w:asciiTheme="minorHAnsi" w:hAnsiTheme="minorHAnsi" w:cstheme="minorHAnsi"/>
          <w:color w:val="000000" w:themeColor="text1"/>
          <w:sz w:val="26"/>
          <w:szCs w:val="26"/>
        </w:rPr>
      </w:pPr>
      <w:r w:rsidRPr="001862D3">
        <w:rPr>
          <w:rFonts w:asciiTheme="minorHAnsi" w:hAnsiTheme="minorHAnsi" w:cstheme="minorHAnsi"/>
          <w:color w:val="000000" w:themeColor="text1"/>
          <w:sz w:val="26"/>
          <w:szCs w:val="26"/>
        </w:rPr>
        <w:t>În perioada 24 martie – 11 aprilie 2025, 7 studenți ai Facultății de Drept din cadrul Universității din București au efectuat stagii de practică în cadrul I</w:t>
      </w:r>
      <w:r w:rsidR="00BF7BE6">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N</w:t>
      </w:r>
      <w:r w:rsidR="00BF7BE6">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M</w:t>
      </w:r>
      <w:r w:rsidR="00BF7BE6">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 xml:space="preserve">, context în care au asistat la activități specifice formării auditorilor de justiție și au participat la întâlniri cu reprezentanți ai Institutului. </w:t>
      </w:r>
    </w:p>
    <w:p w14:paraId="4BC2CDEB" w14:textId="4B022A40" w:rsidR="00021845" w:rsidRPr="001862D3" w:rsidRDefault="00021845" w:rsidP="009E3AD8">
      <w:pPr>
        <w:spacing w:after="160" w:line="276" w:lineRule="auto"/>
        <w:ind w:firstLine="720"/>
        <w:contextualSpacing/>
        <w:jc w:val="both"/>
        <w:rPr>
          <w:rFonts w:asciiTheme="minorHAnsi" w:eastAsia="Calibri" w:hAnsiTheme="minorHAnsi" w:cstheme="minorHAnsi"/>
          <w:i/>
          <w:iCs/>
          <w:color w:val="000000" w:themeColor="text1"/>
          <w:sz w:val="26"/>
          <w:szCs w:val="26"/>
        </w:rPr>
      </w:pPr>
      <w:r w:rsidRPr="001862D3">
        <w:rPr>
          <w:rFonts w:asciiTheme="minorHAnsi" w:hAnsiTheme="minorHAnsi" w:cstheme="minorHAnsi"/>
          <w:color w:val="000000" w:themeColor="text1"/>
          <w:sz w:val="26"/>
          <w:szCs w:val="26"/>
        </w:rPr>
        <w:t xml:space="preserve">În perioada </w:t>
      </w:r>
      <w:r w:rsidR="00BF7BE6">
        <w:rPr>
          <w:rFonts w:asciiTheme="minorHAnsi" w:hAnsiTheme="minorHAnsi" w:cstheme="minorHAnsi"/>
          <w:color w:val="000000" w:themeColor="text1"/>
          <w:sz w:val="26"/>
          <w:szCs w:val="26"/>
        </w:rPr>
        <w:t>0</w:t>
      </w:r>
      <w:r w:rsidRPr="001862D3">
        <w:rPr>
          <w:rFonts w:asciiTheme="minorHAnsi" w:hAnsiTheme="minorHAnsi" w:cstheme="minorHAnsi"/>
          <w:color w:val="000000" w:themeColor="text1"/>
          <w:sz w:val="26"/>
          <w:szCs w:val="26"/>
        </w:rPr>
        <w:t>1 aprilie – 15 mai 2025</w:t>
      </w:r>
      <w:r w:rsidRPr="001862D3">
        <w:rPr>
          <w:rFonts w:asciiTheme="minorHAnsi" w:eastAsia="Calibri" w:hAnsiTheme="minorHAnsi" w:cstheme="minorHAnsi"/>
          <w:color w:val="000000" w:themeColor="text1"/>
          <w:sz w:val="26"/>
          <w:szCs w:val="26"/>
        </w:rPr>
        <w:t>, un număr de 15 studenți ai Facultății de Drept din cadrul Academiei de Studii Economice au efectuat un stagiu practic în cadrul Institutului.</w:t>
      </w:r>
    </w:p>
    <w:p w14:paraId="0B629621" w14:textId="39471B2B" w:rsidR="00021845" w:rsidRPr="001862D3" w:rsidRDefault="00021845" w:rsidP="009E3AD8">
      <w:pPr>
        <w:shd w:val="clear" w:color="auto" w:fill="FFFFFF" w:themeFill="background1"/>
        <w:spacing w:line="276" w:lineRule="auto"/>
        <w:ind w:firstLine="720"/>
        <w:jc w:val="both"/>
        <w:rPr>
          <w:rFonts w:asciiTheme="minorHAnsi" w:hAnsiTheme="minorHAnsi" w:cstheme="minorHAnsi"/>
          <w:color w:val="000000" w:themeColor="text1"/>
          <w:sz w:val="26"/>
          <w:szCs w:val="26"/>
        </w:rPr>
      </w:pPr>
      <w:r w:rsidRPr="001862D3">
        <w:rPr>
          <w:rFonts w:asciiTheme="minorHAnsi" w:hAnsiTheme="minorHAnsi" w:cstheme="minorHAnsi"/>
          <w:color w:val="000000" w:themeColor="text1"/>
          <w:sz w:val="26"/>
          <w:szCs w:val="26"/>
        </w:rPr>
        <w:t xml:space="preserve">La data de 28 mai 2025, un grup de 20 </w:t>
      </w:r>
      <w:r w:rsidR="000D0B75">
        <w:rPr>
          <w:rFonts w:asciiTheme="minorHAnsi" w:hAnsiTheme="minorHAnsi" w:cstheme="minorHAnsi"/>
          <w:color w:val="000000" w:themeColor="text1"/>
          <w:sz w:val="26"/>
          <w:szCs w:val="26"/>
        </w:rPr>
        <w:t xml:space="preserve">de </w:t>
      </w:r>
      <w:r w:rsidRPr="001862D3">
        <w:rPr>
          <w:rFonts w:asciiTheme="minorHAnsi" w:hAnsiTheme="minorHAnsi" w:cstheme="minorHAnsi"/>
          <w:color w:val="000000" w:themeColor="text1"/>
          <w:sz w:val="26"/>
          <w:szCs w:val="26"/>
        </w:rPr>
        <w:t>studenți reprezentând E</w:t>
      </w:r>
      <w:r w:rsidR="001A22B3">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L</w:t>
      </w:r>
      <w:r w:rsidR="001A22B3">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S</w:t>
      </w:r>
      <w:r w:rsidR="001A22B3">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A</w:t>
      </w:r>
      <w:r w:rsidR="001A22B3">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 xml:space="preserve"> București (The European Law Student`s Association) au efectuat o vizită la sediul Institutului, context în care le-au fost prezentate activitatea instituției și informații referitoare la concursul de admitere și activitatea de formare.</w:t>
      </w:r>
    </w:p>
    <w:p w14:paraId="60262DBA" w14:textId="77EA1EF4" w:rsidR="00021845" w:rsidRPr="001862D3" w:rsidRDefault="00021845" w:rsidP="009E3AD8">
      <w:pPr>
        <w:shd w:val="clear" w:color="auto" w:fill="FFFFFF" w:themeFill="background1"/>
        <w:spacing w:line="276" w:lineRule="auto"/>
        <w:ind w:firstLine="720"/>
        <w:jc w:val="both"/>
        <w:rPr>
          <w:rFonts w:asciiTheme="minorHAnsi" w:hAnsiTheme="minorHAnsi" w:cstheme="minorHAnsi"/>
          <w:color w:val="000000" w:themeColor="text1"/>
          <w:sz w:val="26"/>
          <w:szCs w:val="26"/>
        </w:rPr>
      </w:pPr>
      <w:r w:rsidRPr="001862D3">
        <w:rPr>
          <w:rFonts w:asciiTheme="minorHAnsi" w:hAnsiTheme="minorHAnsi" w:cstheme="minorHAnsi"/>
          <w:color w:val="000000" w:themeColor="text1"/>
          <w:sz w:val="26"/>
          <w:szCs w:val="26"/>
        </w:rPr>
        <w:t>La data de 23 septembrie 2025</w:t>
      </w:r>
      <w:r w:rsidR="000D0B75">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 xml:space="preserve"> Institutul a primit vizita unui grup de 30 de studenți ai Facultății de Drept, organizată în cadrul evenimentului Freshers</w:t>
      </w:r>
      <w:r w:rsidRPr="001862D3">
        <w:rPr>
          <w:rFonts w:asciiTheme="minorHAnsi" w:hAnsiTheme="minorHAnsi" w:cstheme="minorHAnsi"/>
          <w:color w:val="000000" w:themeColor="text1"/>
          <w:sz w:val="26"/>
          <w:szCs w:val="26"/>
          <w:lang w:val="fr-FR"/>
        </w:rPr>
        <w:t xml:space="preserve">` </w:t>
      </w:r>
      <w:r w:rsidRPr="001862D3">
        <w:rPr>
          <w:rFonts w:asciiTheme="minorHAnsi" w:hAnsiTheme="minorHAnsi" w:cstheme="minorHAnsi"/>
          <w:color w:val="000000" w:themeColor="text1"/>
          <w:sz w:val="26"/>
          <w:szCs w:val="26"/>
        </w:rPr>
        <w:t xml:space="preserve">Week – Suits Day, derulat de ELSA (The European Law Student`s Association) București, ocazie cu care le-au fost prezentate activitatea Institutului și aspecte privind profesia de magistrat. </w:t>
      </w:r>
    </w:p>
    <w:p w14:paraId="33B52C30" w14:textId="324228BC" w:rsidR="00021845" w:rsidRPr="001862D3" w:rsidRDefault="00021845" w:rsidP="009E3AD8">
      <w:pPr>
        <w:shd w:val="clear" w:color="auto" w:fill="FFFFFF" w:themeFill="background1"/>
        <w:spacing w:line="276" w:lineRule="auto"/>
        <w:ind w:firstLine="720"/>
        <w:jc w:val="both"/>
        <w:rPr>
          <w:rFonts w:asciiTheme="minorHAnsi" w:hAnsiTheme="minorHAnsi" w:cstheme="minorHAnsi"/>
          <w:color w:val="000000" w:themeColor="text1"/>
          <w:sz w:val="26"/>
          <w:szCs w:val="26"/>
        </w:rPr>
      </w:pPr>
      <w:r w:rsidRPr="001862D3">
        <w:rPr>
          <w:rFonts w:asciiTheme="minorHAnsi" w:hAnsiTheme="minorHAnsi" w:cstheme="minorHAnsi"/>
          <w:color w:val="000000" w:themeColor="text1"/>
          <w:sz w:val="26"/>
          <w:szCs w:val="26"/>
        </w:rPr>
        <w:t>La data de 25 septembrie 2025</w:t>
      </w:r>
      <w:r w:rsidR="001B7B9B">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 xml:space="preserve"> Institutul a primit vizita unui grup de 45 de studenți ai Facultății de Drept din cadrul Universității din București, organizată în cadrul proiectului </w:t>
      </w:r>
      <w:r w:rsidRPr="001B7B9B">
        <w:rPr>
          <w:rFonts w:asciiTheme="minorHAnsi" w:hAnsiTheme="minorHAnsi" w:cstheme="minorHAnsi"/>
          <w:color w:val="000000" w:themeColor="text1"/>
          <w:sz w:val="26"/>
          <w:szCs w:val="26"/>
        </w:rPr>
        <w:t>„Insights/Învață să fii student!”,</w:t>
      </w:r>
      <w:r w:rsidRPr="001862D3">
        <w:rPr>
          <w:rFonts w:asciiTheme="minorHAnsi" w:hAnsiTheme="minorHAnsi" w:cstheme="minorHAnsi"/>
          <w:color w:val="000000" w:themeColor="text1"/>
          <w:sz w:val="26"/>
          <w:szCs w:val="26"/>
        </w:rPr>
        <w:t xml:space="preserve"> un proiect de orientare profesională a studenților și de familiarizare a acestora cu mediul academic. </w:t>
      </w:r>
    </w:p>
    <w:p w14:paraId="158CD0B5" w14:textId="56A750F4" w:rsidR="00021845" w:rsidRDefault="00021845" w:rsidP="009E3AD8">
      <w:pPr>
        <w:shd w:val="clear" w:color="auto" w:fill="FFFFFF" w:themeFill="background1"/>
        <w:spacing w:line="276" w:lineRule="auto"/>
        <w:ind w:firstLine="720"/>
        <w:jc w:val="both"/>
        <w:rPr>
          <w:rFonts w:asciiTheme="minorHAnsi" w:hAnsiTheme="minorHAnsi" w:cstheme="minorHAnsi"/>
          <w:color w:val="000000" w:themeColor="text1"/>
          <w:sz w:val="26"/>
          <w:szCs w:val="26"/>
        </w:rPr>
      </w:pPr>
      <w:r w:rsidRPr="001862D3">
        <w:rPr>
          <w:rFonts w:asciiTheme="minorHAnsi" w:hAnsiTheme="minorHAnsi" w:cstheme="minorHAnsi"/>
          <w:color w:val="000000" w:themeColor="text1"/>
          <w:sz w:val="26"/>
          <w:szCs w:val="26"/>
        </w:rPr>
        <w:t xml:space="preserve">La data de </w:t>
      </w:r>
      <w:r w:rsidR="001A22B3">
        <w:rPr>
          <w:rFonts w:asciiTheme="minorHAnsi" w:hAnsiTheme="minorHAnsi" w:cstheme="minorHAnsi"/>
          <w:color w:val="000000" w:themeColor="text1"/>
          <w:sz w:val="26"/>
          <w:szCs w:val="26"/>
        </w:rPr>
        <w:t>0</w:t>
      </w:r>
      <w:r w:rsidRPr="001862D3">
        <w:rPr>
          <w:rFonts w:asciiTheme="minorHAnsi" w:hAnsiTheme="minorHAnsi" w:cstheme="minorHAnsi"/>
          <w:color w:val="000000" w:themeColor="text1"/>
          <w:sz w:val="26"/>
          <w:szCs w:val="26"/>
        </w:rPr>
        <w:t>9 octombrie 2025, 21 de studenți ai Facultății de Drept din cadrul Academiei de Studii Economice au efectuat o vizită la I</w:t>
      </w:r>
      <w:r w:rsidR="001A22B3">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N</w:t>
      </w:r>
      <w:r w:rsidR="001A22B3">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M</w:t>
      </w:r>
      <w:r w:rsidR="001A22B3">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 în cadrul proiectului „Law School 101”. Formatorii Institutului le-au vorbit, în acest context, despre concursul de admitere la I</w:t>
      </w:r>
      <w:r w:rsidR="001A22B3">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N</w:t>
      </w:r>
      <w:r w:rsidR="001A22B3">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M</w:t>
      </w:r>
      <w:r w:rsidR="001A22B3">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 xml:space="preserve"> și despre activitatea pe care o desfășoară auditorii de justiție în cadrul programului de formare inițială. </w:t>
      </w:r>
    </w:p>
    <w:p w14:paraId="413E0A19" w14:textId="736B82E2" w:rsidR="00962986" w:rsidRPr="006E7638" w:rsidRDefault="00962986" w:rsidP="00962986">
      <w:pPr>
        <w:shd w:val="clear" w:color="auto" w:fill="FFFFFF" w:themeFill="background1"/>
        <w:spacing w:line="276" w:lineRule="auto"/>
        <w:ind w:firstLine="720"/>
        <w:jc w:val="both"/>
        <w:rPr>
          <w:rFonts w:asciiTheme="minorHAnsi" w:hAnsiTheme="minorHAnsi" w:cstheme="minorHAnsi"/>
          <w:sz w:val="26"/>
          <w:szCs w:val="26"/>
        </w:rPr>
      </w:pPr>
      <w:r w:rsidRPr="006E7638">
        <w:rPr>
          <w:rFonts w:asciiTheme="minorHAnsi" w:hAnsiTheme="minorHAnsi" w:cstheme="minorHAnsi"/>
          <w:sz w:val="26"/>
          <w:szCs w:val="26"/>
        </w:rPr>
        <w:t xml:space="preserve">În perioada 10 – 28 noiembrie 2025, 3 studenți ai Facultății de Drept din cadrul Universității din București și 4 studenți ai Facultății de Drept din cadrul Universității </w:t>
      </w:r>
      <w:r w:rsidR="00E81D72" w:rsidRPr="006E7638">
        <w:rPr>
          <w:rFonts w:asciiTheme="minorHAnsi" w:hAnsiTheme="minorHAnsi" w:cstheme="minorHAnsi"/>
          <w:sz w:val="26"/>
          <w:szCs w:val="26"/>
        </w:rPr>
        <w:t>„</w:t>
      </w:r>
      <w:r w:rsidRPr="006E7638">
        <w:rPr>
          <w:rFonts w:asciiTheme="minorHAnsi" w:hAnsiTheme="minorHAnsi" w:cstheme="minorHAnsi"/>
          <w:sz w:val="26"/>
          <w:szCs w:val="26"/>
        </w:rPr>
        <w:t>Titu Maiorescu</w:t>
      </w:r>
      <w:r w:rsidR="00E81D72" w:rsidRPr="006E7638">
        <w:rPr>
          <w:rFonts w:asciiTheme="minorHAnsi" w:hAnsiTheme="minorHAnsi" w:cstheme="minorHAnsi"/>
          <w:sz w:val="26"/>
          <w:szCs w:val="26"/>
        </w:rPr>
        <w:t>”</w:t>
      </w:r>
      <w:r w:rsidRPr="006E7638">
        <w:rPr>
          <w:rFonts w:asciiTheme="minorHAnsi" w:hAnsiTheme="minorHAnsi" w:cstheme="minorHAnsi"/>
          <w:sz w:val="26"/>
          <w:szCs w:val="26"/>
        </w:rPr>
        <w:t xml:space="preserve"> au efectuat un stagiu de practică la I.N.M.</w:t>
      </w:r>
    </w:p>
    <w:p w14:paraId="04163408" w14:textId="77777777" w:rsidR="00962986" w:rsidRPr="006E7638" w:rsidRDefault="00962986" w:rsidP="00962986">
      <w:pPr>
        <w:shd w:val="clear" w:color="auto" w:fill="FFFFFF" w:themeFill="background1"/>
        <w:spacing w:line="276" w:lineRule="auto"/>
        <w:ind w:firstLine="720"/>
        <w:jc w:val="both"/>
        <w:rPr>
          <w:rFonts w:asciiTheme="minorHAnsi" w:hAnsiTheme="minorHAnsi" w:cstheme="minorHAnsi"/>
          <w:sz w:val="26"/>
          <w:szCs w:val="26"/>
        </w:rPr>
      </w:pPr>
      <w:r w:rsidRPr="006E7638">
        <w:rPr>
          <w:rFonts w:asciiTheme="minorHAnsi" w:hAnsiTheme="minorHAnsi" w:cstheme="minorHAnsi"/>
          <w:sz w:val="26"/>
          <w:szCs w:val="26"/>
        </w:rPr>
        <w:t>La data de 27 noiembrie 2025, în cadrul proiectului „Autostrada de drept”, organizat de Asociația Studenților Facultății de Drept, I.N.M. a primit vizita unui grup de 20 de studenți ai facultăților de drept din centre universitare din țară (Cluj Napoca, Iași, Craiova și București – ASE) și din Republica Moldova (Chișinău). Cu această ocazie, studenților le-au fost prezentate activitatea Institutului și aspecte privind concursul de admitere, formarea inițială și profesia de magistrat.</w:t>
      </w:r>
    </w:p>
    <w:p w14:paraId="62D6CD4D" w14:textId="0F0E9902" w:rsidR="00962986" w:rsidRPr="006E7638" w:rsidRDefault="00962986" w:rsidP="00962986">
      <w:pPr>
        <w:shd w:val="clear" w:color="auto" w:fill="FFFFFF" w:themeFill="background1"/>
        <w:spacing w:line="276" w:lineRule="auto"/>
        <w:ind w:firstLine="720"/>
        <w:jc w:val="both"/>
        <w:rPr>
          <w:rFonts w:asciiTheme="minorHAnsi" w:hAnsiTheme="minorHAnsi" w:cstheme="minorHAnsi"/>
          <w:sz w:val="26"/>
          <w:szCs w:val="26"/>
        </w:rPr>
      </w:pPr>
      <w:r w:rsidRPr="006E7638">
        <w:rPr>
          <w:rFonts w:asciiTheme="minorHAnsi" w:hAnsiTheme="minorHAnsi" w:cstheme="minorHAnsi"/>
          <w:sz w:val="26"/>
          <w:szCs w:val="26"/>
        </w:rPr>
        <w:lastRenderedPageBreak/>
        <w:t xml:space="preserve">La data de 21 octombrie 2025, Institutul Național al Magistraturii a organizat </w:t>
      </w:r>
      <w:r w:rsidR="005E0093" w:rsidRPr="006E7638">
        <w:rPr>
          <w:rFonts w:asciiTheme="minorHAnsi" w:hAnsiTheme="minorHAnsi" w:cstheme="minorHAnsi"/>
          <w:sz w:val="26"/>
          <w:szCs w:val="26"/>
        </w:rPr>
        <w:t>„</w:t>
      </w:r>
      <w:r w:rsidRPr="006E7638">
        <w:rPr>
          <w:rFonts w:asciiTheme="minorHAnsi" w:hAnsiTheme="minorHAnsi" w:cstheme="minorHAnsi"/>
          <w:sz w:val="26"/>
          <w:szCs w:val="26"/>
        </w:rPr>
        <w:t>Ziua Porților deschise la I</w:t>
      </w:r>
      <w:r w:rsidR="007C6D52" w:rsidRPr="006E7638">
        <w:rPr>
          <w:rFonts w:asciiTheme="minorHAnsi" w:hAnsiTheme="minorHAnsi" w:cstheme="minorHAnsi"/>
          <w:sz w:val="26"/>
          <w:szCs w:val="26"/>
        </w:rPr>
        <w:t>.</w:t>
      </w:r>
      <w:r w:rsidRPr="006E7638">
        <w:rPr>
          <w:rFonts w:asciiTheme="minorHAnsi" w:hAnsiTheme="minorHAnsi" w:cstheme="minorHAnsi"/>
          <w:sz w:val="26"/>
          <w:szCs w:val="26"/>
        </w:rPr>
        <w:t>N</w:t>
      </w:r>
      <w:r w:rsidR="007C6D52" w:rsidRPr="006E7638">
        <w:rPr>
          <w:rFonts w:asciiTheme="minorHAnsi" w:hAnsiTheme="minorHAnsi" w:cstheme="minorHAnsi"/>
          <w:sz w:val="26"/>
          <w:szCs w:val="26"/>
        </w:rPr>
        <w:t>.</w:t>
      </w:r>
      <w:r w:rsidRPr="006E7638">
        <w:rPr>
          <w:rFonts w:asciiTheme="minorHAnsi" w:hAnsiTheme="minorHAnsi" w:cstheme="minorHAnsi"/>
          <w:sz w:val="26"/>
          <w:szCs w:val="26"/>
        </w:rPr>
        <w:t>M</w:t>
      </w:r>
      <w:r w:rsidR="007C6D52" w:rsidRPr="006E7638">
        <w:rPr>
          <w:rFonts w:asciiTheme="minorHAnsi" w:hAnsiTheme="minorHAnsi" w:cstheme="minorHAnsi"/>
          <w:sz w:val="26"/>
          <w:szCs w:val="26"/>
        </w:rPr>
        <w:t>.</w:t>
      </w:r>
      <w:r w:rsidRPr="006E7638">
        <w:rPr>
          <w:rFonts w:asciiTheme="minorHAnsi" w:hAnsiTheme="minorHAnsi" w:cstheme="minorHAnsi"/>
          <w:sz w:val="26"/>
          <w:szCs w:val="26"/>
        </w:rPr>
        <w:t>", cu participarea a aproximativ 150 de studenți ai facultăților de drept din întreaga țară – București, Bacău, Brașov, Cluj, Constanța, Craiova, Iași, Timișoara. Cu acest prilej, reprezentanții Institutului au realizat prezentări despre activitatea instituției, despre concursul de admitere și activitatea de formare inițială, dar și despre alte aspecte ale carierei profesionale a judecătorilor și procurorilor. Evenimentul s-a încheiat cu organizarea unui proces simulat, cu implicarea auditorilor de justiție și a absolvenților Institutului.</w:t>
      </w:r>
    </w:p>
    <w:p w14:paraId="562F6567" w14:textId="02E11C85" w:rsidR="00021845" w:rsidRPr="001862D3" w:rsidRDefault="00021845" w:rsidP="009E3AD8">
      <w:pPr>
        <w:shd w:val="clear" w:color="auto" w:fill="FFFFFF" w:themeFill="background1"/>
        <w:tabs>
          <w:tab w:val="left" w:pos="720"/>
        </w:tabs>
        <w:autoSpaceDE w:val="0"/>
        <w:autoSpaceDN w:val="0"/>
        <w:spacing w:line="276" w:lineRule="auto"/>
        <w:jc w:val="both"/>
        <w:rPr>
          <w:rFonts w:asciiTheme="minorHAnsi" w:eastAsia="Calibri" w:hAnsiTheme="minorHAnsi" w:cstheme="minorHAnsi"/>
          <w:color w:val="000000" w:themeColor="text1"/>
          <w:sz w:val="26"/>
          <w:szCs w:val="26"/>
          <w:lang w:eastAsia="ro-RO"/>
        </w:rPr>
      </w:pPr>
      <w:r w:rsidRPr="001862D3">
        <w:rPr>
          <w:rFonts w:asciiTheme="minorHAnsi" w:hAnsiTheme="minorHAnsi" w:cstheme="minorHAnsi"/>
          <w:color w:val="000000" w:themeColor="text1"/>
          <w:sz w:val="26"/>
          <w:szCs w:val="26"/>
        </w:rPr>
        <w:tab/>
      </w:r>
      <w:r w:rsidRPr="001862D3">
        <w:rPr>
          <w:rFonts w:asciiTheme="minorHAnsi" w:eastAsia="Calibri" w:hAnsiTheme="minorHAnsi" w:cstheme="minorHAnsi"/>
          <w:b/>
          <w:color w:val="000000" w:themeColor="text1"/>
          <w:sz w:val="26"/>
          <w:szCs w:val="26"/>
          <w:lang w:eastAsia="ro-RO"/>
        </w:rPr>
        <w:t>Revista I</w:t>
      </w:r>
      <w:r w:rsidR="001A22B3">
        <w:rPr>
          <w:rFonts w:asciiTheme="minorHAnsi" w:eastAsia="Calibri" w:hAnsiTheme="minorHAnsi" w:cstheme="minorHAnsi"/>
          <w:b/>
          <w:color w:val="000000" w:themeColor="text1"/>
          <w:sz w:val="26"/>
          <w:szCs w:val="26"/>
          <w:lang w:eastAsia="ro-RO"/>
        </w:rPr>
        <w:t>.</w:t>
      </w:r>
      <w:r w:rsidRPr="001862D3">
        <w:rPr>
          <w:rFonts w:asciiTheme="minorHAnsi" w:eastAsia="Calibri" w:hAnsiTheme="minorHAnsi" w:cstheme="minorHAnsi"/>
          <w:b/>
          <w:color w:val="000000" w:themeColor="text1"/>
          <w:sz w:val="26"/>
          <w:szCs w:val="26"/>
          <w:lang w:eastAsia="ro-RO"/>
        </w:rPr>
        <w:t>N</w:t>
      </w:r>
      <w:r w:rsidR="001A22B3">
        <w:rPr>
          <w:rFonts w:asciiTheme="minorHAnsi" w:eastAsia="Calibri" w:hAnsiTheme="minorHAnsi" w:cstheme="minorHAnsi"/>
          <w:b/>
          <w:color w:val="000000" w:themeColor="text1"/>
          <w:sz w:val="26"/>
          <w:szCs w:val="26"/>
          <w:lang w:eastAsia="ro-RO"/>
        </w:rPr>
        <w:t>.</w:t>
      </w:r>
      <w:r w:rsidRPr="001862D3">
        <w:rPr>
          <w:rFonts w:asciiTheme="minorHAnsi" w:eastAsia="Calibri" w:hAnsiTheme="minorHAnsi" w:cstheme="minorHAnsi"/>
          <w:b/>
          <w:color w:val="000000" w:themeColor="text1"/>
          <w:sz w:val="26"/>
          <w:szCs w:val="26"/>
          <w:lang w:eastAsia="ro-RO"/>
        </w:rPr>
        <w:t>M</w:t>
      </w:r>
      <w:r w:rsidR="001A22B3">
        <w:rPr>
          <w:rFonts w:asciiTheme="minorHAnsi" w:eastAsia="Calibri" w:hAnsiTheme="minorHAnsi" w:cstheme="minorHAnsi"/>
          <w:b/>
          <w:color w:val="000000" w:themeColor="text1"/>
          <w:sz w:val="26"/>
          <w:szCs w:val="26"/>
          <w:lang w:eastAsia="ro-RO"/>
        </w:rPr>
        <w:t>.</w:t>
      </w:r>
      <w:r w:rsidR="001B7B9B">
        <w:rPr>
          <w:rFonts w:asciiTheme="minorHAnsi" w:eastAsia="Calibri" w:hAnsiTheme="minorHAnsi" w:cstheme="minorHAnsi"/>
          <w:b/>
          <w:color w:val="000000" w:themeColor="text1"/>
          <w:sz w:val="26"/>
          <w:szCs w:val="26"/>
          <w:lang w:eastAsia="ro-RO"/>
        </w:rPr>
        <w:t xml:space="preserve"> - </w:t>
      </w:r>
      <w:r w:rsidRPr="001862D3">
        <w:rPr>
          <w:rFonts w:asciiTheme="minorHAnsi" w:eastAsia="Calibri" w:hAnsiTheme="minorHAnsi" w:cstheme="minorHAnsi"/>
          <w:b/>
          <w:color w:val="000000" w:themeColor="text1"/>
          <w:sz w:val="26"/>
          <w:szCs w:val="26"/>
          <w:lang w:eastAsia="ro-RO"/>
        </w:rPr>
        <w:t>THEMIS</w:t>
      </w:r>
      <w:r w:rsidRPr="001862D3">
        <w:rPr>
          <w:rFonts w:asciiTheme="minorHAnsi" w:eastAsia="Calibri" w:hAnsiTheme="minorHAnsi" w:cstheme="minorHAnsi"/>
          <w:color w:val="000000" w:themeColor="text1"/>
          <w:sz w:val="26"/>
          <w:szCs w:val="26"/>
          <w:lang w:eastAsia="ro-RO"/>
        </w:rPr>
        <w:t xml:space="preserve"> </w:t>
      </w:r>
    </w:p>
    <w:p w14:paraId="2B4B0407" w14:textId="2EE29C0F" w:rsidR="00021845" w:rsidRPr="001862D3" w:rsidRDefault="00021845" w:rsidP="001B7B9B">
      <w:pPr>
        <w:shd w:val="clear" w:color="auto" w:fill="FFFFFF" w:themeFill="background1"/>
        <w:tabs>
          <w:tab w:val="left" w:pos="720"/>
        </w:tabs>
        <w:autoSpaceDE w:val="0"/>
        <w:autoSpaceDN w:val="0"/>
        <w:spacing w:line="276" w:lineRule="auto"/>
        <w:ind w:firstLine="720"/>
        <w:jc w:val="both"/>
        <w:rPr>
          <w:rFonts w:asciiTheme="minorHAnsi" w:eastAsia="Calibri" w:hAnsiTheme="minorHAnsi" w:cstheme="minorHAnsi"/>
          <w:color w:val="000000" w:themeColor="text1"/>
          <w:sz w:val="26"/>
          <w:szCs w:val="26"/>
          <w:lang w:eastAsia="ro-RO"/>
        </w:rPr>
      </w:pPr>
      <w:r w:rsidRPr="001862D3">
        <w:rPr>
          <w:rFonts w:asciiTheme="minorHAnsi" w:eastAsia="Calibri" w:hAnsiTheme="minorHAnsi" w:cstheme="minorHAnsi"/>
          <w:color w:val="000000" w:themeColor="text1"/>
          <w:sz w:val="26"/>
          <w:szCs w:val="26"/>
          <w:lang w:eastAsia="ro-RO"/>
        </w:rPr>
        <w:t>În cursul lunii iulie 2025 a apărut n</w:t>
      </w:r>
      <w:r w:rsidR="001B7B9B">
        <w:rPr>
          <w:rFonts w:asciiTheme="minorHAnsi" w:eastAsia="Calibri" w:hAnsiTheme="minorHAnsi" w:cstheme="minorHAnsi"/>
          <w:color w:val="000000" w:themeColor="text1"/>
          <w:sz w:val="26"/>
          <w:szCs w:val="26"/>
          <w:lang w:eastAsia="ro-RO"/>
        </w:rPr>
        <w:t xml:space="preserve">r. </w:t>
      </w:r>
      <w:r w:rsidRPr="001862D3">
        <w:rPr>
          <w:rFonts w:asciiTheme="minorHAnsi" w:eastAsia="Calibri" w:hAnsiTheme="minorHAnsi" w:cstheme="minorHAnsi"/>
          <w:color w:val="000000" w:themeColor="text1"/>
          <w:sz w:val="26"/>
          <w:szCs w:val="26"/>
          <w:lang w:eastAsia="ro-RO"/>
        </w:rPr>
        <w:t>1/2025 al Revistei Institutului</w:t>
      </w:r>
      <w:r w:rsidR="001B7B9B">
        <w:rPr>
          <w:rFonts w:asciiTheme="minorHAnsi" w:eastAsia="Calibri" w:hAnsiTheme="minorHAnsi" w:cstheme="minorHAnsi"/>
          <w:color w:val="000000" w:themeColor="text1"/>
          <w:sz w:val="26"/>
          <w:szCs w:val="26"/>
          <w:lang w:eastAsia="ro-RO"/>
        </w:rPr>
        <w:t xml:space="preserve"> - </w:t>
      </w:r>
      <w:r w:rsidRPr="001862D3">
        <w:rPr>
          <w:rFonts w:asciiTheme="minorHAnsi" w:eastAsia="Calibri" w:hAnsiTheme="minorHAnsi" w:cstheme="minorHAnsi"/>
          <w:color w:val="000000" w:themeColor="text1"/>
          <w:sz w:val="26"/>
          <w:szCs w:val="26"/>
          <w:lang w:eastAsia="ro-RO"/>
        </w:rPr>
        <w:t>THEMIS.</w:t>
      </w:r>
      <w:r w:rsidR="001B7B9B">
        <w:rPr>
          <w:rFonts w:asciiTheme="minorHAnsi" w:eastAsia="Calibri" w:hAnsiTheme="minorHAnsi" w:cstheme="minorHAnsi"/>
          <w:color w:val="000000" w:themeColor="text1"/>
          <w:sz w:val="26"/>
          <w:szCs w:val="26"/>
          <w:lang w:eastAsia="ro-RO"/>
        </w:rPr>
        <w:t xml:space="preserve"> </w:t>
      </w:r>
      <w:r w:rsidRPr="001862D3">
        <w:rPr>
          <w:rFonts w:asciiTheme="minorHAnsi" w:eastAsia="Calibri" w:hAnsiTheme="minorHAnsi" w:cstheme="minorHAnsi"/>
          <w:color w:val="000000" w:themeColor="text1"/>
          <w:sz w:val="26"/>
          <w:szCs w:val="26"/>
          <w:lang w:eastAsia="ro-RO"/>
        </w:rPr>
        <w:t>Editată în format tipărit și distribuită prin intermediul Editurii Universul Juridic, revista reunește contribuții valoroase – articole, studii și monografii – semnate de reputați profesori universitari, de formatori I</w:t>
      </w:r>
      <w:r w:rsidR="001A22B3">
        <w:rPr>
          <w:rFonts w:asciiTheme="minorHAnsi" w:eastAsia="Calibri" w:hAnsiTheme="minorHAnsi" w:cstheme="minorHAnsi"/>
          <w:color w:val="000000" w:themeColor="text1"/>
          <w:sz w:val="26"/>
          <w:szCs w:val="26"/>
          <w:lang w:eastAsia="ro-RO"/>
        </w:rPr>
        <w:t>.</w:t>
      </w:r>
      <w:r w:rsidRPr="001862D3">
        <w:rPr>
          <w:rFonts w:asciiTheme="minorHAnsi" w:eastAsia="Calibri" w:hAnsiTheme="minorHAnsi" w:cstheme="minorHAnsi"/>
          <w:color w:val="000000" w:themeColor="text1"/>
          <w:sz w:val="26"/>
          <w:szCs w:val="26"/>
          <w:lang w:eastAsia="ro-RO"/>
        </w:rPr>
        <w:t>N</w:t>
      </w:r>
      <w:r w:rsidR="001A22B3">
        <w:rPr>
          <w:rFonts w:asciiTheme="minorHAnsi" w:eastAsia="Calibri" w:hAnsiTheme="minorHAnsi" w:cstheme="minorHAnsi"/>
          <w:color w:val="000000" w:themeColor="text1"/>
          <w:sz w:val="26"/>
          <w:szCs w:val="26"/>
          <w:lang w:eastAsia="ro-RO"/>
        </w:rPr>
        <w:t>.</w:t>
      </w:r>
      <w:r w:rsidRPr="001862D3">
        <w:rPr>
          <w:rFonts w:asciiTheme="minorHAnsi" w:eastAsia="Calibri" w:hAnsiTheme="minorHAnsi" w:cstheme="minorHAnsi"/>
          <w:color w:val="000000" w:themeColor="text1"/>
          <w:sz w:val="26"/>
          <w:szCs w:val="26"/>
          <w:lang w:eastAsia="ro-RO"/>
        </w:rPr>
        <w:t>M</w:t>
      </w:r>
      <w:r w:rsidR="001A22B3">
        <w:rPr>
          <w:rFonts w:asciiTheme="minorHAnsi" w:eastAsia="Calibri" w:hAnsiTheme="minorHAnsi" w:cstheme="minorHAnsi"/>
          <w:color w:val="000000" w:themeColor="text1"/>
          <w:sz w:val="26"/>
          <w:szCs w:val="26"/>
          <w:lang w:eastAsia="ro-RO"/>
        </w:rPr>
        <w:t>.</w:t>
      </w:r>
      <w:r w:rsidRPr="001862D3">
        <w:rPr>
          <w:rFonts w:asciiTheme="minorHAnsi" w:eastAsia="Calibri" w:hAnsiTheme="minorHAnsi" w:cstheme="minorHAnsi"/>
          <w:color w:val="000000" w:themeColor="text1"/>
          <w:sz w:val="26"/>
          <w:szCs w:val="26"/>
          <w:lang w:eastAsia="ro-RO"/>
        </w:rPr>
        <w:t>, de auditori de justiție, precum și de avocați.</w:t>
      </w:r>
    </w:p>
    <w:p w14:paraId="77E659C8" w14:textId="5C434BC9" w:rsidR="00021845" w:rsidRPr="001862D3" w:rsidRDefault="00021845" w:rsidP="009E3AD8">
      <w:pPr>
        <w:shd w:val="clear" w:color="auto" w:fill="FFFFFF" w:themeFill="background1"/>
        <w:tabs>
          <w:tab w:val="left" w:pos="720"/>
        </w:tabs>
        <w:autoSpaceDE w:val="0"/>
        <w:autoSpaceDN w:val="0"/>
        <w:spacing w:line="276" w:lineRule="auto"/>
        <w:ind w:firstLine="720"/>
        <w:jc w:val="both"/>
        <w:rPr>
          <w:rFonts w:asciiTheme="minorHAnsi" w:eastAsia="Calibri" w:hAnsiTheme="minorHAnsi" w:cstheme="minorHAnsi"/>
          <w:color w:val="000000" w:themeColor="text1"/>
          <w:sz w:val="26"/>
          <w:szCs w:val="26"/>
          <w:lang w:eastAsia="ro-RO"/>
        </w:rPr>
      </w:pPr>
      <w:r w:rsidRPr="001862D3">
        <w:rPr>
          <w:rFonts w:asciiTheme="minorHAnsi" w:eastAsia="Calibri" w:hAnsiTheme="minorHAnsi" w:cstheme="minorHAnsi"/>
          <w:color w:val="000000" w:themeColor="text1"/>
          <w:sz w:val="26"/>
          <w:szCs w:val="26"/>
          <w:lang w:eastAsia="ro-RO"/>
        </w:rPr>
        <w:t>Revista Themis poate fi consultată de judecători și procurori prin intermediul aplicației CSMAPP (csmapp.csm1909.ro), în secțiunea „Bibliotecă juridică”. Auditorii de justiție o pot accesa prin platforma educațională a I</w:t>
      </w:r>
      <w:r w:rsidR="001A22B3">
        <w:rPr>
          <w:rFonts w:asciiTheme="minorHAnsi" w:eastAsia="Calibri" w:hAnsiTheme="minorHAnsi" w:cstheme="minorHAnsi"/>
          <w:color w:val="000000" w:themeColor="text1"/>
          <w:sz w:val="26"/>
          <w:szCs w:val="26"/>
          <w:lang w:eastAsia="ro-RO"/>
        </w:rPr>
        <w:t>.</w:t>
      </w:r>
      <w:r w:rsidRPr="001862D3">
        <w:rPr>
          <w:rFonts w:asciiTheme="minorHAnsi" w:eastAsia="Calibri" w:hAnsiTheme="minorHAnsi" w:cstheme="minorHAnsi"/>
          <w:color w:val="000000" w:themeColor="text1"/>
          <w:sz w:val="26"/>
          <w:szCs w:val="26"/>
          <w:lang w:eastAsia="ro-RO"/>
        </w:rPr>
        <w:t>N</w:t>
      </w:r>
      <w:r w:rsidR="001A22B3">
        <w:rPr>
          <w:rFonts w:asciiTheme="minorHAnsi" w:eastAsia="Calibri" w:hAnsiTheme="minorHAnsi" w:cstheme="minorHAnsi"/>
          <w:color w:val="000000" w:themeColor="text1"/>
          <w:sz w:val="26"/>
          <w:szCs w:val="26"/>
          <w:lang w:eastAsia="ro-RO"/>
        </w:rPr>
        <w:t>.</w:t>
      </w:r>
      <w:r w:rsidRPr="001862D3">
        <w:rPr>
          <w:rFonts w:asciiTheme="minorHAnsi" w:eastAsia="Calibri" w:hAnsiTheme="minorHAnsi" w:cstheme="minorHAnsi"/>
          <w:color w:val="000000" w:themeColor="text1"/>
          <w:sz w:val="26"/>
          <w:szCs w:val="26"/>
          <w:lang w:eastAsia="ro-RO"/>
        </w:rPr>
        <w:t>M</w:t>
      </w:r>
      <w:r w:rsidR="001A22B3">
        <w:rPr>
          <w:rFonts w:asciiTheme="minorHAnsi" w:eastAsia="Calibri" w:hAnsiTheme="minorHAnsi" w:cstheme="minorHAnsi"/>
          <w:color w:val="000000" w:themeColor="text1"/>
          <w:sz w:val="26"/>
          <w:szCs w:val="26"/>
          <w:lang w:eastAsia="ro-RO"/>
        </w:rPr>
        <w:t>.</w:t>
      </w:r>
      <w:r w:rsidRPr="001862D3">
        <w:rPr>
          <w:rFonts w:asciiTheme="minorHAnsi" w:eastAsia="Calibri" w:hAnsiTheme="minorHAnsi" w:cstheme="minorHAnsi"/>
          <w:color w:val="000000" w:themeColor="text1"/>
          <w:sz w:val="26"/>
          <w:szCs w:val="26"/>
          <w:lang w:eastAsia="ro-RO"/>
        </w:rPr>
        <w:t>.</w:t>
      </w:r>
    </w:p>
    <w:p w14:paraId="5B0F344F" w14:textId="77777777" w:rsidR="00021845" w:rsidRPr="001862D3" w:rsidRDefault="00021845" w:rsidP="009E3AD8">
      <w:pPr>
        <w:shd w:val="clear" w:color="auto" w:fill="FFFFFF" w:themeFill="background1"/>
        <w:tabs>
          <w:tab w:val="left" w:pos="720"/>
        </w:tabs>
        <w:autoSpaceDE w:val="0"/>
        <w:autoSpaceDN w:val="0"/>
        <w:spacing w:line="276" w:lineRule="auto"/>
        <w:ind w:firstLine="720"/>
        <w:jc w:val="both"/>
        <w:rPr>
          <w:rFonts w:asciiTheme="minorHAnsi" w:eastAsia="Calibri" w:hAnsiTheme="minorHAnsi" w:cstheme="minorHAnsi"/>
          <w:color w:val="000000" w:themeColor="text1"/>
          <w:sz w:val="26"/>
          <w:szCs w:val="26"/>
          <w:lang w:eastAsia="ro-RO"/>
        </w:rPr>
      </w:pPr>
      <w:r w:rsidRPr="001862D3">
        <w:rPr>
          <w:rFonts w:asciiTheme="minorHAnsi" w:eastAsia="Calibri" w:hAnsiTheme="minorHAnsi" w:cstheme="minorHAnsi"/>
          <w:color w:val="000000" w:themeColor="text1"/>
          <w:sz w:val="26"/>
          <w:szCs w:val="26"/>
          <w:lang w:eastAsia="ro-RO"/>
        </w:rPr>
        <w:t xml:space="preserve">Începând cu luna septembrie 2025, Revista Themis </w:t>
      </w:r>
      <w:r w:rsidRPr="001862D3">
        <w:rPr>
          <w:rFonts w:asciiTheme="minorHAnsi" w:hAnsiTheme="minorHAnsi" w:cstheme="minorHAnsi"/>
          <w:color w:val="000000" w:themeColor="text1"/>
          <w:sz w:val="26"/>
          <w:szCs w:val="26"/>
        </w:rPr>
        <w:t xml:space="preserve">dispune de o pagină web dedicată, realizată cu sprijinul </w:t>
      </w:r>
      <w:r w:rsidRPr="001862D3">
        <w:rPr>
          <w:rFonts w:asciiTheme="minorHAnsi" w:eastAsia="Calibri" w:hAnsiTheme="minorHAnsi" w:cstheme="minorHAnsi"/>
          <w:color w:val="000000" w:themeColor="text1"/>
          <w:sz w:val="26"/>
          <w:szCs w:val="26"/>
          <w:lang w:eastAsia="ro-RO"/>
        </w:rPr>
        <w:t>Editurii Universul Juridic</w:t>
      </w:r>
      <w:r w:rsidRPr="001862D3">
        <w:rPr>
          <w:rFonts w:asciiTheme="minorHAnsi" w:hAnsiTheme="minorHAnsi" w:cstheme="minorHAnsi"/>
          <w:color w:val="000000" w:themeColor="text1"/>
          <w:sz w:val="26"/>
          <w:szCs w:val="26"/>
        </w:rPr>
        <w:t>, accesibilă direct din site-ul Institutului</w:t>
      </w:r>
      <w:r w:rsidRPr="001862D3">
        <w:rPr>
          <w:rFonts w:asciiTheme="minorHAnsi" w:eastAsia="Calibri" w:hAnsiTheme="minorHAnsi" w:cstheme="minorHAnsi"/>
          <w:color w:val="000000" w:themeColor="text1"/>
          <w:sz w:val="26"/>
          <w:szCs w:val="26"/>
          <w:lang w:eastAsia="ro-RO"/>
        </w:rPr>
        <w:t>.</w:t>
      </w:r>
    </w:p>
    <w:p w14:paraId="20B2CDA3" w14:textId="0430DB11" w:rsidR="00021845" w:rsidRDefault="00021845" w:rsidP="009E3AD8">
      <w:pPr>
        <w:shd w:val="clear" w:color="auto" w:fill="FFFFFF" w:themeFill="background1"/>
        <w:tabs>
          <w:tab w:val="left" w:pos="720"/>
        </w:tabs>
        <w:autoSpaceDE w:val="0"/>
        <w:autoSpaceDN w:val="0"/>
        <w:spacing w:line="276" w:lineRule="auto"/>
        <w:ind w:firstLine="720"/>
        <w:jc w:val="both"/>
        <w:rPr>
          <w:rFonts w:asciiTheme="minorHAnsi" w:eastAsia="Calibri" w:hAnsiTheme="minorHAnsi" w:cstheme="minorHAnsi"/>
          <w:color w:val="000000" w:themeColor="text1"/>
          <w:sz w:val="26"/>
          <w:szCs w:val="26"/>
          <w:lang w:eastAsia="ro-RO"/>
        </w:rPr>
      </w:pPr>
      <w:r w:rsidRPr="001862D3">
        <w:rPr>
          <w:rFonts w:asciiTheme="minorHAnsi" w:eastAsia="Calibri" w:hAnsiTheme="minorHAnsi" w:cstheme="minorHAnsi"/>
          <w:color w:val="000000" w:themeColor="text1"/>
          <w:sz w:val="26"/>
          <w:szCs w:val="26"/>
          <w:lang w:eastAsia="ro-RO"/>
        </w:rPr>
        <w:t>Totodată, începând din acest an, I</w:t>
      </w:r>
      <w:r w:rsidR="00133B90">
        <w:rPr>
          <w:rFonts w:asciiTheme="minorHAnsi" w:eastAsia="Calibri" w:hAnsiTheme="minorHAnsi" w:cstheme="minorHAnsi"/>
          <w:color w:val="000000" w:themeColor="text1"/>
          <w:sz w:val="26"/>
          <w:szCs w:val="26"/>
          <w:lang w:eastAsia="ro-RO"/>
        </w:rPr>
        <w:t xml:space="preserve">.N.M. </w:t>
      </w:r>
      <w:r w:rsidRPr="001862D3">
        <w:rPr>
          <w:rFonts w:asciiTheme="minorHAnsi" w:eastAsia="Calibri" w:hAnsiTheme="minorHAnsi" w:cstheme="minorHAnsi"/>
          <w:color w:val="000000" w:themeColor="text1"/>
          <w:sz w:val="26"/>
          <w:szCs w:val="26"/>
          <w:lang w:eastAsia="ro-RO"/>
        </w:rPr>
        <w:t>organizează, în parteneriat cu Grupul Editorial Universul Juridic, seria Conferințelor THEMIS - un proiect de anvergură, realizat</w:t>
      </w:r>
      <w:r w:rsidR="001B7B9B">
        <w:rPr>
          <w:rFonts w:asciiTheme="minorHAnsi" w:eastAsia="Calibri" w:hAnsiTheme="minorHAnsi" w:cstheme="minorHAnsi"/>
          <w:color w:val="000000" w:themeColor="text1"/>
          <w:sz w:val="26"/>
          <w:szCs w:val="26"/>
          <w:lang w:eastAsia="ro-RO"/>
        </w:rPr>
        <w:t xml:space="preserve"> </w:t>
      </w:r>
      <w:r w:rsidRPr="001862D3">
        <w:rPr>
          <w:rFonts w:asciiTheme="minorHAnsi" w:eastAsia="Calibri" w:hAnsiTheme="minorHAnsi" w:cstheme="minorHAnsi"/>
          <w:color w:val="000000" w:themeColor="text1"/>
          <w:sz w:val="26"/>
          <w:szCs w:val="26"/>
          <w:lang w:eastAsia="ro-RO"/>
        </w:rPr>
        <w:t>și dezvoltat în jurul Revistei THEMIS, pornind de la articolele publicate și autorii acestora. Prima ediție a avut loc în data de 9 septembrie 2025 și a avut ca temă: „Probleme de actualitate în practica judiciară în materia dreptului civil și a dreptului procesual civil. Elemente de drept european”. Prelegerile din cadrul conferinței au fost susținute de personalități din lumea juridică,  recunoscute pentru înalta competență profesională, rigoarea intelectuală și contribuțiile semnificative în domeniile lor de activitate. Conferința a fost deschisă, în egală măsură, magistraților și tuturor celorlalte profesii juridice – avocați, consilieri juridici, notari publici, executori judecătorești, practicieni în insolvență, cadre didactice universitare și alți specialiști ai dreptului, reprezentând o oportunitate deosebită</w:t>
      </w:r>
      <w:r w:rsidR="00133B90">
        <w:rPr>
          <w:rFonts w:asciiTheme="minorHAnsi" w:eastAsia="Calibri" w:hAnsiTheme="minorHAnsi" w:cstheme="minorHAnsi"/>
          <w:color w:val="000000" w:themeColor="text1"/>
          <w:sz w:val="26"/>
          <w:szCs w:val="26"/>
          <w:lang w:eastAsia="ro-RO"/>
        </w:rPr>
        <w:t xml:space="preserve"> </w:t>
      </w:r>
      <w:r w:rsidR="00C40655">
        <w:rPr>
          <w:rFonts w:asciiTheme="minorHAnsi" w:eastAsia="Calibri" w:hAnsiTheme="minorHAnsi" w:cstheme="minorHAnsi"/>
          <w:color w:val="000000" w:themeColor="text1"/>
          <w:sz w:val="26"/>
          <w:szCs w:val="26"/>
          <w:lang w:eastAsia="ro-RO"/>
        </w:rPr>
        <w:t xml:space="preserve">pentru </w:t>
      </w:r>
      <w:r w:rsidRPr="001862D3">
        <w:rPr>
          <w:rFonts w:asciiTheme="minorHAnsi" w:eastAsia="Calibri" w:hAnsiTheme="minorHAnsi" w:cstheme="minorHAnsi"/>
          <w:color w:val="000000" w:themeColor="text1"/>
          <w:sz w:val="26"/>
          <w:szCs w:val="26"/>
          <w:lang w:eastAsia="ro-RO"/>
        </w:rPr>
        <w:t>a dezbate probleme juridice de actualitate și a dezvolta dialogul interprofesional.</w:t>
      </w:r>
    </w:p>
    <w:p w14:paraId="06A42D96" w14:textId="27F2A804" w:rsidR="00BF0332" w:rsidRPr="006E7638" w:rsidRDefault="00BF0332" w:rsidP="00BF0332">
      <w:pPr>
        <w:shd w:val="clear" w:color="auto" w:fill="FFFFFF" w:themeFill="background1"/>
        <w:tabs>
          <w:tab w:val="left" w:pos="720"/>
        </w:tabs>
        <w:autoSpaceDE w:val="0"/>
        <w:autoSpaceDN w:val="0"/>
        <w:spacing w:line="276" w:lineRule="auto"/>
        <w:ind w:firstLine="720"/>
        <w:jc w:val="both"/>
        <w:rPr>
          <w:rFonts w:asciiTheme="minorHAnsi" w:eastAsia="Calibri" w:hAnsiTheme="minorHAnsi" w:cstheme="minorHAnsi"/>
          <w:sz w:val="26"/>
          <w:szCs w:val="26"/>
          <w:lang w:eastAsia="ro-RO"/>
        </w:rPr>
      </w:pPr>
      <w:r w:rsidRPr="006E7638">
        <w:rPr>
          <w:rFonts w:asciiTheme="minorHAnsi" w:eastAsia="Calibri" w:hAnsiTheme="minorHAnsi" w:cstheme="minorHAnsi"/>
          <w:sz w:val="26"/>
          <w:szCs w:val="26"/>
          <w:lang w:eastAsia="ro-RO"/>
        </w:rPr>
        <w:t>Publicarea n</w:t>
      </w:r>
      <w:r w:rsidR="006E7638">
        <w:rPr>
          <w:rFonts w:asciiTheme="minorHAnsi" w:eastAsia="Calibri" w:hAnsiTheme="minorHAnsi" w:cstheme="minorHAnsi"/>
          <w:sz w:val="26"/>
          <w:szCs w:val="26"/>
          <w:lang w:eastAsia="ro-RO"/>
        </w:rPr>
        <w:t xml:space="preserve">r. </w:t>
      </w:r>
      <w:r w:rsidRPr="006E7638">
        <w:rPr>
          <w:rFonts w:asciiTheme="minorHAnsi" w:eastAsia="Calibri" w:hAnsiTheme="minorHAnsi" w:cstheme="minorHAnsi"/>
          <w:sz w:val="26"/>
          <w:szCs w:val="26"/>
          <w:lang w:eastAsia="ro-RO"/>
        </w:rPr>
        <w:t xml:space="preserve">2/2025 al Revistei Institutului - THEMIS este planificată pentru finalul lunii decembrie 2025. </w:t>
      </w:r>
    </w:p>
    <w:p w14:paraId="1C05E2A1" w14:textId="54BA8EBA" w:rsidR="00021845" w:rsidRPr="001862D3" w:rsidRDefault="00021845" w:rsidP="009E3AD8">
      <w:pPr>
        <w:spacing w:line="276" w:lineRule="auto"/>
        <w:ind w:firstLine="708"/>
        <w:jc w:val="both"/>
        <w:rPr>
          <w:rFonts w:asciiTheme="minorHAnsi" w:hAnsiTheme="minorHAnsi" w:cstheme="minorHAnsi"/>
          <w:b/>
          <w:color w:val="000000" w:themeColor="text1"/>
          <w:sz w:val="26"/>
          <w:szCs w:val="26"/>
        </w:rPr>
      </w:pPr>
      <w:r w:rsidRPr="001862D3">
        <w:rPr>
          <w:rFonts w:asciiTheme="minorHAnsi" w:hAnsiTheme="minorHAnsi" w:cstheme="minorHAnsi"/>
          <w:b/>
          <w:color w:val="000000" w:themeColor="text1"/>
          <w:sz w:val="26"/>
          <w:szCs w:val="26"/>
        </w:rPr>
        <w:t>II.3.2. Formarea profesională continuă a judecătorilor și procurorilor în cadrul I</w:t>
      </w:r>
      <w:r w:rsidR="001859D7">
        <w:rPr>
          <w:rFonts w:asciiTheme="minorHAnsi" w:hAnsiTheme="minorHAnsi" w:cstheme="minorHAnsi"/>
          <w:b/>
          <w:color w:val="000000" w:themeColor="text1"/>
          <w:sz w:val="26"/>
          <w:szCs w:val="26"/>
        </w:rPr>
        <w:t>.</w:t>
      </w:r>
      <w:r w:rsidRPr="001862D3">
        <w:rPr>
          <w:rFonts w:asciiTheme="minorHAnsi" w:hAnsiTheme="minorHAnsi" w:cstheme="minorHAnsi"/>
          <w:b/>
          <w:color w:val="000000" w:themeColor="text1"/>
          <w:sz w:val="26"/>
          <w:szCs w:val="26"/>
        </w:rPr>
        <w:t>N</w:t>
      </w:r>
      <w:r w:rsidR="001859D7">
        <w:rPr>
          <w:rFonts w:asciiTheme="minorHAnsi" w:hAnsiTheme="minorHAnsi" w:cstheme="minorHAnsi"/>
          <w:b/>
          <w:color w:val="000000" w:themeColor="text1"/>
          <w:sz w:val="26"/>
          <w:szCs w:val="26"/>
        </w:rPr>
        <w:t>.</w:t>
      </w:r>
      <w:r w:rsidRPr="001862D3">
        <w:rPr>
          <w:rFonts w:asciiTheme="minorHAnsi" w:hAnsiTheme="minorHAnsi" w:cstheme="minorHAnsi"/>
          <w:b/>
          <w:color w:val="000000" w:themeColor="text1"/>
          <w:sz w:val="26"/>
          <w:szCs w:val="26"/>
        </w:rPr>
        <w:t>M</w:t>
      </w:r>
      <w:r w:rsidR="001859D7">
        <w:rPr>
          <w:rFonts w:asciiTheme="minorHAnsi" w:hAnsiTheme="minorHAnsi" w:cstheme="minorHAnsi"/>
          <w:b/>
          <w:color w:val="000000" w:themeColor="text1"/>
          <w:sz w:val="26"/>
          <w:szCs w:val="26"/>
        </w:rPr>
        <w:t>.</w:t>
      </w:r>
    </w:p>
    <w:p w14:paraId="28D3FD1A" w14:textId="37051D5D" w:rsidR="00021845" w:rsidRPr="001862D3" w:rsidRDefault="00021845" w:rsidP="009E3AD8">
      <w:pPr>
        <w:spacing w:line="276" w:lineRule="auto"/>
        <w:ind w:firstLine="720"/>
        <w:jc w:val="both"/>
        <w:rPr>
          <w:rFonts w:asciiTheme="minorHAnsi" w:hAnsiTheme="minorHAnsi" w:cstheme="minorHAnsi"/>
          <w:color w:val="000000" w:themeColor="text1"/>
          <w:sz w:val="26"/>
          <w:szCs w:val="26"/>
        </w:rPr>
      </w:pPr>
      <w:r w:rsidRPr="001862D3">
        <w:rPr>
          <w:rFonts w:asciiTheme="minorHAnsi" w:hAnsiTheme="minorHAnsi" w:cstheme="minorHAnsi"/>
          <w:color w:val="000000" w:themeColor="text1"/>
          <w:sz w:val="26"/>
          <w:szCs w:val="26"/>
        </w:rPr>
        <w:t>Principalele obiective strategice ale formării profesionale continue derulate la nivelul I</w:t>
      </w:r>
      <w:r w:rsidR="00133B90">
        <w:rPr>
          <w:rFonts w:asciiTheme="minorHAnsi" w:hAnsiTheme="minorHAnsi" w:cstheme="minorHAnsi"/>
          <w:color w:val="000000" w:themeColor="text1"/>
          <w:sz w:val="26"/>
          <w:szCs w:val="26"/>
        </w:rPr>
        <w:t xml:space="preserve">.N.M. </w:t>
      </w:r>
      <w:r w:rsidRPr="001862D3">
        <w:rPr>
          <w:rFonts w:asciiTheme="minorHAnsi" w:hAnsiTheme="minorHAnsi" w:cstheme="minorHAnsi"/>
          <w:color w:val="000000" w:themeColor="text1"/>
          <w:sz w:val="26"/>
          <w:szCs w:val="26"/>
        </w:rPr>
        <w:t>vizează, pe de o parte, consolidarea calității activităților de formare continuă organizate la nivel central, iar pe de altă parte, extinderea și îmbunătățirea formării continue desfășurate în plan descentralizat. Aceste direcții de acțiune sunt aliniate obiectivelor prevăzute în Strategia de dezvoltare a sistemului judiciar, aprobată prin H</w:t>
      </w:r>
      <w:r w:rsidR="00133B90">
        <w:rPr>
          <w:rFonts w:asciiTheme="minorHAnsi" w:hAnsiTheme="minorHAnsi" w:cstheme="minorHAnsi"/>
          <w:color w:val="000000" w:themeColor="text1"/>
          <w:sz w:val="26"/>
          <w:szCs w:val="26"/>
        </w:rPr>
        <w:t xml:space="preserve">.G. </w:t>
      </w:r>
      <w:r w:rsidRPr="001862D3">
        <w:rPr>
          <w:rFonts w:asciiTheme="minorHAnsi" w:hAnsiTheme="minorHAnsi" w:cstheme="minorHAnsi"/>
          <w:color w:val="000000" w:themeColor="text1"/>
          <w:sz w:val="26"/>
          <w:szCs w:val="26"/>
        </w:rPr>
        <w:t>nr. 436/2022, precum și altor orientări strategice naționale și europene relevante.</w:t>
      </w:r>
    </w:p>
    <w:p w14:paraId="67A19447" w14:textId="16DB9203" w:rsidR="00021845" w:rsidRPr="001862D3" w:rsidRDefault="00021845" w:rsidP="009E3AD8">
      <w:pPr>
        <w:spacing w:line="276" w:lineRule="auto"/>
        <w:ind w:firstLine="720"/>
        <w:jc w:val="both"/>
        <w:rPr>
          <w:rFonts w:asciiTheme="minorHAnsi" w:hAnsiTheme="minorHAnsi" w:cstheme="minorHAnsi"/>
          <w:color w:val="000000" w:themeColor="text1"/>
          <w:sz w:val="26"/>
          <w:szCs w:val="26"/>
        </w:rPr>
      </w:pPr>
      <w:r w:rsidRPr="001862D3">
        <w:rPr>
          <w:rFonts w:asciiTheme="minorHAnsi" w:hAnsiTheme="minorHAnsi" w:cstheme="minorHAnsi"/>
          <w:color w:val="000000" w:themeColor="text1"/>
          <w:sz w:val="26"/>
          <w:szCs w:val="26"/>
        </w:rPr>
        <w:t>În realizarea misiunii sale de formare a membrilor sistemului judiciar, I</w:t>
      </w:r>
      <w:r w:rsidR="00133B90">
        <w:rPr>
          <w:rFonts w:asciiTheme="minorHAnsi" w:hAnsiTheme="minorHAnsi" w:cstheme="minorHAnsi"/>
          <w:color w:val="000000" w:themeColor="text1"/>
          <w:sz w:val="26"/>
          <w:szCs w:val="26"/>
        </w:rPr>
        <w:t xml:space="preserve">.N.M. </w:t>
      </w:r>
      <w:r w:rsidRPr="001862D3">
        <w:rPr>
          <w:rFonts w:asciiTheme="minorHAnsi" w:hAnsiTheme="minorHAnsi" w:cstheme="minorHAnsi"/>
          <w:color w:val="000000" w:themeColor="text1"/>
          <w:sz w:val="26"/>
          <w:szCs w:val="26"/>
        </w:rPr>
        <w:t>a organizat și coordonat, în perioada de referință, activități de formare profesională continuă destinate judecătorilor și procurorilor, desfășurate atât la nivel centralizat, cât și descentralizat.</w:t>
      </w:r>
    </w:p>
    <w:p w14:paraId="05062263" w14:textId="77777777" w:rsidR="00021845" w:rsidRPr="001862D3" w:rsidRDefault="00021845" w:rsidP="00281400">
      <w:pPr>
        <w:numPr>
          <w:ilvl w:val="0"/>
          <w:numId w:val="5"/>
        </w:numPr>
        <w:tabs>
          <w:tab w:val="left" w:pos="1134"/>
        </w:tabs>
        <w:autoSpaceDE w:val="0"/>
        <w:autoSpaceDN w:val="0"/>
        <w:adjustRightInd w:val="0"/>
        <w:spacing w:line="276" w:lineRule="auto"/>
        <w:ind w:hanging="11"/>
        <w:contextualSpacing/>
        <w:jc w:val="both"/>
        <w:rPr>
          <w:rFonts w:asciiTheme="minorHAnsi" w:hAnsiTheme="minorHAnsi" w:cstheme="minorHAnsi"/>
          <w:b/>
          <w:color w:val="000000" w:themeColor="text1"/>
          <w:sz w:val="26"/>
          <w:szCs w:val="26"/>
        </w:rPr>
      </w:pPr>
      <w:r w:rsidRPr="001862D3">
        <w:rPr>
          <w:rFonts w:asciiTheme="minorHAnsi" w:hAnsiTheme="minorHAnsi" w:cstheme="minorHAnsi"/>
          <w:b/>
          <w:color w:val="000000" w:themeColor="text1"/>
          <w:sz w:val="26"/>
          <w:szCs w:val="26"/>
        </w:rPr>
        <w:t xml:space="preserve">Activitățile de formare continuă la nivel centralizat </w:t>
      </w:r>
    </w:p>
    <w:p w14:paraId="61E371C6" w14:textId="42B2CE8A" w:rsidR="00021845" w:rsidRPr="001862D3" w:rsidRDefault="00021845" w:rsidP="009E3AD8">
      <w:pPr>
        <w:autoSpaceDE w:val="0"/>
        <w:autoSpaceDN w:val="0"/>
        <w:adjustRightInd w:val="0"/>
        <w:spacing w:line="276" w:lineRule="auto"/>
        <w:ind w:firstLine="720"/>
        <w:jc w:val="both"/>
        <w:rPr>
          <w:rFonts w:asciiTheme="minorHAnsi" w:hAnsiTheme="minorHAnsi" w:cstheme="minorHAnsi"/>
          <w:color w:val="000000" w:themeColor="text1"/>
          <w:sz w:val="26"/>
          <w:szCs w:val="26"/>
        </w:rPr>
      </w:pPr>
      <w:r w:rsidRPr="001862D3">
        <w:rPr>
          <w:rFonts w:asciiTheme="minorHAnsi" w:hAnsiTheme="minorHAnsi" w:cstheme="minorHAnsi"/>
          <w:color w:val="000000" w:themeColor="text1"/>
          <w:sz w:val="26"/>
          <w:szCs w:val="26"/>
        </w:rPr>
        <w:lastRenderedPageBreak/>
        <w:t>În elaborarea Programului de formare profesională continuă la nivel centralizat pentru anul 2025 au fost parcurse etapele necesare pentru stabilirea nevoilor de formare ale sistemului judiciar, prin coroborarea nevoilor de formare identificate de judecători și procurori cu nevoile de formare stabilite ca obiective instituționale și asumate prin strategiile sistemului judiciar. Ca urmare a acestei analize de sistem, au fost identificate direcțiile de formare prioritare pentru formarea continuă centralizată în cursul anului 2025, respectiv: unificarea practicii judiciare; formarea specializată a magistraților; pregătirea judecătorilor și procurorilor în domeniul dreptului european</w:t>
      </w:r>
      <w:r w:rsidR="00646218">
        <w:rPr>
          <w:rFonts w:asciiTheme="minorHAnsi" w:hAnsiTheme="minorHAnsi" w:cstheme="minorHAnsi"/>
          <w:color w:val="000000" w:themeColor="text1"/>
          <w:sz w:val="26"/>
          <w:szCs w:val="26"/>
        </w:rPr>
        <w:t xml:space="preserve"> - </w:t>
      </w:r>
      <w:r w:rsidRPr="001862D3">
        <w:rPr>
          <w:rFonts w:asciiTheme="minorHAnsi" w:hAnsiTheme="minorHAnsi" w:cstheme="minorHAnsi"/>
          <w:color w:val="000000" w:themeColor="text1"/>
          <w:sz w:val="26"/>
          <w:szCs w:val="26"/>
        </w:rPr>
        <w:t>dreptul U.E., C.E.D.O., cooperare judiciară internațională în materie civilă și penală; dezvoltarea abilităților non-juridice specifice profesiei.</w:t>
      </w:r>
    </w:p>
    <w:p w14:paraId="6D909491" w14:textId="71DD351A" w:rsidR="00021845" w:rsidRPr="001862D3" w:rsidRDefault="00021845" w:rsidP="009E3AD8">
      <w:pPr>
        <w:autoSpaceDE w:val="0"/>
        <w:autoSpaceDN w:val="0"/>
        <w:adjustRightInd w:val="0"/>
        <w:spacing w:line="276" w:lineRule="auto"/>
        <w:ind w:firstLine="720"/>
        <w:jc w:val="both"/>
        <w:rPr>
          <w:rFonts w:asciiTheme="minorHAnsi" w:hAnsiTheme="minorHAnsi" w:cstheme="minorHAnsi"/>
          <w:color w:val="000000" w:themeColor="text1"/>
          <w:sz w:val="26"/>
          <w:szCs w:val="26"/>
        </w:rPr>
      </w:pPr>
      <w:r w:rsidRPr="001862D3">
        <w:rPr>
          <w:rFonts w:asciiTheme="minorHAnsi" w:hAnsiTheme="minorHAnsi" w:cstheme="minorHAnsi"/>
          <w:color w:val="000000" w:themeColor="text1"/>
          <w:sz w:val="26"/>
          <w:szCs w:val="26"/>
        </w:rPr>
        <w:t xml:space="preserve">Pentru a promova dialogul interprofesional, I.N.M. a avut în vedere stabilirea de </w:t>
      </w:r>
      <w:r w:rsidRPr="00EA412E">
        <w:rPr>
          <w:rFonts w:asciiTheme="minorHAnsi" w:hAnsiTheme="minorHAnsi" w:cstheme="minorHAnsi"/>
          <w:color w:val="000000" w:themeColor="text1"/>
          <w:sz w:val="26"/>
          <w:szCs w:val="26"/>
        </w:rPr>
        <w:t>parteneriate cu scop formativ</w:t>
      </w:r>
      <w:r w:rsidRPr="001862D3">
        <w:rPr>
          <w:rFonts w:asciiTheme="minorHAnsi" w:hAnsiTheme="minorHAnsi" w:cstheme="minorHAnsi"/>
          <w:color w:val="000000" w:themeColor="text1"/>
          <w:sz w:val="26"/>
          <w:szCs w:val="26"/>
        </w:rPr>
        <w:t xml:space="preserve"> cu o serie de instituții și organisme naționale sau internaționale, precum Institutul Național de Pregătire a Practicienilor în Insolvență, Parchetul de pe lângă Înalta Curte de Casație şi Justiţie, International Justice Mission, Consiliul Superior al Magistraturii, Ambasada Marii Britanii la București, Agenția Națională </w:t>
      </w:r>
      <w:r w:rsidR="00EA412E">
        <w:rPr>
          <w:rFonts w:asciiTheme="minorHAnsi" w:hAnsiTheme="minorHAnsi" w:cstheme="minorHAnsi"/>
          <w:color w:val="000000" w:themeColor="text1"/>
          <w:sz w:val="26"/>
          <w:szCs w:val="26"/>
        </w:rPr>
        <w:t>d</w:t>
      </w:r>
      <w:r w:rsidRPr="001862D3">
        <w:rPr>
          <w:rFonts w:asciiTheme="minorHAnsi" w:hAnsiTheme="minorHAnsi" w:cstheme="minorHAnsi"/>
          <w:color w:val="000000" w:themeColor="text1"/>
          <w:sz w:val="26"/>
          <w:szCs w:val="26"/>
        </w:rPr>
        <w:t xml:space="preserve">e Administrare </w:t>
      </w:r>
      <w:r w:rsidR="00EA412E">
        <w:rPr>
          <w:rFonts w:asciiTheme="minorHAnsi" w:hAnsiTheme="minorHAnsi" w:cstheme="minorHAnsi"/>
          <w:color w:val="000000" w:themeColor="text1"/>
          <w:sz w:val="26"/>
          <w:szCs w:val="26"/>
        </w:rPr>
        <w:t>a</w:t>
      </w:r>
      <w:r w:rsidRPr="001862D3">
        <w:rPr>
          <w:rFonts w:asciiTheme="minorHAnsi" w:hAnsiTheme="minorHAnsi" w:cstheme="minorHAnsi"/>
          <w:color w:val="000000" w:themeColor="text1"/>
          <w:sz w:val="26"/>
          <w:szCs w:val="26"/>
        </w:rPr>
        <w:t xml:space="preserve"> Bunurilor Indisponibilizate, Agenția Națională de Integritate, Centrului de Soluționare Alternativă a Litigiilor în domeniul Bancar, Asociaţia Română de Dreptul Concurenţei</w:t>
      </w:r>
      <w:r w:rsidRPr="001862D3">
        <w:rPr>
          <w:rFonts w:asciiTheme="minorHAnsi" w:hAnsiTheme="minorHAnsi" w:cstheme="minorHAnsi"/>
          <w:color w:val="000000" w:themeColor="text1"/>
          <w:spacing w:val="12"/>
          <w:sz w:val="26"/>
          <w:szCs w:val="26"/>
          <w:lang w:eastAsia="en-GB"/>
        </w:rPr>
        <w:t xml:space="preserve">, </w:t>
      </w:r>
      <w:r w:rsidRPr="001862D3">
        <w:rPr>
          <w:rFonts w:asciiTheme="minorHAnsi" w:hAnsiTheme="minorHAnsi" w:cstheme="minorHAnsi"/>
          <w:color w:val="000000" w:themeColor="text1"/>
          <w:sz w:val="26"/>
          <w:szCs w:val="26"/>
        </w:rPr>
        <w:t xml:space="preserve">Uniunea Națională a Barourilor din România și Institutul Național pentru Pregătirea şi Perfecționarea Avocaților, Consiliul Național pentru Combaterea Discriminării și alte instituții. </w:t>
      </w:r>
    </w:p>
    <w:p w14:paraId="5EA05E22" w14:textId="77777777" w:rsidR="00021845" w:rsidRPr="001862D3" w:rsidRDefault="00021845" w:rsidP="009E3AD8">
      <w:pPr>
        <w:autoSpaceDE w:val="0"/>
        <w:autoSpaceDN w:val="0"/>
        <w:adjustRightInd w:val="0"/>
        <w:spacing w:line="276" w:lineRule="auto"/>
        <w:ind w:firstLine="720"/>
        <w:jc w:val="both"/>
        <w:rPr>
          <w:rFonts w:asciiTheme="minorHAnsi" w:hAnsiTheme="minorHAnsi" w:cstheme="minorHAnsi"/>
          <w:color w:val="000000" w:themeColor="text1"/>
          <w:sz w:val="26"/>
          <w:szCs w:val="26"/>
        </w:rPr>
      </w:pPr>
      <w:bookmarkStart w:id="97" w:name="_Hlk184975505"/>
      <w:r w:rsidRPr="001862D3">
        <w:rPr>
          <w:rFonts w:asciiTheme="minorHAnsi" w:hAnsiTheme="minorHAnsi" w:cstheme="minorHAnsi"/>
          <w:color w:val="000000" w:themeColor="text1"/>
          <w:sz w:val="26"/>
          <w:szCs w:val="26"/>
        </w:rPr>
        <w:t>În anul 2025, formarea continuă a fost realizată atât din fonduri bugetare, cât și din fonduri mixte și extrabugetare.</w:t>
      </w:r>
    </w:p>
    <w:bookmarkEnd w:id="97"/>
    <w:p w14:paraId="6681053C" w14:textId="6DC40712" w:rsidR="00E13D51" w:rsidRPr="00255A74" w:rsidRDefault="00021845" w:rsidP="009E3AD8">
      <w:pPr>
        <w:spacing w:line="276" w:lineRule="auto"/>
        <w:ind w:firstLine="720"/>
        <w:jc w:val="both"/>
        <w:rPr>
          <w:rFonts w:asciiTheme="minorHAnsi" w:hAnsiTheme="minorHAnsi" w:cstheme="minorHAnsi"/>
          <w:sz w:val="26"/>
          <w:szCs w:val="26"/>
        </w:rPr>
      </w:pPr>
      <w:r w:rsidRPr="001862D3">
        <w:rPr>
          <w:rFonts w:asciiTheme="minorHAnsi" w:hAnsiTheme="minorHAnsi" w:cstheme="minorHAnsi"/>
          <w:color w:val="000000" w:themeColor="text1"/>
          <w:sz w:val="26"/>
          <w:szCs w:val="26"/>
        </w:rPr>
        <w:t xml:space="preserve">O preocupare prioritară și constantă a programului de formare profesională continuă desfășurat de I.N.M. a reprezentat-o în anul 2025 organizarea de </w:t>
      </w:r>
      <w:r w:rsidRPr="00EA412E">
        <w:rPr>
          <w:rFonts w:asciiTheme="minorHAnsi" w:hAnsiTheme="minorHAnsi" w:cstheme="minorHAnsi"/>
          <w:color w:val="000000" w:themeColor="text1"/>
          <w:sz w:val="26"/>
          <w:szCs w:val="26"/>
        </w:rPr>
        <w:t>dezbateri cu privire la aspectele de practică neunitară,</w:t>
      </w:r>
      <w:r w:rsidRPr="001862D3">
        <w:rPr>
          <w:rFonts w:asciiTheme="minorHAnsi" w:hAnsiTheme="minorHAnsi" w:cstheme="minorHAnsi"/>
          <w:color w:val="000000" w:themeColor="text1"/>
          <w:sz w:val="26"/>
          <w:szCs w:val="26"/>
        </w:rPr>
        <w:t xml:space="preserve"> în cadrul întâlnirilor președinților secțiilor specializate din cadrul Înaltei Curți de Casație și Justiție și al curților de apel și cele ale procurorilor șefi secție din cadrul Parchetului de pe lângă Înalta Curte de Casație și Justiție și al parchetelor de pe lângă curțile de apel</w:t>
      </w:r>
      <w:r w:rsidRPr="00255A74">
        <w:rPr>
          <w:rFonts w:asciiTheme="minorHAnsi" w:hAnsiTheme="minorHAnsi" w:cstheme="minorHAnsi"/>
          <w:sz w:val="26"/>
          <w:szCs w:val="26"/>
        </w:rPr>
        <w:t xml:space="preserve">. </w:t>
      </w:r>
      <w:r w:rsidR="00E13D51" w:rsidRPr="00255A74">
        <w:rPr>
          <w:rFonts w:asciiTheme="minorHAnsi" w:hAnsiTheme="minorHAnsi" w:cstheme="minorHAnsi"/>
          <w:sz w:val="26"/>
          <w:szCs w:val="26"/>
        </w:rPr>
        <w:t>În perioada de referință,</w:t>
      </w:r>
      <w:r w:rsidR="00E13D51" w:rsidRPr="00255A74">
        <w:t xml:space="preserve"> </w:t>
      </w:r>
      <w:r w:rsidR="00083C02" w:rsidRPr="00255A74">
        <w:rPr>
          <w:rFonts w:asciiTheme="minorHAnsi" w:hAnsiTheme="minorHAnsi" w:cstheme="minorHAnsi"/>
          <w:sz w:val="26"/>
          <w:szCs w:val="26"/>
        </w:rPr>
        <w:t xml:space="preserve">au fost organizate </w:t>
      </w:r>
      <w:r w:rsidR="00E13D51" w:rsidRPr="00255A74">
        <w:rPr>
          <w:rFonts w:asciiTheme="minorHAnsi" w:hAnsiTheme="minorHAnsi" w:cstheme="minorHAnsi"/>
          <w:sz w:val="26"/>
          <w:szCs w:val="26"/>
        </w:rPr>
        <w:t>6 întâlniri ale președinților secțiilor specializate, în domeniile drept civil și procesual civil, drept penal și drept procesual penal, drept administrativ, dreptul familiei, dreptul muncii și asigurărilor sociale.</w:t>
      </w:r>
    </w:p>
    <w:p w14:paraId="7036460E" w14:textId="50B29A6B" w:rsidR="00021845" w:rsidRPr="00EA412E" w:rsidRDefault="00021845" w:rsidP="009E3AD8">
      <w:pPr>
        <w:pStyle w:val="Default"/>
        <w:spacing w:line="276" w:lineRule="auto"/>
        <w:ind w:firstLine="708"/>
        <w:jc w:val="both"/>
        <w:rPr>
          <w:rFonts w:asciiTheme="minorHAnsi" w:hAnsiTheme="minorHAnsi" w:cstheme="minorHAnsi"/>
          <w:color w:val="000000" w:themeColor="text1"/>
          <w:sz w:val="26"/>
          <w:szCs w:val="26"/>
        </w:rPr>
      </w:pPr>
      <w:r w:rsidRPr="001862D3">
        <w:rPr>
          <w:rFonts w:asciiTheme="minorHAnsi" w:hAnsiTheme="minorHAnsi" w:cstheme="minorHAnsi"/>
          <w:color w:val="000000" w:themeColor="text1"/>
          <w:sz w:val="26"/>
          <w:szCs w:val="26"/>
        </w:rPr>
        <w:t xml:space="preserve">În anul 2025, Programul de formare continuă a inclus o serie de </w:t>
      </w:r>
      <w:r w:rsidRPr="00EA412E">
        <w:rPr>
          <w:rFonts w:asciiTheme="minorHAnsi" w:hAnsiTheme="minorHAnsi" w:cstheme="minorHAnsi"/>
          <w:color w:val="000000" w:themeColor="text1"/>
          <w:sz w:val="26"/>
          <w:szCs w:val="26"/>
        </w:rPr>
        <w:t>conferințe cu teme precum: Probleme de actualitate în practica judiciară în materia dreptului civil și a dreptului procesual civil</w:t>
      </w:r>
      <w:r w:rsidR="00747F87">
        <w:rPr>
          <w:rFonts w:asciiTheme="minorHAnsi" w:hAnsiTheme="minorHAnsi" w:cstheme="minorHAnsi"/>
          <w:color w:val="000000" w:themeColor="text1"/>
          <w:sz w:val="26"/>
          <w:szCs w:val="26"/>
        </w:rPr>
        <w:t xml:space="preserve">, </w:t>
      </w:r>
      <w:r w:rsidRPr="00EA412E">
        <w:rPr>
          <w:rFonts w:asciiTheme="minorHAnsi" w:hAnsiTheme="minorHAnsi" w:cstheme="minorHAnsi"/>
          <w:color w:val="000000" w:themeColor="text1"/>
          <w:sz w:val="26"/>
          <w:szCs w:val="26"/>
        </w:rPr>
        <w:t xml:space="preserve">Elemente de drept European, </w:t>
      </w:r>
      <w:r w:rsidRPr="00EA412E">
        <w:rPr>
          <w:rFonts w:asciiTheme="minorHAnsi" w:eastAsiaTheme="minorHAnsi" w:hAnsiTheme="minorHAnsi" w:cstheme="minorHAnsi"/>
          <w:color w:val="000000" w:themeColor="text1"/>
          <w:sz w:val="26"/>
          <w:szCs w:val="26"/>
        </w:rPr>
        <w:t>Probleme de practică neunitară în materia executării silite</w:t>
      </w:r>
      <w:r w:rsidRPr="00EA412E">
        <w:rPr>
          <w:rFonts w:asciiTheme="minorHAnsi" w:hAnsiTheme="minorHAnsi" w:cstheme="minorHAnsi"/>
          <w:color w:val="000000" w:themeColor="text1"/>
          <w:sz w:val="26"/>
          <w:szCs w:val="26"/>
        </w:rPr>
        <w:t xml:space="preserve"> (2 conferințe), Violența în raporturile de familie, Protecția consumatorilor: cum alegem între soluționarea alternativă a litigiilor şi procedurile judiciare (2 conferințe), Insolvența persoanei juridice (5 conferințe) și o conferință dedicată membrilor rețelei europene EuroQuod. </w:t>
      </w:r>
    </w:p>
    <w:p w14:paraId="6D2A692A" w14:textId="4DDB168E" w:rsidR="00021845" w:rsidRPr="001862D3" w:rsidRDefault="00021845" w:rsidP="009E3AD8">
      <w:pPr>
        <w:spacing w:line="276" w:lineRule="auto"/>
        <w:ind w:firstLine="720"/>
        <w:jc w:val="both"/>
        <w:rPr>
          <w:rFonts w:asciiTheme="minorHAnsi" w:hAnsiTheme="minorHAnsi" w:cstheme="minorHAnsi"/>
          <w:color w:val="000000" w:themeColor="text1"/>
          <w:sz w:val="26"/>
          <w:szCs w:val="26"/>
        </w:rPr>
      </w:pPr>
      <w:r w:rsidRPr="00EA412E">
        <w:rPr>
          <w:rFonts w:asciiTheme="minorHAnsi" w:hAnsiTheme="minorHAnsi" w:cstheme="minorHAnsi"/>
          <w:color w:val="000000" w:themeColor="text1"/>
          <w:sz w:val="26"/>
          <w:szCs w:val="26"/>
        </w:rPr>
        <w:t>Programul de formare continuă aferent anului 2025</w:t>
      </w:r>
      <w:r w:rsidR="00747F87">
        <w:rPr>
          <w:rFonts w:asciiTheme="minorHAnsi" w:hAnsiTheme="minorHAnsi" w:cstheme="minorHAnsi"/>
          <w:color w:val="000000" w:themeColor="text1"/>
          <w:sz w:val="26"/>
          <w:szCs w:val="26"/>
        </w:rPr>
        <w:t xml:space="preserve"> </w:t>
      </w:r>
      <w:r w:rsidRPr="00EA412E">
        <w:rPr>
          <w:rFonts w:asciiTheme="minorHAnsi" w:hAnsiTheme="minorHAnsi" w:cstheme="minorHAnsi"/>
          <w:color w:val="000000" w:themeColor="text1"/>
          <w:sz w:val="26"/>
          <w:szCs w:val="26"/>
        </w:rPr>
        <w:t>a acordat o pondere importantă domeniilor specializate,</w:t>
      </w:r>
      <w:r w:rsidRPr="001862D3">
        <w:rPr>
          <w:rFonts w:asciiTheme="minorHAnsi" w:hAnsiTheme="minorHAnsi" w:cstheme="minorHAnsi"/>
          <w:color w:val="000000" w:themeColor="text1"/>
          <w:sz w:val="26"/>
          <w:szCs w:val="26"/>
        </w:rPr>
        <w:t xml:space="preserve"> cu luarea în considerare a obiectivelor strategice prevăzute de Strategia de dezvoltare a sistemului judiciar 2022 - 2025, respectiv răspunderea penală în cazul culpei medicale, răspunderea penală în cazul accidentelor de muncă, lupta împotriva corupției și a criminalității economico - financiare, combaterea traficului de persoane, cu accent pe protecția victimelor infracțiunilor, combaterea traficului de droguri, combaterea criminalității informatice, administrarea probatoriului în cazul infracțiunilor la regimul circulației pe drumurile publice, răspunderea penală în cazul culpei medicale, tehnici de audiere în cauzele penale, justiția pentru </w:t>
      </w:r>
      <w:r w:rsidRPr="001862D3">
        <w:rPr>
          <w:rFonts w:asciiTheme="minorHAnsi" w:hAnsiTheme="minorHAnsi" w:cstheme="minorHAnsi"/>
          <w:color w:val="000000" w:themeColor="text1"/>
          <w:sz w:val="26"/>
          <w:szCs w:val="26"/>
        </w:rPr>
        <w:lastRenderedPageBreak/>
        <w:t>minori aspecte civile și aspecte penale, lupta împotriva violenței domestice, dreptul muncii, insolvență, protecția consumatorului.</w:t>
      </w:r>
    </w:p>
    <w:p w14:paraId="0F11679F" w14:textId="4480C543" w:rsidR="00021845" w:rsidRPr="001862D3" w:rsidRDefault="00021845" w:rsidP="009E3AD8">
      <w:pPr>
        <w:spacing w:line="276" w:lineRule="auto"/>
        <w:ind w:firstLine="720"/>
        <w:jc w:val="both"/>
        <w:rPr>
          <w:rFonts w:asciiTheme="minorHAnsi" w:hAnsiTheme="minorHAnsi" w:cstheme="minorHAnsi"/>
          <w:color w:val="000000" w:themeColor="text1"/>
          <w:sz w:val="26"/>
          <w:szCs w:val="26"/>
        </w:rPr>
      </w:pPr>
      <w:r w:rsidRPr="001862D3">
        <w:rPr>
          <w:rFonts w:asciiTheme="minorHAnsi" w:hAnsiTheme="minorHAnsi" w:cstheme="minorHAnsi"/>
          <w:color w:val="000000" w:themeColor="text1"/>
          <w:sz w:val="26"/>
          <w:szCs w:val="26"/>
        </w:rPr>
        <w:t xml:space="preserve">Printre activitățile de formare profesională continuă organizate în perioada de referință s-au numărat și cele dedicate îmbunătățirii aplicării </w:t>
      </w:r>
      <w:r w:rsidRPr="005A0EBB">
        <w:rPr>
          <w:rFonts w:asciiTheme="minorHAnsi" w:hAnsiTheme="minorHAnsi" w:cstheme="minorHAnsi"/>
          <w:color w:val="000000" w:themeColor="text1"/>
          <w:sz w:val="26"/>
          <w:szCs w:val="26"/>
        </w:rPr>
        <w:t>conceptelor juridice europene</w:t>
      </w:r>
      <w:r w:rsidRPr="001862D3">
        <w:rPr>
          <w:rFonts w:asciiTheme="minorHAnsi" w:hAnsiTheme="minorHAnsi" w:cstheme="minorHAnsi"/>
          <w:color w:val="000000" w:themeColor="text1"/>
          <w:sz w:val="26"/>
          <w:szCs w:val="26"/>
        </w:rPr>
        <w:t xml:space="preserve"> de către membrii sistemului judiciar din România, ținându-se seama de relația dintre perspectiva europeană și perspectiva națională, permițând judecătorilor, procurorilor și altor profesioniști din domeniul juridic să înțeleagă pe deplin și să aplice conceptele juridice europene în activitatea lor profesională, în domenii considerate de interes pentru magistrații români, cum ar fi: achiziții publice, contencios administrativ, impozitul pe profit și TVA, dreptul concurenței, confiscarea specială, cooperare internațională în materie civilă și penală, jurisprudența C.E.D.O. - aspecte civile și penale</w:t>
      </w:r>
      <w:r w:rsidR="005A0EBB">
        <w:rPr>
          <w:rFonts w:asciiTheme="minorHAnsi" w:hAnsiTheme="minorHAnsi" w:cstheme="minorHAnsi"/>
          <w:color w:val="000000" w:themeColor="text1"/>
          <w:sz w:val="26"/>
          <w:szCs w:val="26"/>
        </w:rPr>
        <w:t xml:space="preserve"> </w:t>
      </w:r>
      <w:r w:rsidRPr="001862D3">
        <w:rPr>
          <w:rFonts w:asciiTheme="minorHAnsi" w:hAnsiTheme="minorHAnsi" w:cstheme="minorHAnsi"/>
          <w:color w:val="000000" w:themeColor="text1"/>
          <w:sz w:val="26"/>
          <w:szCs w:val="26"/>
        </w:rPr>
        <w:t xml:space="preserve">în materia drepturilor fundamentale. În cadrul componentei europene a activității de formare, I.N.M. </w:t>
      </w:r>
      <w:r w:rsidR="00083C02" w:rsidRPr="00255A74">
        <w:rPr>
          <w:rFonts w:asciiTheme="minorHAnsi" w:hAnsiTheme="minorHAnsi" w:cstheme="minorHAnsi"/>
          <w:sz w:val="26"/>
          <w:szCs w:val="26"/>
        </w:rPr>
        <w:t xml:space="preserve">a organizat cea de-a XVIII-a ediție a Conferinței </w:t>
      </w:r>
      <w:r w:rsidRPr="001862D3">
        <w:rPr>
          <w:rFonts w:asciiTheme="minorHAnsi" w:hAnsiTheme="minorHAnsi" w:cstheme="minorHAnsi"/>
          <w:color w:val="000000" w:themeColor="text1"/>
          <w:sz w:val="26"/>
          <w:szCs w:val="26"/>
        </w:rPr>
        <w:t xml:space="preserve">dedicate formării membrilor rețelei EuroQuod. </w:t>
      </w:r>
    </w:p>
    <w:p w14:paraId="29C0FFE0" w14:textId="77777777" w:rsidR="00021845" w:rsidRPr="001862D3" w:rsidRDefault="00021845" w:rsidP="009E3AD8">
      <w:pPr>
        <w:spacing w:line="276" w:lineRule="auto"/>
        <w:ind w:firstLine="720"/>
        <w:jc w:val="both"/>
        <w:rPr>
          <w:rFonts w:asciiTheme="minorHAnsi" w:hAnsiTheme="minorHAnsi" w:cstheme="minorHAnsi"/>
          <w:color w:val="000000" w:themeColor="text1"/>
          <w:sz w:val="26"/>
          <w:szCs w:val="26"/>
        </w:rPr>
      </w:pPr>
      <w:r w:rsidRPr="001862D3">
        <w:rPr>
          <w:rFonts w:asciiTheme="minorHAnsi" w:hAnsiTheme="minorHAnsi" w:cstheme="minorHAnsi"/>
          <w:color w:val="000000" w:themeColor="text1"/>
          <w:sz w:val="26"/>
          <w:szCs w:val="26"/>
        </w:rPr>
        <w:t xml:space="preserve">De asemenea, având în vedere obiectivele specifice de formare ale Strategiei de dezvoltare a sistemului judiciar 2022 - 2025, au fost incluse în Programul de formare profesională continuă 2025 sesiuni de formare în domeniul combaterii </w:t>
      </w:r>
      <w:r w:rsidRPr="005A0EBB">
        <w:rPr>
          <w:rFonts w:asciiTheme="minorHAnsi" w:hAnsiTheme="minorHAnsi" w:cstheme="minorHAnsi"/>
          <w:color w:val="000000" w:themeColor="text1"/>
          <w:sz w:val="26"/>
          <w:szCs w:val="26"/>
        </w:rPr>
        <w:t>infracțiunilor de mediu și a infracțiunilor silvice, în vederea creării unei practici unitare în materie.</w:t>
      </w:r>
    </w:p>
    <w:p w14:paraId="6C25084B" w14:textId="47ECC3B8" w:rsidR="00021845" w:rsidRPr="00255A74" w:rsidRDefault="00021845" w:rsidP="009E3AD8">
      <w:pPr>
        <w:spacing w:line="276" w:lineRule="auto"/>
        <w:ind w:firstLine="708"/>
        <w:jc w:val="both"/>
        <w:rPr>
          <w:rFonts w:asciiTheme="minorHAnsi" w:hAnsiTheme="minorHAnsi" w:cstheme="minorHAnsi"/>
          <w:sz w:val="26"/>
          <w:szCs w:val="26"/>
        </w:rPr>
      </w:pPr>
      <w:r w:rsidRPr="001862D3">
        <w:rPr>
          <w:rFonts w:asciiTheme="minorHAnsi" w:hAnsiTheme="minorHAnsi" w:cstheme="minorHAnsi"/>
          <w:color w:val="000000" w:themeColor="text1"/>
          <w:sz w:val="26"/>
          <w:szCs w:val="26"/>
        </w:rPr>
        <w:t xml:space="preserve">Totodată, în contextul preocupărilor și a nevoilor identificate la nivelul instituțiilor din sistemul judiciar cu privire </w:t>
      </w:r>
      <w:r w:rsidRPr="005A0EBB">
        <w:rPr>
          <w:rFonts w:asciiTheme="minorHAnsi" w:hAnsiTheme="minorHAnsi" w:cstheme="minorHAnsi"/>
          <w:color w:val="000000" w:themeColor="text1"/>
          <w:sz w:val="26"/>
          <w:szCs w:val="26"/>
        </w:rPr>
        <w:t xml:space="preserve">la  combaterea discriminării, </w:t>
      </w:r>
      <w:r w:rsidRPr="001862D3">
        <w:rPr>
          <w:rFonts w:asciiTheme="minorHAnsi" w:hAnsiTheme="minorHAnsi" w:cstheme="minorHAnsi"/>
          <w:color w:val="000000" w:themeColor="text1"/>
          <w:sz w:val="26"/>
          <w:szCs w:val="26"/>
        </w:rPr>
        <w:t xml:space="preserve">inclusiv a infracțiunilor motivate de ură, Institutul a avut în vedere organizarea de activități de formare în acest domeniu, cu accent pe combaterea infracțiunilor motivate de ură. Astfel, în </w:t>
      </w:r>
      <w:r w:rsidR="00374561">
        <w:rPr>
          <w:rFonts w:asciiTheme="minorHAnsi" w:hAnsiTheme="minorHAnsi" w:cstheme="minorHAnsi"/>
          <w:color w:val="000000" w:themeColor="text1"/>
          <w:sz w:val="26"/>
          <w:szCs w:val="26"/>
        </w:rPr>
        <w:t xml:space="preserve">anul </w:t>
      </w:r>
      <w:r w:rsidRPr="001862D3">
        <w:rPr>
          <w:rFonts w:asciiTheme="minorHAnsi" w:hAnsiTheme="minorHAnsi" w:cstheme="minorHAnsi"/>
          <w:color w:val="000000" w:themeColor="text1"/>
          <w:sz w:val="26"/>
          <w:szCs w:val="26"/>
        </w:rPr>
        <w:t xml:space="preserve">2025 a avut loc o activitate de formare în materia combaterii discriminării, cu accent pe investigarea infracțiunilor motivate de ură, ce a abordat problematica discursului motivat de ură și cea a infracțiunilor motivate de ură cu accent pe combaterea antisemitismului și nediscriminarea persoanelor din comunitatea L.G.B.T.I.. În cadrul aceleiași preocupări, I.N.M. </w:t>
      </w:r>
      <w:r w:rsidRPr="00255A74">
        <w:rPr>
          <w:rFonts w:asciiTheme="minorHAnsi" w:hAnsiTheme="minorHAnsi" w:cstheme="minorHAnsi"/>
          <w:sz w:val="26"/>
          <w:szCs w:val="26"/>
        </w:rPr>
        <w:t>a continu</w:t>
      </w:r>
      <w:r w:rsidR="00A94C30" w:rsidRPr="00255A74">
        <w:rPr>
          <w:rFonts w:asciiTheme="minorHAnsi" w:hAnsiTheme="minorHAnsi" w:cstheme="minorHAnsi"/>
          <w:sz w:val="26"/>
          <w:szCs w:val="26"/>
        </w:rPr>
        <w:t>at</w:t>
      </w:r>
      <w:r w:rsidRPr="00255A74">
        <w:rPr>
          <w:rFonts w:asciiTheme="minorHAnsi" w:hAnsiTheme="minorHAnsi" w:cstheme="minorHAnsi"/>
          <w:sz w:val="26"/>
          <w:szCs w:val="26"/>
        </w:rPr>
        <w:t xml:space="preserve"> seria activităților de formare online cu sprijinul Institutului Național pentru Studierea Holocaustului din România „Elie Wiesel", prin organizarea, în </w:t>
      </w:r>
      <w:r w:rsidR="00374561" w:rsidRPr="00255A74">
        <w:rPr>
          <w:rFonts w:asciiTheme="minorHAnsi" w:hAnsiTheme="minorHAnsi" w:cstheme="minorHAnsi"/>
          <w:sz w:val="26"/>
          <w:szCs w:val="26"/>
        </w:rPr>
        <w:t xml:space="preserve">cursul anului </w:t>
      </w:r>
      <w:r w:rsidRPr="00255A74">
        <w:rPr>
          <w:rFonts w:asciiTheme="minorHAnsi" w:hAnsiTheme="minorHAnsi" w:cstheme="minorHAnsi"/>
          <w:sz w:val="26"/>
          <w:szCs w:val="26"/>
        </w:rPr>
        <w:t>2025, a unui nou eveniment cu tema Antisemitism şi Holocaust – istorie, memorie și legislație.</w:t>
      </w:r>
    </w:p>
    <w:p w14:paraId="63BC0FDE" w14:textId="77777777" w:rsidR="00021845" w:rsidRPr="001862D3" w:rsidRDefault="00021845" w:rsidP="009E3AD8">
      <w:pPr>
        <w:spacing w:line="276" w:lineRule="auto"/>
        <w:ind w:firstLine="720"/>
        <w:jc w:val="both"/>
        <w:rPr>
          <w:rFonts w:asciiTheme="minorHAnsi" w:hAnsiTheme="minorHAnsi" w:cstheme="minorHAnsi"/>
          <w:color w:val="000000" w:themeColor="text1"/>
          <w:sz w:val="26"/>
          <w:szCs w:val="26"/>
        </w:rPr>
      </w:pPr>
      <w:r w:rsidRPr="00255A74">
        <w:rPr>
          <w:rFonts w:asciiTheme="minorHAnsi" w:hAnsiTheme="minorHAnsi" w:cstheme="minorHAnsi"/>
          <w:sz w:val="26"/>
          <w:szCs w:val="26"/>
        </w:rPr>
        <w:t xml:space="preserve">Dată fiind necesitatea abordării multidisciplinare </w:t>
      </w:r>
      <w:r w:rsidRPr="005A0EBB">
        <w:rPr>
          <w:rFonts w:asciiTheme="minorHAnsi" w:hAnsiTheme="minorHAnsi" w:cstheme="minorHAnsi"/>
          <w:color w:val="000000" w:themeColor="text1"/>
          <w:sz w:val="26"/>
          <w:szCs w:val="26"/>
        </w:rPr>
        <w:t>a formării prin dezvoltarea abilităților non-juridice specifice profesiilor de judecător și procuror, prin facilitarea dialogului interprofesional și realizarea unei comunicări eficiente, corecte și transparente între magistrați și societate, în Programul de formare continuă 2025 a</w:t>
      </w:r>
      <w:r w:rsidRPr="001862D3">
        <w:rPr>
          <w:rFonts w:asciiTheme="minorHAnsi" w:hAnsiTheme="minorHAnsi" w:cstheme="minorHAnsi"/>
          <w:color w:val="000000" w:themeColor="text1"/>
          <w:sz w:val="26"/>
          <w:szCs w:val="26"/>
        </w:rPr>
        <w:t xml:space="preserve">u fost prevăzute și desfășurate activități de formare în domenii ca management judiciar, comunicare și leadership, comunicare cu mass-media, comunicare în sala de judecată, etică și deontologie, etică și judgecraft – arta de a fi judecător, mindset pentru performanță în justiție, instrumente și bune practici de comunicare pentru îmbunătățirea activității de relații publice a personalului din sistemul judiciar, instrumente digitale de planificare, organizare și eficientizare a activității judiciare și formare a formatorilor. </w:t>
      </w:r>
    </w:p>
    <w:p w14:paraId="40B9A3C5" w14:textId="25059C3A" w:rsidR="00021845" w:rsidRPr="001862D3" w:rsidRDefault="00021845" w:rsidP="009E3AD8">
      <w:pPr>
        <w:spacing w:line="276" w:lineRule="auto"/>
        <w:ind w:firstLine="708"/>
        <w:jc w:val="both"/>
        <w:rPr>
          <w:rFonts w:asciiTheme="minorHAnsi" w:hAnsiTheme="minorHAnsi" w:cstheme="minorHAnsi"/>
          <w:color w:val="000000" w:themeColor="text1"/>
          <w:sz w:val="26"/>
          <w:szCs w:val="26"/>
        </w:rPr>
      </w:pPr>
      <w:r w:rsidRPr="001862D3">
        <w:rPr>
          <w:rFonts w:asciiTheme="minorHAnsi" w:hAnsiTheme="minorHAnsi" w:cstheme="minorHAnsi"/>
          <w:color w:val="000000" w:themeColor="text1"/>
          <w:sz w:val="26"/>
          <w:szCs w:val="26"/>
        </w:rPr>
        <w:t xml:space="preserve">În acest cadru, </w:t>
      </w:r>
      <w:r w:rsidRPr="005A0EBB">
        <w:rPr>
          <w:rFonts w:asciiTheme="minorHAnsi" w:hAnsiTheme="minorHAnsi" w:cstheme="minorHAnsi"/>
          <w:color w:val="000000" w:themeColor="text1"/>
          <w:sz w:val="26"/>
          <w:szCs w:val="26"/>
        </w:rPr>
        <w:t>este de menționat faptul că cea de-a XX</w:t>
      </w:r>
      <w:r w:rsidR="005A0EBB">
        <w:rPr>
          <w:rFonts w:asciiTheme="minorHAnsi" w:hAnsiTheme="minorHAnsi" w:cstheme="minorHAnsi"/>
          <w:color w:val="000000" w:themeColor="text1"/>
          <w:sz w:val="26"/>
          <w:szCs w:val="26"/>
        </w:rPr>
        <w:t xml:space="preserve"> </w:t>
      </w:r>
      <w:r w:rsidRPr="005A0EBB">
        <w:rPr>
          <w:rFonts w:asciiTheme="minorHAnsi" w:hAnsiTheme="minorHAnsi" w:cstheme="minorHAnsi"/>
          <w:color w:val="000000" w:themeColor="text1"/>
          <w:sz w:val="26"/>
          <w:szCs w:val="26"/>
        </w:rPr>
        <w:t>-</w:t>
      </w:r>
      <w:r w:rsidR="005A0EBB">
        <w:rPr>
          <w:rFonts w:asciiTheme="minorHAnsi" w:hAnsiTheme="minorHAnsi" w:cstheme="minorHAnsi"/>
          <w:color w:val="000000" w:themeColor="text1"/>
          <w:sz w:val="26"/>
          <w:szCs w:val="26"/>
        </w:rPr>
        <w:t xml:space="preserve"> </w:t>
      </w:r>
      <w:r w:rsidRPr="005A0EBB">
        <w:rPr>
          <w:rFonts w:asciiTheme="minorHAnsi" w:hAnsiTheme="minorHAnsi" w:cstheme="minorHAnsi"/>
          <w:color w:val="000000" w:themeColor="text1"/>
          <w:sz w:val="26"/>
          <w:szCs w:val="26"/>
        </w:rPr>
        <w:t>a ediție a Școlii de vară organizată anual de I</w:t>
      </w:r>
      <w:r w:rsidR="00374561">
        <w:rPr>
          <w:rFonts w:asciiTheme="minorHAnsi" w:hAnsiTheme="minorHAnsi" w:cstheme="minorHAnsi"/>
          <w:color w:val="000000" w:themeColor="text1"/>
          <w:sz w:val="26"/>
          <w:szCs w:val="26"/>
        </w:rPr>
        <w:t xml:space="preserve">.N.M. </w:t>
      </w:r>
      <w:r w:rsidRPr="005A0EBB">
        <w:rPr>
          <w:rFonts w:asciiTheme="minorHAnsi" w:hAnsiTheme="minorHAnsi" w:cstheme="minorHAnsi"/>
          <w:color w:val="000000" w:themeColor="text1"/>
          <w:sz w:val="26"/>
          <w:szCs w:val="26"/>
        </w:rPr>
        <w:t>a abordat tema Comunicare și leadership, având ca obiective de formare identificarea specificităților comunicării verbale, non-verbale</w:t>
      </w:r>
      <w:r w:rsidRPr="001862D3">
        <w:rPr>
          <w:rFonts w:asciiTheme="minorHAnsi" w:hAnsiTheme="minorHAnsi" w:cstheme="minorHAnsi"/>
          <w:color w:val="000000" w:themeColor="text1"/>
          <w:sz w:val="26"/>
          <w:szCs w:val="26"/>
        </w:rPr>
        <w:t xml:space="preserve"> și paraverbale, aplicarea principalelor tipuri de leadership, gestionarea eficientă a conflictelor și dezvoltarea de abilități de comunicare verbală și non-verbală în mediul profesional.</w:t>
      </w:r>
    </w:p>
    <w:p w14:paraId="2CCC9A87" w14:textId="6E35AE12" w:rsidR="00021845" w:rsidRPr="001862D3" w:rsidRDefault="00021845" w:rsidP="009E3AD8">
      <w:pPr>
        <w:spacing w:line="276" w:lineRule="auto"/>
        <w:ind w:firstLine="708"/>
        <w:jc w:val="both"/>
        <w:rPr>
          <w:rFonts w:asciiTheme="minorHAnsi" w:hAnsiTheme="minorHAnsi" w:cstheme="minorHAnsi"/>
          <w:color w:val="000000" w:themeColor="text1"/>
          <w:sz w:val="26"/>
          <w:szCs w:val="26"/>
        </w:rPr>
      </w:pPr>
      <w:r w:rsidRPr="001862D3">
        <w:rPr>
          <w:rFonts w:asciiTheme="minorHAnsi" w:hAnsiTheme="minorHAnsi" w:cstheme="minorHAnsi"/>
          <w:color w:val="000000" w:themeColor="text1"/>
          <w:sz w:val="26"/>
          <w:szCs w:val="26"/>
        </w:rPr>
        <w:lastRenderedPageBreak/>
        <w:t xml:space="preserve">Totodată, I.N.M. a colaborat cu specialiștii din cadrul C.S.M. pentru organizarea de activități de formare profesională online dedicate aplicațiilor </w:t>
      </w:r>
      <w:r w:rsidRPr="005A0EBB">
        <w:rPr>
          <w:rFonts w:asciiTheme="minorHAnsi" w:hAnsiTheme="minorHAnsi" w:cstheme="minorHAnsi"/>
          <w:color w:val="000000" w:themeColor="text1"/>
          <w:sz w:val="26"/>
          <w:szCs w:val="26"/>
        </w:rPr>
        <w:t>MINDapp</w:t>
      </w:r>
      <w:r w:rsidR="005A0EBB">
        <w:rPr>
          <w:rFonts w:asciiTheme="minorHAnsi" w:hAnsiTheme="minorHAnsi" w:cstheme="minorHAnsi"/>
          <w:color w:val="000000" w:themeColor="text1"/>
          <w:sz w:val="26"/>
          <w:szCs w:val="26"/>
        </w:rPr>
        <w:t xml:space="preserve"> - </w:t>
      </w:r>
      <w:r w:rsidRPr="005A0EBB">
        <w:rPr>
          <w:rFonts w:asciiTheme="minorHAnsi" w:hAnsiTheme="minorHAnsi" w:cstheme="minorHAnsi"/>
          <w:color w:val="000000" w:themeColor="text1"/>
          <w:sz w:val="26"/>
          <w:szCs w:val="26"/>
        </w:rPr>
        <w:t>instrument pentru asistență, evaluare și testare psihologică în sistemul judiciar</w:t>
      </w:r>
      <w:r w:rsidR="005A0EBB">
        <w:rPr>
          <w:rFonts w:asciiTheme="minorHAnsi" w:hAnsiTheme="minorHAnsi" w:cstheme="minorHAnsi"/>
          <w:color w:val="000000" w:themeColor="text1"/>
          <w:sz w:val="26"/>
          <w:szCs w:val="26"/>
        </w:rPr>
        <w:t xml:space="preserve"> - </w:t>
      </w:r>
      <w:r w:rsidRPr="005A0EBB">
        <w:rPr>
          <w:rFonts w:asciiTheme="minorHAnsi" w:hAnsiTheme="minorHAnsi" w:cstheme="minorHAnsi"/>
          <w:color w:val="000000" w:themeColor="text1"/>
          <w:sz w:val="26"/>
          <w:szCs w:val="26"/>
        </w:rPr>
        <w:t>și Optimapp</w:t>
      </w:r>
      <w:r w:rsidR="005A0EBB">
        <w:rPr>
          <w:rFonts w:asciiTheme="minorHAnsi" w:hAnsiTheme="minorHAnsi" w:cstheme="minorHAnsi"/>
          <w:color w:val="000000" w:themeColor="text1"/>
          <w:sz w:val="26"/>
          <w:szCs w:val="26"/>
        </w:rPr>
        <w:t xml:space="preserve"> - </w:t>
      </w:r>
      <w:r w:rsidRPr="001862D3">
        <w:rPr>
          <w:rFonts w:asciiTheme="minorHAnsi" w:hAnsiTheme="minorHAnsi" w:cstheme="minorHAnsi"/>
          <w:color w:val="000000" w:themeColor="text1"/>
          <w:sz w:val="26"/>
          <w:szCs w:val="26"/>
        </w:rPr>
        <w:t>instrument pentru optimizarea managementului la nivelul sistemului judiciar</w:t>
      </w:r>
      <w:r w:rsidRPr="001862D3">
        <w:rPr>
          <w:rFonts w:asciiTheme="minorHAnsi" w:eastAsia="Trebuchet MS" w:hAnsiTheme="minorHAnsi" w:cstheme="minorHAnsi"/>
          <w:color w:val="000000" w:themeColor="text1"/>
          <w:sz w:val="26"/>
          <w:szCs w:val="26"/>
        </w:rPr>
        <w:t>.</w:t>
      </w:r>
      <w:r w:rsidRPr="001862D3">
        <w:rPr>
          <w:rFonts w:asciiTheme="minorHAnsi" w:hAnsiTheme="minorHAnsi" w:cstheme="minorHAnsi"/>
          <w:i/>
          <w:iCs/>
          <w:color w:val="000000" w:themeColor="text1"/>
          <w:sz w:val="26"/>
          <w:szCs w:val="26"/>
        </w:rPr>
        <w:t xml:space="preserve"> </w:t>
      </w:r>
    </w:p>
    <w:p w14:paraId="4050FE57" w14:textId="0559BEB5" w:rsidR="00021845" w:rsidRPr="001862D3" w:rsidRDefault="00021845" w:rsidP="009E3AD8">
      <w:pPr>
        <w:spacing w:line="276" w:lineRule="auto"/>
        <w:ind w:firstLine="708"/>
        <w:jc w:val="both"/>
        <w:rPr>
          <w:rFonts w:asciiTheme="minorHAnsi" w:hAnsiTheme="minorHAnsi" w:cstheme="minorHAnsi"/>
          <w:color w:val="000000" w:themeColor="text1"/>
          <w:sz w:val="26"/>
          <w:szCs w:val="26"/>
        </w:rPr>
      </w:pPr>
      <w:r w:rsidRPr="001862D3">
        <w:rPr>
          <w:rFonts w:asciiTheme="minorHAnsi" w:hAnsiTheme="minorHAnsi" w:cstheme="minorHAnsi"/>
          <w:color w:val="000000" w:themeColor="text1"/>
          <w:sz w:val="26"/>
          <w:szCs w:val="26"/>
        </w:rPr>
        <w:t>În perioada de referință s</w:t>
      </w:r>
      <w:r w:rsidR="00A94C30">
        <w:rPr>
          <w:rFonts w:asciiTheme="minorHAnsi" w:hAnsiTheme="minorHAnsi" w:cstheme="minorHAnsi"/>
          <w:color w:val="000000" w:themeColor="text1"/>
          <w:sz w:val="26"/>
          <w:szCs w:val="26"/>
        </w:rPr>
        <w:t>-au</w:t>
      </w:r>
      <w:r w:rsidRPr="001862D3">
        <w:rPr>
          <w:rFonts w:asciiTheme="minorHAnsi" w:hAnsiTheme="minorHAnsi" w:cstheme="minorHAnsi"/>
          <w:color w:val="000000" w:themeColor="text1"/>
          <w:sz w:val="26"/>
          <w:szCs w:val="26"/>
        </w:rPr>
        <w:t xml:space="preserve"> desfăș</w:t>
      </w:r>
      <w:r w:rsidR="00A94C30">
        <w:rPr>
          <w:rFonts w:asciiTheme="minorHAnsi" w:hAnsiTheme="minorHAnsi" w:cstheme="minorHAnsi"/>
          <w:color w:val="000000" w:themeColor="text1"/>
          <w:sz w:val="26"/>
          <w:szCs w:val="26"/>
        </w:rPr>
        <w:t>urat</w:t>
      </w:r>
      <w:r w:rsidRPr="001862D3">
        <w:rPr>
          <w:rFonts w:asciiTheme="minorHAnsi" w:hAnsiTheme="minorHAnsi" w:cstheme="minorHAnsi"/>
          <w:color w:val="000000" w:themeColor="text1"/>
          <w:sz w:val="26"/>
          <w:szCs w:val="26"/>
        </w:rPr>
        <w:t xml:space="preserve"> și </w:t>
      </w:r>
      <w:r w:rsidRPr="005A0EBB">
        <w:rPr>
          <w:rFonts w:asciiTheme="minorHAnsi" w:hAnsiTheme="minorHAnsi" w:cstheme="minorHAnsi"/>
          <w:color w:val="000000" w:themeColor="text1"/>
          <w:sz w:val="26"/>
          <w:szCs w:val="26"/>
        </w:rPr>
        <w:t xml:space="preserve">programele de pregătire a magistraților selectați în temeiul prevederilor art. 63 din Legea nr. 303/2022 </w:t>
      </w:r>
      <w:r w:rsidRPr="001862D3">
        <w:rPr>
          <w:rFonts w:asciiTheme="minorHAnsi" w:hAnsiTheme="minorHAnsi" w:cstheme="minorHAnsi"/>
          <w:color w:val="000000" w:themeColor="text1"/>
          <w:sz w:val="26"/>
          <w:szCs w:val="26"/>
        </w:rPr>
        <w:t xml:space="preserve">privind statutul judecătorilor și procurorilor, în urma desfășurării a trei concursuri de admitere în magistratură organizate în perioadele:  </w:t>
      </w:r>
      <w:bookmarkStart w:id="98" w:name="OLE_LINK62"/>
      <w:r w:rsidRPr="001862D3">
        <w:rPr>
          <w:rFonts w:asciiTheme="minorHAnsi" w:hAnsiTheme="minorHAnsi" w:cstheme="minorHAnsi"/>
          <w:color w:val="000000" w:themeColor="text1"/>
          <w:sz w:val="26"/>
          <w:szCs w:val="26"/>
        </w:rPr>
        <w:t>iulie 2023</w:t>
      </w:r>
      <w:r w:rsidR="004B046A">
        <w:rPr>
          <w:rFonts w:asciiTheme="minorHAnsi" w:hAnsiTheme="minorHAnsi" w:cstheme="minorHAnsi"/>
          <w:color w:val="000000" w:themeColor="text1"/>
          <w:sz w:val="26"/>
          <w:szCs w:val="26"/>
        </w:rPr>
        <w:t xml:space="preserve"> - </w:t>
      </w:r>
      <w:r w:rsidRPr="001862D3">
        <w:rPr>
          <w:rFonts w:asciiTheme="minorHAnsi" w:hAnsiTheme="minorHAnsi" w:cstheme="minorHAnsi"/>
          <w:color w:val="000000" w:themeColor="text1"/>
          <w:sz w:val="26"/>
          <w:szCs w:val="26"/>
        </w:rPr>
        <w:t xml:space="preserve">martie 2024 (295 </w:t>
      </w:r>
      <w:r w:rsidR="005A0EBB">
        <w:rPr>
          <w:rFonts w:asciiTheme="minorHAnsi" w:hAnsiTheme="minorHAnsi" w:cstheme="minorHAnsi"/>
          <w:color w:val="000000" w:themeColor="text1"/>
          <w:sz w:val="26"/>
          <w:szCs w:val="26"/>
        </w:rPr>
        <w:t xml:space="preserve">de </w:t>
      </w:r>
      <w:r w:rsidRPr="001862D3">
        <w:rPr>
          <w:rFonts w:asciiTheme="minorHAnsi" w:hAnsiTheme="minorHAnsi" w:cstheme="minorHAnsi"/>
          <w:color w:val="000000" w:themeColor="text1"/>
          <w:sz w:val="26"/>
          <w:szCs w:val="26"/>
        </w:rPr>
        <w:t>judecători și 165</w:t>
      </w:r>
      <w:r w:rsidR="005A0EBB">
        <w:rPr>
          <w:rFonts w:asciiTheme="minorHAnsi" w:hAnsiTheme="minorHAnsi" w:cstheme="minorHAnsi"/>
          <w:color w:val="000000" w:themeColor="text1"/>
          <w:sz w:val="26"/>
          <w:szCs w:val="26"/>
        </w:rPr>
        <w:t xml:space="preserve"> de</w:t>
      </w:r>
      <w:r w:rsidRPr="001862D3">
        <w:rPr>
          <w:rFonts w:asciiTheme="minorHAnsi" w:hAnsiTheme="minorHAnsi" w:cstheme="minorHAnsi"/>
          <w:color w:val="000000" w:themeColor="text1"/>
          <w:sz w:val="26"/>
          <w:szCs w:val="26"/>
        </w:rPr>
        <w:t xml:space="preserve"> procurori), februarie - iulie 2024 (74 </w:t>
      </w:r>
      <w:r w:rsidR="005A0EBB">
        <w:rPr>
          <w:rFonts w:asciiTheme="minorHAnsi" w:hAnsiTheme="minorHAnsi" w:cstheme="minorHAnsi"/>
          <w:color w:val="000000" w:themeColor="text1"/>
          <w:sz w:val="26"/>
          <w:szCs w:val="26"/>
        </w:rPr>
        <w:t xml:space="preserve">de </w:t>
      </w:r>
      <w:r w:rsidRPr="001862D3">
        <w:rPr>
          <w:rFonts w:asciiTheme="minorHAnsi" w:hAnsiTheme="minorHAnsi" w:cstheme="minorHAnsi"/>
          <w:color w:val="000000" w:themeColor="text1"/>
          <w:sz w:val="26"/>
          <w:szCs w:val="26"/>
        </w:rPr>
        <w:t xml:space="preserve">judecători și 34 </w:t>
      </w:r>
      <w:r w:rsidR="005A0EBB">
        <w:rPr>
          <w:rFonts w:asciiTheme="minorHAnsi" w:hAnsiTheme="minorHAnsi" w:cstheme="minorHAnsi"/>
          <w:color w:val="000000" w:themeColor="text1"/>
          <w:sz w:val="26"/>
          <w:szCs w:val="26"/>
        </w:rPr>
        <w:t xml:space="preserve">de </w:t>
      </w:r>
      <w:r w:rsidRPr="001862D3">
        <w:rPr>
          <w:rFonts w:asciiTheme="minorHAnsi" w:hAnsiTheme="minorHAnsi" w:cstheme="minorHAnsi"/>
          <w:color w:val="000000" w:themeColor="text1"/>
          <w:sz w:val="26"/>
          <w:szCs w:val="26"/>
        </w:rPr>
        <w:t>procurori) și iulie 2024</w:t>
      </w:r>
      <w:r w:rsidR="004B046A">
        <w:rPr>
          <w:rFonts w:asciiTheme="minorHAnsi" w:hAnsiTheme="minorHAnsi" w:cstheme="minorHAnsi"/>
          <w:color w:val="000000" w:themeColor="text1"/>
          <w:sz w:val="26"/>
          <w:szCs w:val="26"/>
        </w:rPr>
        <w:t xml:space="preserve"> - </w:t>
      </w:r>
      <w:r w:rsidRPr="001862D3">
        <w:rPr>
          <w:rFonts w:asciiTheme="minorHAnsi" w:hAnsiTheme="minorHAnsi" w:cstheme="minorHAnsi"/>
          <w:color w:val="000000" w:themeColor="text1"/>
          <w:sz w:val="26"/>
          <w:szCs w:val="26"/>
        </w:rPr>
        <w:t xml:space="preserve">martie 2025 (104 judecători și 17 procurori). </w:t>
      </w:r>
    </w:p>
    <w:p w14:paraId="7E3A2C83" w14:textId="5EF5DC13" w:rsidR="00021845" w:rsidRPr="001862D3" w:rsidRDefault="00021845" w:rsidP="009E3AD8">
      <w:pPr>
        <w:spacing w:line="276" w:lineRule="auto"/>
        <w:ind w:firstLine="708"/>
        <w:jc w:val="both"/>
        <w:outlineLvl w:val="4"/>
        <w:rPr>
          <w:rFonts w:asciiTheme="minorHAnsi" w:hAnsiTheme="minorHAnsi" w:cstheme="minorHAnsi"/>
          <w:color w:val="000000" w:themeColor="text1"/>
          <w:sz w:val="26"/>
          <w:szCs w:val="26"/>
        </w:rPr>
      </w:pPr>
      <w:r w:rsidRPr="001862D3">
        <w:rPr>
          <w:rFonts w:asciiTheme="minorHAnsi" w:hAnsiTheme="minorHAnsi" w:cstheme="minorHAnsi"/>
          <w:color w:val="000000" w:themeColor="text1"/>
          <w:sz w:val="26"/>
          <w:szCs w:val="26"/>
        </w:rPr>
        <w:t xml:space="preserve"> Programele de pregătire pentru cei 689 de magistrați (473 de judecători și 216 procurori) </w:t>
      </w:r>
      <w:bookmarkEnd w:id="98"/>
      <w:r w:rsidRPr="001862D3">
        <w:rPr>
          <w:rFonts w:asciiTheme="minorHAnsi" w:hAnsiTheme="minorHAnsi" w:cstheme="minorHAnsi"/>
          <w:color w:val="000000" w:themeColor="text1"/>
          <w:sz w:val="26"/>
          <w:szCs w:val="26"/>
        </w:rPr>
        <w:t>au fost elaborate în baza unei tematici specifice fiecărei profesii și aprobate de Plenul C.S.M. În cadrul modulelor de formare se asigură pregătirea judecătorilor și procurorilor în următoarele domenii: drept civil și drept procesual civil, drept penal și drept procesual penal, dreptul familiei, litigii cu profesioniștii, drepturile omului, dreptul Uniunii Europene, criminalistică/administrarea probatoriului, etică</w:t>
      </w:r>
      <w:r w:rsidR="005A0EBB">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 xml:space="preserve"> comunicare și medicină legală. În acest an, cele trei programe de pregătire profesională a judecătorilor și procurorilor admiși în magistratură în condițiile art. 63 alin. (1) din Legea nr. 303/2022 s-au desfășurat pe parcursul a 100 sesiuni de pregătire atât în format clasic, față în față, cât și în mediul online.</w:t>
      </w:r>
    </w:p>
    <w:p w14:paraId="18CAA6C9" w14:textId="2CEA96BA" w:rsidR="00021845" w:rsidRPr="001862D3" w:rsidRDefault="00021845" w:rsidP="009E3AD8">
      <w:pPr>
        <w:spacing w:line="276" w:lineRule="auto"/>
        <w:ind w:firstLine="720"/>
        <w:jc w:val="both"/>
        <w:rPr>
          <w:rFonts w:asciiTheme="minorHAnsi" w:hAnsiTheme="minorHAnsi" w:cstheme="minorHAnsi"/>
          <w:color w:val="000000" w:themeColor="text1"/>
          <w:sz w:val="26"/>
          <w:szCs w:val="26"/>
        </w:rPr>
      </w:pPr>
      <w:r w:rsidRPr="000239CD">
        <w:rPr>
          <w:rFonts w:asciiTheme="minorHAnsi" w:hAnsiTheme="minorHAnsi" w:cstheme="minorHAnsi"/>
          <w:color w:val="000000" w:themeColor="text1"/>
          <w:sz w:val="26"/>
          <w:szCs w:val="26"/>
        </w:rPr>
        <w:t>În realizarea componentei europene a activității de formare,</w:t>
      </w:r>
      <w:r w:rsidRPr="001862D3">
        <w:rPr>
          <w:rFonts w:asciiTheme="minorHAnsi" w:hAnsiTheme="minorHAnsi" w:cstheme="minorHAnsi"/>
          <w:color w:val="000000" w:themeColor="text1"/>
          <w:sz w:val="26"/>
          <w:szCs w:val="26"/>
        </w:rPr>
        <w:t xml:space="preserve"> I.N.M. a organizat în anul 2025, în cadrul Catalogului Plus și Catalogului Membrilor Rețelei Europene de Formare Judiciară (E.J.T.N.), două activități de formare profesională continuă în domeniul Engleză juridică și comunicării </w:t>
      </w:r>
      <w:r w:rsidR="000239CD">
        <w:rPr>
          <w:rFonts w:asciiTheme="minorHAnsi" w:hAnsiTheme="minorHAnsi" w:cstheme="minorHAnsi"/>
          <w:color w:val="000000" w:themeColor="text1"/>
          <w:sz w:val="26"/>
          <w:szCs w:val="26"/>
        </w:rPr>
        <w:t>î</w:t>
      </w:r>
      <w:r w:rsidRPr="001862D3">
        <w:rPr>
          <w:rFonts w:asciiTheme="minorHAnsi" w:hAnsiTheme="minorHAnsi" w:cstheme="minorHAnsi"/>
          <w:color w:val="000000" w:themeColor="text1"/>
          <w:sz w:val="26"/>
          <w:szCs w:val="26"/>
        </w:rPr>
        <w:t xml:space="preserve">n sala de judecată, deschise participării  magistraților români precum și judecătorilor și procurorilor europeni. </w:t>
      </w:r>
    </w:p>
    <w:p w14:paraId="316D36FA" w14:textId="4D383D27" w:rsidR="00021845" w:rsidRDefault="00021845" w:rsidP="009E3AD8">
      <w:pPr>
        <w:spacing w:line="276" w:lineRule="auto"/>
        <w:ind w:firstLine="720"/>
        <w:jc w:val="both"/>
        <w:rPr>
          <w:rFonts w:asciiTheme="minorHAnsi" w:hAnsiTheme="minorHAnsi" w:cstheme="minorHAnsi"/>
          <w:color w:val="000000" w:themeColor="text1"/>
          <w:sz w:val="26"/>
          <w:szCs w:val="26"/>
        </w:rPr>
      </w:pPr>
      <w:r w:rsidRPr="001862D3">
        <w:rPr>
          <w:rFonts w:asciiTheme="minorHAnsi" w:hAnsiTheme="minorHAnsi" w:cstheme="minorHAnsi"/>
          <w:color w:val="000000" w:themeColor="text1"/>
          <w:sz w:val="26"/>
          <w:szCs w:val="26"/>
        </w:rPr>
        <w:t>Începând cu anul 2025, alături de activitățile de formare clasice incluse în p</w:t>
      </w:r>
      <w:r w:rsidRPr="001862D3">
        <w:rPr>
          <w:rFonts w:asciiTheme="minorHAnsi" w:eastAsiaTheme="majorEastAsia" w:hAnsiTheme="minorHAnsi" w:cstheme="minorHAnsi"/>
          <w:color w:val="000000" w:themeColor="text1"/>
          <w:sz w:val="26"/>
          <w:szCs w:val="26"/>
        </w:rPr>
        <w:t>rogramul de formare continuă</w:t>
      </w:r>
      <w:r w:rsidRPr="001862D3">
        <w:rPr>
          <w:rFonts w:asciiTheme="minorHAnsi" w:hAnsiTheme="minorHAnsi" w:cstheme="minorHAnsi"/>
          <w:color w:val="000000" w:themeColor="text1"/>
          <w:sz w:val="26"/>
          <w:szCs w:val="26"/>
        </w:rPr>
        <w:t>, I</w:t>
      </w:r>
      <w:r w:rsidR="0074521F">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N</w:t>
      </w:r>
      <w:r w:rsidR="0074521F">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M</w:t>
      </w:r>
      <w:r w:rsidR="0074521F">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 xml:space="preserve"> a introdus un concept inovator de </w:t>
      </w:r>
      <w:r w:rsidRPr="000239CD">
        <w:rPr>
          <w:rFonts w:asciiTheme="minorHAnsi" w:hAnsiTheme="minorHAnsi" w:cstheme="minorHAnsi"/>
          <w:color w:val="000000" w:themeColor="text1"/>
          <w:sz w:val="26"/>
          <w:szCs w:val="26"/>
        </w:rPr>
        <w:t xml:space="preserve">sesiuni scurte de formare profesională organizate online – </w:t>
      </w:r>
      <w:r w:rsidRPr="000239CD">
        <w:rPr>
          <w:rFonts w:asciiTheme="minorHAnsi" w:eastAsiaTheme="majorEastAsia" w:hAnsiTheme="minorHAnsi" w:cstheme="minorHAnsi"/>
          <w:color w:val="000000" w:themeColor="text1"/>
          <w:sz w:val="26"/>
          <w:szCs w:val="26"/>
        </w:rPr>
        <w:t>webinare</w:t>
      </w:r>
      <w:r w:rsidRPr="000239CD">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 xml:space="preserve"> Aceste sesiuni de formare sunt dedicate </w:t>
      </w:r>
      <w:r w:rsidRPr="001862D3">
        <w:rPr>
          <w:rFonts w:asciiTheme="minorHAnsi" w:eastAsiaTheme="majorEastAsia" w:hAnsiTheme="minorHAnsi" w:cstheme="minorHAnsi"/>
          <w:color w:val="000000" w:themeColor="text1"/>
          <w:sz w:val="26"/>
          <w:szCs w:val="26"/>
        </w:rPr>
        <w:t>judecătorilor, procurorilor și altor profesioniști din sistemul judiciar</w:t>
      </w:r>
      <w:r w:rsidRPr="001862D3">
        <w:rPr>
          <w:rFonts w:asciiTheme="minorHAnsi" w:hAnsiTheme="minorHAnsi" w:cstheme="minorHAnsi"/>
          <w:color w:val="000000" w:themeColor="text1"/>
          <w:sz w:val="26"/>
          <w:szCs w:val="26"/>
        </w:rPr>
        <w:t xml:space="preserve"> (magistrați-asistenți, personal de specialitate juridică asimilat judecătorilor și procurorilor, asistenți judiciari și asistenți ai judecătorului). </w:t>
      </w:r>
    </w:p>
    <w:p w14:paraId="7F8B3F25" w14:textId="6C65989A" w:rsidR="00C6572B" w:rsidRPr="00255A74" w:rsidRDefault="00C6572B" w:rsidP="00C6572B">
      <w:pPr>
        <w:spacing w:line="276" w:lineRule="auto"/>
        <w:ind w:firstLine="720"/>
        <w:jc w:val="both"/>
        <w:rPr>
          <w:rFonts w:asciiTheme="minorHAnsi" w:hAnsiTheme="minorHAnsi" w:cstheme="minorHAnsi"/>
          <w:sz w:val="26"/>
          <w:szCs w:val="26"/>
        </w:rPr>
      </w:pPr>
      <w:r w:rsidRPr="00255A74">
        <w:rPr>
          <w:rFonts w:asciiTheme="minorHAnsi" w:hAnsiTheme="minorHAnsi" w:cstheme="minorHAnsi"/>
          <w:sz w:val="26"/>
          <w:szCs w:val="26"/>
        </w:rPr>
        <w:t>În cadrul acestui proiect instituțional pilot, s-au desfășurat 42 de activități de formare având ca teme: aspecte de noutate aduse prin Legea nr. 243/2024 privind protecția consumatorilor cu privire la costul total al creditării și la cesiunea de creanțe, instrumente digitale – AI, acțiunile în reprezentare pentru protecția intereselor colective ale consumatorilor - Legea nr. 414/2023, respectarea normelor în materia ajutoarelor de stat de către instanţele naţionale, ordinul de protecție extins, jurisprudența C</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E</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D</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O</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 xml:space="preserve"> și violența domestică, tehnici de formare a adulților, aspecte privind hărțuirea, cheltuielile de judecată, reluarea procedurii de cameră preliminară, terminologie relevantă pentru criminalitatea informatică şi probele digitale, interacțiunea C</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E</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D</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O</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 xml:space="preserve"> cu Carta Drepturilor fundamentale a Uniunii Europene, aspecte practice în instrumentarea cauzelor având ca obiect infracțiunea de proxenetism, aspecte inedite în noua reglementare  a dreptului la asigurări sociale - Legea nr.360/2023, probleme practice legate de aplicarea dispozițiilor privind daunele-interese moratorii, probleme şi soluţii în privinţa tratamentului sancţionator al minorilor, ordinul european de anchetă în contextul cooperării în materie penală: provocări și bune practici, interesul social al administratorilor la societatea in bonis, la cea în dificultate și la cea în încetare de plăți, intervențiile în procesul civil, aspecte de </w:t>
      </w:r>
      <w:r w:rsidRPr="00255A74">
        <w:rPr>
          <w:rFonts w:asciiTheme="minorHAnsi" w:hAnsiTheme="minorHAnsi" w:cstheme="minorHAnsi"/>
          <w:sz w:val="26"/>
          <w:szCs w:val="26"/>
        </w:rPr>
        <w:lastRenderedPageBreak/>
        <w:t>dificultate în activitatea judecătorilor de supraveghere a privării de libertate, provocări ale noilor modificări în materia infracţiunilor contra libertăţii şi integrităţii sexuale, instrumente digitale de organizare a activității, măsuri asigurătorii în procesul penal, aspecte de noutate privind măsurile preventive, OPTIMAPP, rolul și funcționarea E</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P</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P</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O</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 ordinul de protecție extinsâ, intervenția creditorilor în executarea silită, combaterea antisemitismului, xenofobiei, radicalizării și discursului instigator la ură, inclusiv în context sportiv, Convenţia O</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N</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U</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 xml:space="preserve"> privind Drepturile Persoanelor cu Dizabilităţi (C</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D</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P</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D</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 jurisprudența C</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E</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D</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O</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 xml:space="preserve"> și protecția drepturilor persoanelor care suferă de probleme de sănătate mintală, dialogul preliminar dintre C</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J</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U</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E</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 xml:space="preserve"> și instanțele naționale în context multilingv, semnăturile electronice și înscrisurile electronice în fața instanței: regim juridic, probatoriu și practică judiciară, comunicarea în situații de criză, frauda bancară - context și consecințe, limitele contestației la executare în litigiile de muncă, măsuri de protecție a persoanei vătămate, victimă a violenței domestice, înțeleasă ca o violență de gen împotriva femeii, în vederea evitării victimizării secundare și repetate, procedura trimiterii preliminare – un dialog între instanțele naționale și curtea de justiție a uniunii europene, confiscarea de la terți și măsurile asigurătorii în jurisprudența C</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E</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D</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O</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 refuzul predării persoanelor condamnate în aplicarea Deciziei-cadru 2002/584/JAI – motive, controverse și jurisprudența C</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J</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U</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E</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 asistența judiciară în materie penală în relația cu Regatul Unit – aspecte practice, implementarea eficientă a hotărârilor C</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E</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D</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O</w:t>
      </w:r>
      <w:r w:rsidR="007C6D52" w:rsidRPr="00255A74">
        <w:rPr>
          <w:rFonts w:asciiTheme="minorHAnsi" w:hAnsiTheme="minorHAnsi" w:cstheme="minorHAnsi"/>
          <w:sz w:val="26"/>
          <w:szCs w:val="26"/>
        </w:rPr>
        <w:t>.</w:t>
      </w:r>
      <w:r w:rsidRPr="00255A74">
        <w:rPr>
          <w:rFonts w:asciiTheme="minorHAnsi" w:hAnsiTheme="minorHAnsi" w:cstheme="minorHAnsi"/>
          <w:sz w:val="26"/>
          <w:szCs w:val="26"/>
        </w:rPr>
        <w:t xml:space="preserve"> de către instanțele românești. </w:t>
      </w:r>
    </w:p>
    <w:p w14:paraId="28CD12EA" w14:textId="3FB16E0F" w:rsidR="00021845" w:rsidRPr="00255A74" w:rsidRDefault="00021845" w:rsidP="00C0543C">
      <w:pPr>
        <w:spacing w:line="276" w:lineRule="auto"/>
        <w:ind w:firstLine="720"/>
        <w:jc w:val="both"/>
        <w:rPr>
          <w:rFonts w:asciiTheme="minorHAnsi" w:hAnsiTheme="minorHAnsi" w:cstheme="minorHAnsi"/>
          <w:sz w:val="26"/>
          <w:szCs w:val="26"/>
        </w:rPr>
      </w:pPr>
      <w:r w:rsidRPr="00255A74">
        <w:rPr>
          <w:rFonts w:asciiTheme="minorHAnsi" w:hAnsiTheme="minorHAnsi" w:cstheme="minorHAnsi"/>
          <w:sz w:val="26"/>
          <w:szCs w:val="26"/>
        </w:rPr>
        <w:t xml:space="preserve">În cadrul unui demers mai larg promovat de I.N.M., menit </w:t>
      </w:r>
      <w:r w:rsidRPr="001862D3">
        <w:rPr>
          <w:rFonts w:asciiTheme="minorHAnsi" w:hAnsiTheme="minorHAnsi" w:cstheme="minorHAnsi"/>
          <w:color w:val="000000" w:themeColor="text1"/>
          <w:sz w:val="26"/>
          <w:szCs w:val="26"/>
        </w:rPr>
        <w:t xml:space="preserve">să încurajeze dialogul între magistrați și avocați și să îmbunătățească modul în care cele două profesii se raportează una la cealaltă, Institutul Național al Magistraturii, </w:t>
      </w:r>
      <w:hyperlink r:id="rId17" w:history="1">
        <w:r w:rsidRPr="001862D3">
          <w:rPr>
            <w:rFonts w:asciiTheme="minorHAnsi" w:hAnsiTheme="minorHAnsi" w:cstheme="minorHAnsi"/>
            <w:color w:val="000000" w:themeColor="text1"/>
            <w:sz w:val="26"/>
            <w:szCs w:val="26"/>
          </w:rPr>
          <w:t xml:space="preserve">Uniunea Națională a Barourilor din România </w:t>
        </w:r>
      </w:hyperlink>
      <w:r w:rsidRPr="001862D3">
        <w:rPr>
          <w:rFonts w:asciiTheme="minorHAnsi" w:hAnsiTheme="minorHAnsi" w:cstheme="minorHAnsi"/>
          <w:color w:val="000000" w:themeColor="text1"/>
          <w:sz w:val="26"/>
          <w:szCs w:val="26"/>
        </w:rPr>
        <w:t xml:space="preserve">și </w:t>
      </w:r>
      <w:hyperlink r:id="rId18" w:history="1">
        <w:r w:rsidRPr="001862D3">
          <w:rPr>
            <w:rFonts w:asciiTheme="minorHAnsi" w:hAnsiTheme="minorHAnsi" w:cstheme="minorHAnsi"/>
            <w:color w:val="000000" w:themeColor="text1"/>
            <w:sz w:val="26"/>
            <w:szCs w:val="26"/>
          </w:rPr>
          <w:t>Institutul National pentru Pregătirea şi Perfecționarea Avocaților</w:t>
        </w:r>
      </w:hyperlink>
      <w:r w:rsidRPr="001862D3">
        <w:rPr>
          <w:rFonts w:asciiTheme="minorHAnsi" w:hAnsiTheme="minorHAnsi" w:cstheme="minorHAnsi"/>
          <w:color w:val="000000" w:themeColor="text1"/>
          <w:sz w:val="26"/>
          <w:szCs w:val="26"/>
        </w:rPr>
        <w:t xml:space="preserve"> au agreat invitarea avocaților la o serie de activități de formare profesională continuă dedicate judecătorilor și procurorilor în domenii precum comunicare și leadership, aspecte de noutate aduse prin Legea nr. 243/2024 privind protecția consumatorilor cu privire la costul total al creditării și la cesiunea de creanțe, acțiunile în reprezentare pentru protecția intereselor colective ale consumatorilor - Legea nr. 414/2023, ordinul de protecție extins, aspecte privind hărțuirea, mindset pentru performanță în justiție, cheltuielile de judecată, reluarea procedurii de cameră preliminară, terminologie relevantă pentru criminalitatea informatică şi probele digitale, interacțiunea C</w:t>
      </w:r>
      <w:r w:rsidR="00652C45">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E</w:t>
      </w:r>
      <w:r w:rsidR="00652C45">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D</w:t>
      </w:r>
      <w:r w:rsidR="00652C45">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O</w:t>
      </w:r>
      <w:r w:rsidR="00652C45">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 xml:space="preserve"> cu Carta Drepturilor fundamentale a Uniunii Europene, probleme practice legate de aplicarea dispozițiilor privind daunele</w:t>
      </w:r>
      <w:r w:rsidR="004B046A">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interese moratorii, justiția pentru minori - aspecte penale, jurispruden</w:t>
      </w:r>
      <w:r w:rsidR="00194FF9">
        <w:rPr>
          <w:rFonts w:asciiTheme="minorHAnsi" w:hAnsiTheme="minorHAnsi" w:cstheme="minorHAnsi"/>
          <w:color w:val="000000" w:themeColor="text1"/>
          <w:sz w:val="26"/>
          <w:szCs w:val="26"/>
        </w:rPr>
        <w:t>ţ</w:t>
      </w:r>
      <w:r w:rsidRPr="001862D3">
        <w:rPr>
          <w:rFonts w:asciiTheme="minorHAnsi" w:hAnsiTheme="minorHAnsi" w:cstheme="minorHAnsi"/>
          <w:color w:val="000000" w:themeColor="text1"/>
          <w:sz w:val="26"/>
          <w:szCs w:val="26"/>
        </w:rPr>
        <w:t>a C</w:t>
      </w:r>
      <w:r w:rsidR="00652C45">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E</w:t>
      </w:r>
      <w:r w:rsidR="00652C45">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D</w:t>
      </w:r>
      <w:r w:rsidR="00652C45">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O</w:t>
      </w:r>
      <w:r w:rsidR="00652C45">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 xml:space="preserve"> </w:t>
      </w:r>
      <w:r w:rsidRPr="00255A74">
        <w:rPr>
          <w:rFonts w:asciiTheme="minorHAnsi" w:hAnsiTheme="minorHAnsi" w:cstheme="minorHAnsi"/>
          <w:sz w:val="26"/>
          <w:szCs w:val="26"/>
        </w:rPr>
        <w:t xml:space="preserve">- aspecte civile și penale, probleme de practică neunitară privind executarea silită etc. De asemenea, Institutul a invitat o serie de avocați, cursanți ai I.N.P.P.A., la Școala de vara cu tema Comunicare și leadership, alături de judecători, procurori și auditori de justiție. </w:t>
      </w:r>
      <w:r w:rsidR="00C0543C" w:rsidRPr="00255A74">
        <w:rPr>
          <w:rFonts w:asciiTheme="minorHAnsi" w:hAnsiTheme="minorHAnsi" w:cstheme="minorHAnsi"/>
          <w:sz w:val="26"/>
          <w:szCs w:val="26"/>
        </w:rPr>
        <w:t>Astfel</w:t>
      </w:r>
      <w:r w:rsidRPr="00255A74">
        <w:rPr>
          <w:rFonts w:asciiTheme="minorHAnsi" w:hAnsiTheme="minorHAnsi" w:cstheme="minorHAnsi"/>
          <w:sz w:val="26"/>
          <w:szCs w:val="26"/>
        </w:rPr>
        <w:t xml:space="preserve">, în cadrul acestei colaborări, </w:t>
      </w:r>
      <w:r w:rsidR="00055327" w:rsidRPr="00255A74">
        <w:rPr>
          <w:rFonts w:asciiTheme="minorHAnsi" w:hAnsiTheme="minorHAnsi" w:cstheme="minorHAnsi"/>
          <w:sz w:val="26"/>
          <w:szCs w:val="26"/>
        </w:rPr>
        <w:t>73</w:t>
      </w:r>
      <w:r w:rsidRPr="00255A74">
        <w:rPr>
          <w:rFonts w:asciiTheme="minorHAnsi" w:hAnsiTheme="minorHAnsi" w:cstheme="minorHAnsi"/>
          <w:sz w:val="26"/>
          <w:szCs w:val="26"/>
        </w:rPr>
        <w:t xml:space="preserve"> de avocați au participat la un număr de 2</w:t>
      </w:r>
      <w:r w:rsidR="00055327" w:rsidRPr="00255A74">
        <w:rPr>
          <w:rFonts w:asciiTheme="minorHAnsi" w:hAnsiTheme="minorHAnsi" w:cstheme="minorHAnsi"/>
          <w:sz w:val="26"/>
          <w:szCs w:val="26"/>
        </w:rPr>
        <w:t>9</w:t>
      </w:r>
      <w:r w:rsidRPr="00255A74">
        <w:rPr>
          <w:rFonts w:asciiTheme="minorHAnsi" w:hAnsiTheme="minorHAnsi" w:cstheme="minorHAnsi"/>
          <w:sz w:val="26"/>
          <w:szCs w:val="26"/>
        </w:rPr>
        <w:t xml:space="preserve"> </w:t>
      </w:r>
      <w:r w:rsidR="004B046A" w:rsidRPr="00255A74">
        <w:rPr>
          <w:rFonts w:asciiTheme="minorHAnsi" w:hAnsiTheme="minorHAnsi" w:cstheme="minorHAnsi"/>
          <w:sz w:val="26"/>
          <w:szCs w:val="26"/>
        </w:rPr>
        <w:t xml:space="preserve">de </w:t>
      </w:r>
      <w:r w:rsidRPr="00255A74">
        <w:rPr>
          <w:rFonts w:asciiTheme="minorHAnsi" w:hAnsiTheme="minorHAnsi" w:cstheme="minorHAnsi"/>
          <w:sz w:val="26"/>
          <w:szCs w:val="26"/>
        </w:rPr>
        <w:t>activități de formare profesională continuă organizate de I.N.M.</w:t>
      </w:r>
    </w:p>
    <w:p w14:paraId="5E5B5214" w14:textId="26CF97E6" w:rsidR="00021845" w:rsidRPr="001862D3" w:rsidRDefault="00021845" w:rsidP="009E3AD8">
      <w:pPr>
        <w:spacing w:line="276" w:lineRule="auto"/>
        <w:ind w:firstLine="720"/>
        <w:jc w:val="both"/>
        <w:rPr>
          <w:rFonts w:asciiTheme="minorHAnsi" w:hAnsiTheme="minorHAnsi" w:cstheme="minorHAnsi"/>
          <w:color w:val="000000" w:themeColor="text1"/>
          <w:sz w:val="26"/>
          <w:szCs w:val="26"/>
        </w:rPr>
      </w:pPr>
      <w:r w:rsidRPr="001862D3">
        <w:rPr>
          <w:rFonts w:asciiTheme="minorHAnsi" w:hAnsiTheme="minorHAnsi" w:cstheme="minorHAnsi"/>
          <w:color w:val="000000" w:themeColor="text1"/>
          <w:sz w:val="26"/>
          <w:szCs w:val="26"/>
        </w:rPr>
        <w:t xml:space="preserve">Participarea avocaților la activitățile de formare profesională continuă ale I.N.M. a adus, pe parcursul </w:t>
      </w:r>
      <w:r w:rsidR="004B046A">
        <w:rPr>
          <w:rFonts w:asciiTheme="minorHAnsi" w:hAnsiTheme="minorHAnsi" w:cstheme="minorHAnsi"/>
          <w:color w:val="000000" w:themeColor="text1"/>
          <w:sz w:val="26"/>
          <w:szCs w:val="26"/>
        </w:rPr>
        <w:t>anului 2025</w:t>
      </w:r>
      <w:r w:rsidRPr="001862D3">
        <w:rPr>
          <w:rFonts w:asciiTheme="minorHAnsi" w:hAnsiTheme="minorHAnsi" w:cstheme="minorHAnsi"/>
          <w:color w:val="000000" w:themeColor="text1"/>
          <w:sz w:val="26"/>
          <w:szCs w:val="26"/>
        </w:rPr>
        <w:t>, un plus de valoare și intensitate dezbaterilor, formarea comună a profesioniștilor dreptului având avantajul de a oferi o înțelegere unitară a instituțiilor de drept analizate și de a crea premisele unui schimb de idei real și util, ale unui climat de respect, colaborare</w:t>
      </w:r>
      <w:r w:rsidR="00194FF9">
        <w:rPr>
          <w:rFonts w:asciiTheme="minorHAnsi" w:hAnsiTheme="minorHAnsi" w:cstheme="minorHAnsi"/>
          <w:color w:val="000000" w:themeColor="text1"/>
          <w:sz w:val="26"/>
          <w:szCs w:val="26"/>
        </w:rPr>
        <w:t xml:space="preserve"> şi</w:t>
      </w:r>
      <w:r w:rsidRPr="001862D3">
        <w:rPr>
          <w:rFonts w:asciiTheme="minorHAnsi" w:hAnsiTheme="minorHAnsi" w:cstheme="minorHAnsi"/>
          <w:color w:val="000000" w:themeColor="text1"/>
          <w:sz w:val="26"/>
          <w:szCs w:val="26"/>
        </w:rPr>
        <w:t xml:space="preserve"> încredere în</w:t>
      </w:r>
      <w:r w:rsidR="00194FF9">
        <w:rPr>
          <w:rFonts w:asciiTheme="minorHAnsi" w:hAnsiTheme="minorHAnsi" w:cstheme="minorHAnsi"/>
          <w:color w:val="000000" w:themeColor="text1"/>
          <w:sz w:val="26"/>
          <w:szCs w:val="26"/>
        </w:rPr>
        <w:t>tre</w:t>
      </w:r>
      <w:r w:rsidRPr="001862D3">
        <w:rPr>
          <w:rFonts w:asciiTheme="minorHAnsi" w:hAnsiTheme="minorHAnsi" w:cstheme="minorHAnsi"/>
          <w:color w:val="000000" w:themeColor="text1"/>
          <w:sz w:val="26"/>
          <w:szCs w:val="26"/>
        </w:rPr>
        <w:t xml:space="preserve"> profesii. Această inițiativă va continua și în anul 2026, I.N.M. urmând să deschidă participării avocaților și alte activități de formare continuă care se vor organiza în cadrul P.F.C. 2026.</w:t>
      </w:r>
    </w:p>
    <w:p w14:paraId="7068B682" w14:textId="77777777" w:rsidR="00021845" w:rsidRPr="001862D3" w:rsidRDefault="00021845" w:rsidP="009E3AD8">
      <w:pPr>
        <w:spacing w:line="276" w:lineRule="auto"/>
        <w:ind w:firstLine="708"/>
        <w:jc w:val="both"/>
        <w:rPr>
          <w:rFonts w:asciiTheme="minorHAnsi" w:hAnsiTheme="minorHAnsi" w:cstheme="minorHAnsi"/>
          <w:color w:val="000000" w:themeColor="text1"/>
          <w:sz w:val="26"/>
          <w:szCs w:val="26"/>
        </w:rPr>
      </w:pPr>
      <w:r w:rsidRPr="001862D3">
        <w:rPr>
          <w:rFonts w:asciiTheme="minorHAnsi" w:hAnsiTheme="minorHAnsi" w:cstheme="minorHAnsi"/>
          <w:color w:val="000000" w:themeColor="text1"/>
          <w:sz w:val="26"/>
          <w:szCs w:val="26"/>
        </w:rPr>
        <w:lastRenderedPageBreak/>
        <w:t>Exprimată în cifre, activitatea de formare continuă la nivel centralizat realizată în cursul anului 2025, poate fi sintetizată astfel:</w:t>
      </w:r>
    </w:p>
    <w:p w14:paraId="09E4BBEC" w14:textId="2A246B93" w:rsidR="0081360C" w:rsidRPr="00255A74" w:rsidRDefault="00021845" w:rsidP="0081360C">
      <w:pPr>
        <w:spacing w:line="276" w:lineRule="auto"/>
        <w:ind w:firstLine="708"/>
        <w:jc w:val="both"/>
        <w:rPr>
          <w:rFonts w:asciiTheme="minorHAnsi" w:hAnsiTheme="minorHAnsi" w:cstheme="minorHAnsi"/>
          <w:sz w:val="26"/>
          <w:szCs w:val="26"/>
        </w:rPr>
      </w:pPr>
      <w:r w:rsidRPr="00255A74">
        <w:rPr>
          <w:rFonts w:asciiTheme="minorHAnsi" w:hAnsiTheme="minorHAnsi" w:cstheme="minorHAnsi"/>
          <w:sz w:val="26"/>
          <w:szCs w:val="26"/>
        </w:rPr>
        <w:t>I.N.M. a organizat</w:t>
      </w:r>
      <w:r w:rsidR="00C0543C" w:rsidRPr="00255A74">
        <w:rPr>
          <w:rFonts w:asciiTheme="minorHAnsi" w:hAnsiTheme="minorHAnsi" w:cstheme="minorHAnsi"/>
          <w:sz w:val="26"/>
          <w:szCs w:val="26"/>
        </w:rPr>
        <w:t>în cursul anului</w:t>
      </w:r>
      <w:r w:rsidRPr="00255A74">
        <w:rPr>
          <w:rFonts w:asciiTheme="minorHAnsi" w:hAnsiTheme="minorHAnsi" w:cstheme="minorHAnsi"/>
          <w:sz w:val="26"/>
          <w:szCs w:val="26"/>
        </w:rPr>
        <w:t xml:space="preserve"> </w:t>
      </w:r>
      <w:r w:rsidR="00B8373E" w:rsidRPr="00255A74">
        <w:rPr>
          <w:rFonts w:asciiTheme="minorHAnsi" w:hAnsiTheme="minorHAnsi" w:cstheme="minorHAnsi"/>
          <w:sz w:val="26"/>
          <w:szCs w:val="26"/>
        </w:rPr>
        <w:t>2025</w:t>
      </w:r>
      <w:r w:rsidRPr="00255A74">
        <w:rPr>
          <w:rFonts w:asciiTheme="minorHAnsi" w:hAnsiTheme="minorHAnsi" w:cstheme="minorHAnsi"/>
          <w:sz w:val="26"/>
          <w:szCs w:val="26"/>
        </w:rPr>
        <w:t xml:space="preserve">, </w:t>
      </w:r>
      <w:bookmarkStart w:id="99" w:name="_Hlk184975679"/>
      <w:r w:rsidRPr="00255A74">
        <w:rPr>
          <w:rFonts w:asciiTheme="minorHAnsi" w:hAnsiTheme="minorHAnsi" w:cstheme="minorHAnsi"/>
          <w:sz w:val="26"/>
          <w:szCs w:val="26"/>
        </w:rPr>
        <w:t xml:space="preserve">un număr de </w:t>
      </w:r>
      <w:r w:rsidR="00C0543C" w:rsidRPr="00255A74">
        <w:rPr>
          <w:rFonts w:asciiTheme="minorHAnsi" w:hAnsiTheme="minorHAnsi" w:cstheme="minorHAnsi"/>
          <w:sz w:val="26"/>
          <w:szCs w:val="26"/>
        </w:rPr>
        <w:t>127</w:t>
      </w:r>
      <w:r w:rsidRPr="00255A74">
        <w:rPr>
          <w:rFonts w:asciiTheme="minorHAnsi" w:hAnsiTheme="minorHAnsi" w:cstheme="minorHAnsi"/>
          <w:sz w:val="26"/>
          <w:szCs w:val="26"/>
        </w:rPr>
        <w:t xml:space="preserve"> </w:t>
      </w:r>
      <w:r w:rsidR="005E0093" w:rsidRPr="00255A74">
        <w:rPr>
          <w:rFonts w:asciiTheme="minorHAnsi" w:hAnsiTheme="minorHAnsi" w:cstheme="minorHAnsi"/>
          <w:sz w:val="26"/>
          <w:szCs w:val="26"/>
        </w:rPr>
        <w:t xml:space="preserve">de </w:t>
      </w:r>
      <w:r w:rsidRPr="00255A74">
        <w:rPr>
          <w:rFonts w:asciiTheme="minorHAnsi" w:hAnsiTheme="minorHAnsi" w:cstheme="minorHAnsi"/>
          <w:sz w:val="26"/>
          <w:szCs w:val="26"/>
        </w:rPr>
        <w:t xml:space="preserve">activități de formare profesională continuă, la care au participat, în total, </w:t>
      </w:r>
      <w:r w:rsidR="00C0543C" w:rsidRPr="00255A74">
        <w:rPr>
          <w:rFonts w:asciiTheme="minorHAnsi" w:hAnsiTheme="minorHAnsi" w:cstheme="minorHAnsi"/>
          <w:sz w:val="26"/>
          <w:szCs w:val="26"/>
        </w:rPr>
        <w:t>3846</w:t>
      </w:r>
      <w:r w:rsidRPr="00255A74">
        <w:rPr>
          <w:rFonts w:asciiTheme="minorHAnsi" w:hAnsiTheme="minorHAnsi" w:cstheme="minorHAnsi"/>
          <w:sz w:val="26"/>
          <w:szCs w:val="26"/>
        </w:rPr>
        <w:t xml:space="preserve"> de persoane</w:t>
      </w:r>
      <w:bookmarkEnd w:id="99"/>
      <w:r w:rsidRPr="00255A74">
        <w:rPr>
          <w:rFonts w:asciiTheme="minorHAnsi" w:hAnsiTheme="minorHAnsi" w:cstheme="minorHAnsi"/>
          <w:sz w:val="26"/>
          <w:szCs w:val="26"/>
        </w:rPr>
        <w:t xml:space="preserve">, după cum urmează: </w:t>
      </w:r>
      <w:r w:rsidR="0081360C" w:rsidRPr="00255A74">
        <w:rPr>
          <w:rFonts w:asciiTheme="minorHAnsi" w:hAnsiTheme="minorHAnsi" w:cstheme="minorHAnsi"/>
          <w:sz w:val="26"/>
          <w:szCs w:val="26"/>
        </w:rPr>
        <w:t xml:space="preserve">: 2327 de judecători, 799 de procurori, 140 de magistrați asistenți, 83 de asistenți ai judecătorului, 92 de asistenți judiciari, 78 de participanți din categoria personalului de specialitate juridică asimilat judecătorilor și procurorilor din cadrul instituțiilor sistemului judiciar (M.J., C.S.M., I.N.M., P.I.C.C.J.,A.N.C., A.N.A.B.I. și I.J.), 47 de auditori de justiție, 76 de avocați, 174 de alți specialiști din domenii juridice și domenii conexe și 30 de judecători, procurori și alți specialiști europeni. </w:t>
      </w:r>
    </w:p>
    <w:p w14:paraId="21C9ADD5" w14:textId="77777777" w:rsidR="00021845" w:rsidRPr="001862D3" w:rsidRDefault="00021845" w:rsidP="009E3AD8">
      <w:pPr>
        <w:spacing w:line="276" w:lineRule="auto"/>
        <w:ind w:firstLine="708"/>
        <w:jc w:val="both"/>
        <w:rPr>
          <w:rFonts w:asciiTheme="minorHAnsi" w:hAnsiTheme="minorHAnsi" w:cstheme="minorHAnsi"/>
          <w:color w:val="000000" w:themeColor="text1"/>
          <w:sz w:val="26"/>
          <w:szCs w:val="26"/>
        </w:rPr>
      </w:pPr>
      <w:r w:rsidRPr="00255A74">
        <w:rPr>
          <w:rFonts w:asciiTheme="minorHAnsi" w:hAnsiTheme="minorHAnsi" w:cstheme="minorHAnsi"/>
          <w:sz w:val="26"/>
          <w:szCs w:val="26"/>
        </w:rPr>
        <w:t xml:space="preserve">La aceștia se adaugă cei 689 de magistrați (473 de judecători și 216 procurori) pregătiți în </w:t>
      </w:r>
      <w:r w:rsidRPr="001862D3">
        <w:rPr>
          <w:rFonts w:asciiTheme="minorHAnsi" w:hAnsiTheme="minorHAnsi" w:cstheme="minorHAnsi"/>
          <w:color w:val="000000" w:themeColor="text1"/>
          <w:sz w:val="26"/>
          <w:szCs w:val="26"/>
        </w:rPr>
        <w:t>cadrul</w:t>
      </w:r>
      <w:r w:rsidRPr="001862D3">
        <w:rPr>
          <w:rFonts w:asciiTheme="minorHAnsi" w:hAnsiTheme="minorHAnsi" w:cstheme="minorHAnsi"/>
          <w:b/>
          <w:bCs/>
          <w:color w:val="000000" w:themeColor="text1"/>
          <w:sz w:val="26"/>
          <w:szCs w:val="26"/>
        </w:rPr>
        <w:t xml:space="preserve"> </w:t>
      </w:r>
      <w:r w:rsidRPr="001862D3">
        <w:rPr>
          <w:rFonts w:asciiTheme="minorHAnsi" w:hAnsiTheme="minorHAnsi" w:cstheme="minorHAnsi"/>
          <w:color w:val="000000" w:themeColor="text1"/>
          <w:sz w:val="26"/>
          <w:szCs w:val="26"/>
        </w:rPr>
        <w:t>programelor de pregătire a magistraților selectați în temeiul prevederilor art. 63 din Legea nr. 303/2022.</w:t>
      </w:r>
    </w:p>
    <w:p w14:paraId="1B448313" w14:textId="77777777" w:rsidR="00021845" w:rsidRPr="001862D3" w:rsidRDefault="00021845" w:rsidP="00281400">
      <w:pPr>
        <w:numPr>
          <w:ilvl w:val="0"/>
          <w:numId w:val="5"/>
        </w:numPr>
        <w:tabs>
          <w:tab w:val="left" w:pos="1134"/>
        </w:tabs>
        <w:autoSpaceDE w:val="0"/>
        <w:autoSpaceDN w:val="0"/>
        <w:adjustRightInd w:val="0"/>
        <w:spacing w:line="276" w:lineRule="auto"/>
        <w:ind w:left="540" w:firstLine="169"/>
        <w:contextualSpacing/>
        <w:jc w:val="both"/>
        <w:rPr>
          <w:rFonts w:asciiTheme="minorHAnsi" w:hAnsiTheme="minorHAnsi" w:cstheme="minorHAnsi"/>
          <w:b/>
          <w:color w:val="000000" w:themeColor="text1"/>
          <w:sz w:val="26"/>
          <w:szCs w:val="26"/>
        </w:rPr>
      </w:pPr>
      <w:r w:rsidRPr="001862D3">
        <w:rPr>
          <w:rFonts w:asciiTheme="minorHAnsi" w:hAnsiTheme="minorHAnsi" w:cstheme="minorHAnsi"/>
          <w:b/>
          <w:color w:val="000000" w:themeColor="text1"/>
          <w:sz w:val="26"/>
          <w:szCs w:val="26"/>
        </w:rPr>
        <w:t xml:space="preserve">Activitățile de formare continuă la nivel descentralizat </w:t>
      </w:r>
    </w:p>
    <w:p w14:paraId="7B837575" w14:textId="77777777" w:rsidR="00021845" w:rsidRPr="001862D3" w:rsidRDefault="00021845" w:rsidP="00870A98">
      <w:pPr>
        <w:spacing w:line="276" w:lineRule="auto"/>
        <w:ind w:firstLine="708"/>
        <w:jc w:val="both"/>
        <w:rPr>
          <w:rFonts w:asciiTheme="minorHAnsi" w:hAnsiTheme="minorHAnsi" w:cstheme="minorHAnsi"/>
          <w:noProof/>
          <w:color w:val="000000" w:themeColor="text1"/>
          <w:sz w:val="26"/>
          <w:szCs w:val="26"/>
        </w:rPr>
      </w:pPr>
      <w:r w:rsidRPr="001862D3">
        <w:rPr>
          <w:rFonts w:asciiTheme="minorHAnsi" w:hAnsiTheme="minorHAnsi" w:cstheme="minorHAnsi"/>
          <w:color w:val="000000" w:themeColor="text1"/>
          <w:sz w:val="26"/>
          <w:szCs w:val="26"/>
        </w:rPr>
        <w:t>În cursul anului 2025, Institutul a continuat să sprijine creșterea calității sesiunilor de formare descentralizată, prin suportarea costurilor aferente participării formatorilor săi, întrucât specificul activității de formare continuă la nivel descentralizat este de natură a genera complementaritatea față de formarea continuă la nivel centralizat, inclusiv prin abordarea unor teme ce nu se regăsesc în programul de formare continuă centralizată sau care sunt specifice activității din raza anumitor curți de apel ori parchete de pe lângă curți de apel.</w:t>
      </w:r>
    </w:p>
    <w:p w14:paraId="7D3DF0FA" w14:textId="4395358C" w:rsidR="00021845" w:rsidRPr="001862D3" w:rsidRDefault="00021845" w:rsidP="00870A98">
      <w:pPr>
        <w:spacing w:line="276" w:lineRule="auto"/>
        <w:ind w:firstLine="708"/>
        <w:jc w:val="both"/>
        <w:rPr>
          <w:rFonts w:asciiTheme="minorHAnsi" w:hAnsiTheme="minorHAnsi" w:cstheme="minorHAnsi"/>
          <w:color w:val="000000" w:themeColor="text1"/>
          <w:sz w:val="26"/>
          <w:szCs w:val="26"/>
        </w:rPr>
      </w:pPr>
      <w:r w:rsidRPr="001862D3">
        <w:rPr>
          <w:rFonts w:asciiTheme="minorHAnsi" w:hAnsiTheme="minorHAnsi" w:cstheme="minorHAnsi"/>
          <w:color w:val="000000" w:themeColor="text1"/>
          <w:sz w:val="26"/>
          <w:szCs w:val="26"/>
        </w:rPr>
        <w:t>Pentru aceasta, la începutul anului 2025 au fost organizate 2 întâlniri cu responsabilii cu formarea continuă la nivel descentralizat. Obiectivul acestor întâlniri l-a reprezentat creşterea calității standardului de formare la nivelul formării continue organizate de I</w:t>
      </w:r>
      <w:r w:rsidR="00142666">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N</w:t>
      </w:r>
      <w:r w:rsidR="00142666">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M</w:t>
      </w:r>
      <w:r w:rsidR="00142666">
        <w:rPr>
          <w:rFonts w:asciiTheme="minorHAnsi" w:hAnsiTheme="minorHAnsi" w:cstheme="minorHAnsi"/>
          <w:color w:val="000000" w:themeColor="text1"/>
          <w:sz w:val="26"/>
          <w:szCs w:val="26"/>
        </w:rPr>
        <w:t>.</w:t>
      </w:r>
      <w:r w:rsidRPr="001862D3">
        <w:rPr>
          <w:rFonts w:asciiTheme="minorHAnsi" w:hAnsiTheme="minorHAnsi" w:cstheme="minorHAnsi"/>
          <w:color w:val="000000" w:themeColor="text1"/>
          <w:sz w:val="26"/>
          <w:szCs w:val="26"/>
        </w:rPr>
        <w:t xml:space="preserve"> în plan descentralizat în contextul programelor comune din domeniile obligatorii, precum și dezbaterea condițiilor necesare pentru buna desfășurare a fiecărei activități de formare. De asemenea, au fost identificate şi preluate aspectele generatoare de bune practici, având în vedere specificul activității de formare la nivel descentralizat.</w:t>
      </w:r>
    </w:p>
    <w:p w14:paraId="4C52A12E" w14:textId="52B57E99" w:rsidR="00021845" w:rsidRDefault="00021845" w:rsidP="009E3AD8">
      <w:pPr>
        <w:spacing w:line="276" w:lineRule="auto"/>
        <w:ind w:firstLine="540"/>
        <w:jc w:val="both"/>
        <w:rPr>
          <w:rFonts w:asciiTheme="minorHAnsi" w:hAnsiTheme="minorHAnsi" w:cstheme="minorHAnsi"/>
          <w:color w:val="000000" w:themeColor="text1"/>
          <w:sz w:val="26"/>
          <w:szCs w:val="26"/>
        </w:rPr>
      </w:pPr>
      <w:r w:rsidRPr="001862D3">
        <w:rPr>
          <w:rFonts w:asciiTheme="minorHAnsi" w:hAnsiTheme="minorHAnsi" w:cstheme="minorHAnsi"/>
          <w:color w:val="000000" w:themeColor="text1"/>
          <w:sz w:val="26"/>
          <w:szCs w:val="26"/>
        </w:rPr>
        <w:t xml:space="preserve">Elaborarea și implementarea Programului de formare profesională continuă la nivel descentralizat pentru anul 2025 au fost realizate cu sprijinul judecătorilor și procurorilor desemnați de curțile de apel și parchetele de pe lângă curțile de apel responsabili cu această activitate.  </w:t>
      </w:r>
    </w:p>
    <w:p w14:paraId="3790D561" w14:textId="77777777" w:rsidR="00955AD5" w:rsidRPr="00255A74" w:rsidRDefault="00955AD5" w:rsidP="00955AD5">
      <w:pPr>
        <w:spacing w:line="276" w:lineRule="auto"/>
        <w:ind w:firstLine="540"/>
        <w:jc w:val="both"/>
        <w:rPr>
          <w:rFonts w:asciiTheme="minorHAnsi" w:hAnsiTheme="minorHAnsi" w:cstheme="minorHAnsi"/>
          <w:sz w:val="26"/>
          <w:szCs w:val="26"/>
        </w:rPr>
      </w:pPr>
      <w:bookmarkStart w:id="100" w:name="_Hlk217028916"/>
      <w:r w:rsidRPr="00255A74">
        <w:rPr>
          <w:rFonts w:asciiTheme="minorHAnsi" w:hAnsiTheme="minorHAnsi" w:cstheme="minorHAnsi"/>
          <w:sz w:val="26"/>
          <w:szCs w:val="26"/>
        </w:rPr>
        <w:t xml:space="preserve">Astfel, în cursul anului 2025, din informațiile aflate la dispoziția I.N.M., au fost organizate 123 de activități de formare la nivel descentralizat în domeniile obligatorii, respectiv formare în materia unificării practicii judiciare, formare specializată, cooperare judiciară internațională, Dreptul U.E., C.E.D.O., combaterea corupției, criminalitate economico-financiară, etică şi deontologie, abilități non-juridice. Dintre acestea, 104 activități de formare au fost organizate de curțile de apel și 19 activități de formare de parchetele de pe lângă curțile de apel. La aceste activități de formare au fost înregistrate 137 de participări ale formatorilor I.N.M. și 3498 de participări ale magistraților. </w:t>
      </w:r>
    </w:p>
    <w:bookmarkEnd w:id="100"/>
    <w:p w14:paraId="453F28CB" w14:textId="77777777" w:rsidR="00021845" w:rsidRPr="001862D3" w:rsidRDefault="00021845" w:rsidP="00281400">
      <w:pPr>
        <w:numPr>
          <w:ilvl w:val="0"/>
          <w:numId w:val="5"/>
        </w:numPr>
        <w:tabs>
          <w:tab w:val="left" w:pos="1134"/>
        </w:tabs>
        <w:autoSpaceDE w:val="0"/>
        <w:autoSpaceDN w:val="0"/>
        <w:adjustRightInd w:val="0"/>
        <w:spacing w:line="276" w:lineRule="auto"/>
        <w:ind w:left="540" w:firstLine="169"/>
        <w:contextualSpacing/>
        <w:jc w:val="both"/>
        <w:rPr>
          <w:rFonts w:asciiTheme="minorHAnsi" w:hAnsiTheme="minorHAnsi" w:cstheme="minorHAnsi"/>
          <w:b/>
          <w:color w:val="000000" w:themeColor="text1"/>
          <w:sz w:val="26"/>
          <w:szCs w:val="26"/>
        </w:rPr>
      </w:pPr>
      <w:r w:rsidRPr="001862D3">
        <w:rPr>
          <w:rFonts w:asciiTheme="minorHAnsi" w:hAnsiTheme="minorHAnsi" w:cstheme="minorHAnsi"/>
          <w:b/>
          <w:color w:val="000000" w:themeColor="text1"/>
          <w:sz w:val="26"/>
          <w:szCs w:val="26"/>
        </w:rPr>
        <w:t xml:space="preserve">Programul de cooperare elvețiano-român (a doua contribuție) - Programul de securitate și siguranță publică (Justiție)  </w:t>
      </w:r>
    </w:p>
    <w:p w14:paraId="3C15723A" w14:textId="3A551110" w:rsidR="00021845" w:rsidRPr="001862D3" w:rsidRDefault="00021845" w:rsidP="009E3AD8">
      <w:pPr>
        <w:spacing w:line="276" w:lineRule="auto"/>
        <w:ind w:firstLine="540"/>
        <w:jc w:val="both"/>
        <w:rPr>
          <w:rFonts w:ascii="Calibri" w:hAnsi="Calibri"/>
          <w:color w:val="000000" w:themeColor="text1"/>
          <w:sz w:val="26"/>
          <w:szCs w:val="26"/>
        </w:rPr>
      </w:pPr>
      <w:r w:rsidRPr="001862D3">
        <w:rPr>
          <w:rFonts w:ascii="Calibri" w:hAnsi="Calibri"/>
          <w:color w:val="000000" w:themeColor="text1"/>
          <w:sz w:val="26"/>
          <w:szCs w:val="26"/>
        </w:rPr>
        <w:t>I</w:t>
      </w:r>
      <w:r w:rsidR="00870A98">
        <w:rPr>
          <w:rFonts w:ascii="Calibri" w:hAnsi="Calibri"/>
          <w:color w:val="000000" w:themeColor="text1"/>
          <w:sz w:val="26"/>
          <w:szCs w:val="26"/>
        </w:rPr>
        <w:t xml:space="preserve">.N.M. </w:t>
      </w:r>
      <w:r w:rsidRPr="001862D3">
        <w:rPr>
          <w:rFonts w:ascii="Calibri" w:hAnsi="Calibri"/>
          <w:color w:val="000000" w:themeColor="text1"/>
          <w:sz w:val="26"/>
          <w:szCs w:val="26"/>
        </w:rPr>
        <w:t xml:space="preserve">participă, în calitate de partener instituțional, la implementarea a patru componente tematice din cadrul </w:t>
      </w:r>
      <w:r w:rsidRPr="001862D3">
        <w:rPr>
          <w:rFonts w:ascii="Calibri" w:hAnsi="Calibri"/>
          <w:b/>
          <w:bCs/>
          <w:color w:val="000000" w:themeColor="text1"/>
          <w:sz w:val="26"/>
          <w:szCs w:val="26"/>
        </w:rPr>
        <w:t>Programului de securitate și siguranță publică „Justiție”</w:t>
      </w:r>
      <w:r w:rsidRPr="001862D3">
        <w:rPr>
          <w:rFonts w:ascii="Calibri" w:hAnsi="Calibri"/>
          <w:color w:val="000000" w:themeColor="text1"/>
          <w:sz w:val="26"/>
          <w:szCs w:val="26"/>
        </w:rPr>
        <w:t>, finanțat prin Programul de cooperare elvețiano-român – a doua contribuție elvețiană. Rolul principal al I</w:t>
      </w:r>
      <w:r w:rsidR="00142666">
        <w:rPr>
          <w:rFonts w:ascii="Calibri" w:hAnsi="Calibri"/>
          <w:color w:val="000000" w:themeColor="text1"/>
          <w:sz w:val="26"/>
          <w:szCs w:val="26"/>
        </w:rPr>
        <w:t>.</w:t>
      </w:r>
      <w:r w:rsidRPr="001862D3">
        <w:rPr>
          <w:rFonts w:ascii="Calibri" w:hAnsi="Calibri"/>
          <w:color w:val="000000" w:themeColor="text1"/>
          <w:sz w:val="26"/>
          <w:szCs w:val="26"/>
        </w:rPr>
        <w:t>N</w:t>
      </w:r>
      <w:r w:rsidR="00142666">
        <w:rPr>
          <w:rFonts w:ascii="Calibri" w:hAnsi="Calibri"/>
          <w:color w:val="000000" w:themeColor="text1"/>
          <w:sz w:val="26"/>
          <w:szCs w:val="26"/>
        </w:rPr>
        <w:t>.</w:t>
      </w:r>
      <w:r w:rsidRPr="001862D3">
        <w:rPr>
          <w:rFonts w:ascii="Calibri" w:hAnsi="Calibri"/>
          <w:color w:val="000000" w:themeColor="text1"/>
          <w:sz w:val="26"/>
          <w:szCs w:val="26"/>
        </w:rPr>
        <w:t>M</w:t>
      </w:r>
      <w:r w:rsidR="00142666">
        <w:rPr>
          <w:rFonts w:ascii="Calibri" w:hAnsi="Calibri"/>
          <w:color w:val="000000" w:themeColor="text1"/>
          <w:sz w:val="26"/>
          <w:szCs w:val="26"/>
        </w:rPr>
        <w:t>.</w:t>
      </w:r>
      <w:r w:rsidRPr="001862D3">
        <w:rPr>
          <w:rFonts w:ascii="Calibri" w:hAnsi="Calibri"/>
          <w:color w:val="000000" w:themeColor="text1"/>
          <w:sz w:val="26"/>
          <w:szCs w:val="26"/>
        </w:rPr>
        <w:t xml:space="preserve"> </w:t>
      </w:r>
      <w:r w:rsidRPr="001862D3">
        <w:rPr>
          <w:rFonts w:ascii="Calibri" w:hAnsi="Calibri"/>
          <w:color w:val="000000" w:themeColor="text1"/>
          <w:sz w:val="26"/>
          <w:szCs w:val="26"/>
        </w:rPr>
        <w:lastRenderedPageBreak/>
        <w:t>în cadrul acestui program este de a contribui la consolidarea capacității profesionale și instituționale a sistemului judiciar, prin dezvoltarea și implementarea de programe moderne de formare profesională continuă, atât în format față în față, cât și în format eLearning, adaptate domeniilor emergente ale justiției penale și protecției drepturilor fundamentale.</w:t>
      </w:r>
    </w:p>
    <w:p w14:paraId="1DCBEEB1" w14:textId="131CAEED" w:rsidR="00021845" w:rsidRPr="001862D3" w:rsidRDefault="00021845" w:rsidP="009E3AD8">
      <w:pPr>
        <w:spacing w:line="276" w:lineRule="auto"/>
        <w:ind w:firstLine="540"/>
        <w:jc w:val="both"/>
        <w:rPr>
          <w:rFonts w:ascii="Calibri" w:hAnsi="Calibri"/>
          <w:color w:val="000000" w:themeColor="text1"/>
          <w:sz w:val="26"/>
          <w:szCs w:val="26"/>
        </w:rPr>
      </w:pPr>
      <w:r w:rsidRPr="001862D3">
        <w:rPr>
          <w:rFonts w:ascii="Calibri" w:hAnsi="Calibri"/>
          <w:color w:val="000000" w:themeColor="text1"/>
          <w:sz w:val="26"/>
          <w:szCs w:val="26"/>
        </w:rPr>
        <w:t>Activitățile desfășurate în cadrul acestor proiecte urmăresc atât creșterea calității procesului de formare profesională, cât și modernizarea instrumentelor și metodologiilor de învățare, prin integrarea platformei digitale de instruire a I</w:t>
      </w:r>
      <w:r w:rsidR="00142666">
        <w:rPr>
          <w:rFonts w:ascii="Calibri" w:hAnsi="Calibri"/>
          <w:color w:val="000000" w:themeColor="text1"/>
          <w:sz w:val="26"/>
          <w:szCs w:val="26"/>
        </w:rPr>
        <w:t>.</w:t>
      </w:r>
      <w:r w:rsidRPr="001862D3">
        <w:rPr>
          <w:rFonts w:ascii="Calibri" w:hAnsi="Calibri"/>
          <w:color w:val="000000" w:themeColor="text1"/>
          <w:sz w:val="26"/>
          <w:szCs w:val="26"/>
        </w:rPr>
        <w:t>N</w:t>
      </w:r>
      <w:r w:rsidR="00142666">
        <w:rPr>
          <w:rFonts w:ascii="Calibri" w:hAnsi="Calibri"/>
          <w:color w:val="000000" w:themeColor="text1"/>
          <w:sz w:val="26"/>
          <w:szCs w:val="26"/>
        </w:rPr>
        <w:t>.</w:t>
      </w:r>
      <w:r w:rsidRPr="001862D3">
        <w:rPr>
          <w:rFonts w:ascii="Calibri" w:hAnsi="Calibri"/>
          <w:color w:val="000000" w:themeColor="text1"/>
          <w:sz w:val="26"/>
          <w:szCs w:val="26"/>
        </w:rPr>
        <w:t>M</w:t>
      </w:r>
      <w:r w:rsidR="00142666">
        <w:rPr>
          <w:rFonts w:ascii="Calibri" w:hAnsi="Calibri"/>
          <w:color w:val="000000" w:themeColor="text1"/>
          <w:sz w:val="26"/>
          <w:szCs w:val="26"/>
        </w:rPr>
        <w:t>.</w:t>
      </w:r>
      <w:r w:rsidRPr="001862D3">
        <w:rPr>
          <w:rFonts w:ascii="Calibri" w:hAnsi="Calibri"/>
          <w:color w:val="000000" w:themeColor="text1"/>
          <w:sz w:val="26"/>
          <w:szCs w:val="26"/>
        </w:rPr>
        <w:t xml:space="preserve"> ca instrument principal de diseminare și consolidare a cunoștințelor. Accentul este pus pe dezvoltarea de curricule tematice, formarea formatorilor, elaborarea de module eLearning interactive și crearea de metodologii și resurse digitale, care asigură sustenabilitatea rezultatelor și extinderea accesului la formare pentru toate categoriile de profesioniști din sistemul judiciar.</w:t>
      </w:r>
    </w:p>
    <w:p w14:paraId="3390CB0D" w14:textId="77777777" w:rsidR="00021845" w:rsidRPr="001862D3" w:rsidRDefault="00021845" w:rsidP="009E3AD8">
      <w:pPr>
        <w:spacing w:line="276" w:lineRule="auto"/>
        <w:ind w:firstLine="540"/>
        <w:jc w:val="both"/>
        <w:rPr>
          <w:rFonts w:ascii="Calibri" w:hAnsi="Calibri"/>
          <w:b/>
          <w:bCs/>
          <w:color w:val="000000" w:themeColor="text1"/>
          <w:sz w:val="26"/>
          <w:szCs w:val="26"/>
        </w:rPr>
      </w:pPr>
      <w:r w:rsidRPr="001862D3">
        <w:rPr>
          <w:rFonts w:ascii="Calibri" w:hAnsi="Calibri"/>
          <w:b/>
          <w:bCs/>
          <w:color w:val="000000" w:themeColor="text1"/>
          <w:sz w:val="26"/>
          <w:szCs w:val="26"/>
        </w:rPr>
        <w:t>Componenta 1 – Combaterea criminalității organizate, criminalității informatice și infracțiunilor de mediu</w:t>
      </w:r>
    </w:p>
    <w:p w14:paraId="54CA87E4" w14:textId="57CE4C07" w:rsidR="00021845" w:rsidRPr="001862D3" w:rsidRDefault="00021845" w:rsidP="009E3AD8">
      <w:pPr>
        <w:spacing w:line="276" w:lineRule="auto"/>
        <w:ind w:firstLine="540"/>
        <w:jc w:val="both"/>
        <w:rPr>
          <w:rFonts w:ascii="Calibri" w:hAnsi="Calibri"/>
          <w:color w:val="000000" w:themeColor="text1"/>
          <w:sz w:val="26"/>
          <w:szCs w:val="26"/>
        </w:rPr>
      </w:pPr>
      <w:r w:rsidRPr="001862D3">
        <w:rPr>
          <w:rFonts w:ascii="Calibri" w:hAnsi="Calibri"/>
          <w:color w:val="000000" w:themeColor="text1"/>
          <w:sz w:val="26"/>
          <w:szCs w:val="26"/>
        </w:rPr>
        <w:t>I</w:t>
      </w:r>
      <w:r w:rsidR="00142666">
        <w:rPr>
          <w:rFonts w:ascii="Calibri" w:hAnsi="Calibri"/>
          <w:color w:val="000000" w:themeColor="text1"/>
          <w:sz w:val="26"/>
          <w:szCs w:val="26"/>
        </w:rPr>
        <w:t>.</w:t>
      </w:r>
      <w:r w:rsidRPr="001862D3">
        <w:rPr>
          <w:rFonts w:ascii="Calibri" w:hAnsi="Calibri"/>
          <w:color w:val="000000" w:themeColor="text1"/>
          <w:sz w:val="26"/>
          <w:szCs w:val="26"/>
        </w:rPr>
        <w:t>N</w:t>
      </w:r>
      <w:r w:rsidR="00142666">
        <w:rPr>
          <w:rFonts w:ascii="Calibri" w:hAnsi="Calibri"/>
          <w:color w:val="000000" w:themeColor="text1"/>
          <w:sz w:val="26"/>
          <w:szCs w:val="26"/>
        </w:rPr>
        <w:t>.</w:t>
      </w:r>
      <w:r w:rsidRPr="001862D3">
        <w:rPr>
          <w:rFonts w:ascii="Calibri" w:hAnsi="Calibri"/>
          <w:color w:val="000000" w:themeColor="text1"/>
          <w:sz w:val="26"/>
          <w:szCs w:val="26"/>
        </w:rPr>
        <w:t>M</w:t>
      </w:r>
      <w:r w:rsidR="00142666">
        <w:rPr>
          <w:rFonts w:ascii="Calibri" w:hAnsi="Calibri"/>
          <w:color w:val="000000" w:themeColor="text1"/>
          <w:sz w:val="26"/>
          <w:szCs w:val="26"/>
        </w:rPr>
        <w:t>.</w:t>
      </w:r>
      <w:r w:rsidRPr="001862D3">
        <w:rPr>
          <w:rFonts w:ascii="Calibri" w:hAnsi="Calibri"/>
          <w:color w:val="000000" w:themeColor="text1"/>
          <w:sz w:val="26"/>
          <w:szCs w:val="26"/>
        </w:rPr>
        <w:t xml:space="preserve"> contribuie la consolidarea capacității profesionale a procurorilor, judecătorilor și specialiștilor implicați în investigarea infracțiunilor complexe, printr-un program structurat de formare și formare a formatorilor. În cadrul acestei componente se elaborează curricule și pachete de învățare, se organizează sesiuni de formare specializată și se dezvoltă module eLearning care vor fi integrate pe platforma digitală a </w:t>
      </w:r>
      <w:r w:rsidR="00870A98">
        <w:rPr>
          <w:rFonts w:ascii="Calibri" w:hAnsi="Calibri"/>
          <w:color w:val="000000" w:themeColor="text1"/>
          <w:sz w:val="26"/>
          <w:szCs w:val="26"/>
        </w:rPr>
        <w:t>I.N.M.</w:t>
      </w:r>
      <w:r w:rsidRPr="001862D3">
        <w:rPr>
          <w:rFonts w:ascii="Calibri" w:hAnsi="Calibri"/>
          <w:color w:val="000000" w:themeColor="text1"/>
          <w:sz w:val="26"/>
          <w:szCs w:val="26"/>
        </w:rPr>
        <w:t>. Astfel, procesul de formare devine mai flexibil și mai accesibil, facilitând diseminarea bunelor practici în domeniul combaterii criminalității organizate și de mediu.</w:t>
      </w:r>
    </w:p>
    <w:p w14:paraId="78CC0B51" w14:textId="5B14488A" w:rsidR="00021845" w:rsidRPr="001862D3" w:rsidRDefault="00021845" w:rsidP="009E3AD8">
      <w:pPr>
        <w:spacing w:line="276" w:lineRule="auto"/>
        <w:ind w:firstLine="540"/>
        <w:jc w:val="both"/>
        <w:rPr>
          <w:rFonts w:ascii="Calibri" w:hAnsi="Calibri"/>
          <w:b/>
          <w:bCs/>
          <w:color w:val="000000" w:themeColor="text1"/>
          <w:sz w:val="26"/>
          <w:szCs w:val="26"/>
        </w:rPr>
      </w:pPr>
      <w:r w:rsidRPr="001862D3">
        <w:rPr>
          <w:rFonts w:ascii="Calibri" w:hAnsi="Calibri"/>
          <w:b/>
          <w:bCs/>
          <w:color w:val="000000" w:themeColor="text1"/>
          <w:sz w:val="26"/>
          <w:szCs w:val="26"/>
        </w:rPr>
        <w:t>Componenta 2 – Consolidarea capacității instituționale în domeniul combaterii corupției</w:t>
      </w:r>
      <w:r w:rsidRPr="001862D3">
        <w:rPr>
          <w:rFonts w:ascii="Calibri" w:hAnsi="Calibri"/>
          <w:color w:val="000000" w:themeColor="text1"/>
          <w:sz w:val="26"/>
          <w:szCs w:val="26"/>
        </w:rPr>
        <w:br/>
        <w:t xml:space="preserve">          Prin această intervenție, I</w:t>
      </w:r>
      <w:r w:rsidR="00142666">
        <w:rPr>
          <w:rFonts w:ascii="Calibri" w:hAnsi="Calibri"/>
          <w:color w:val="000000" w:themeColor="text1"/>
          <w:sz w:val="26"/>
          <w:szCs w:val="26"/>
        </w:rPr>
        <w:t>.</w:t>
      </w:r>
      <w:r w:rsidRPr="001862D3">
        <w:rPr>
          <w:rFonts w:ascii="Calibri" w:hAnsi="Calibri"/>
          <w:color w:val="000000" w:themeColor="text1"/>
          <w:sz w:val="26"/>
          <w:szCs w:val="26"/>
        </w:rPr>
        <w:t>N</w:t>
      </w:r>
      <w:r w:rsidR="00142666">
        <w:rPr>
          <w:rFonts w:ascii="Calibri" w:hAnsi="Calibri"/>
          <w:color w:val="000000" w:themeColor="text1"/>
          <w:sz w:val="26"/>
          <w:szCs w:val="26"/>
        </w:rPr>
        <w:t>.</w:t>
      </w:r>
      <w:r w:rsidRPr="001862D3">
        <w:rPr>
          <w:rFonts w:ascii="Calibri" w:hAnsi="Calibri"/>
          <w:color w:val="000000" w:themeColor="text1"/>
          <w:sz w:val="26"/>
          <w:szCs w:val="26"/>
        </w:rPr>
        <w:t>M</w:t>
      </w:r>
      <w:r w:rsidR="00142666">
        <w:rPr>
          <w:rFonts w:ascii="Calibri" w:hAnsi="Calibri"/>
          <w:color w:val="000000" w:themeColor="text1"/>
          <w:sz w:val="26"/>
          <w:szCs w:val="26"/>
        </w:rPr>
        <w:t>.</w:t>
      </w:r>
      <w:r w:rsidRPr="001862D3">
        <w:rPr>
          <w:rFonts w:ascii="Calibri" w:hAnsi="Calibri"/>
          <w:color w:val="000000" w:themeColor="text1"/>
          <w:sz w:val="26"/>
          <w:szCs w:val="26"/>
        </w:rPr>
        <w:t xml:space="preserve"> sprijină Direcția Națională Anticorupție în dezvoltarea competențelor profesionale și digitale ale magistraților și ale ofițerilor de poliție judiciară. </w:t>
      </w:r>
    </w:p>
    <w:p w14:paraId="46DB2C4B" w14:textId="4977D231" w:rsidR="00021845" w:rsidRPr="001862D3" w:rsidRDefault="00021845" w:rsidP="009E3AD8">
      <w:pPr>
        <w:spacing w:line="276" w:lineRule="auto"/>
        <w:ind w:left="90" w:firstLine="450"/>
        <w:jc w:val="both"/>
        <w:rPr>
          <w:rFonts w:ascii="Calibri" w:hAnsi="Calibri"/>
          <w:b/>
          <w:bCs/>
          <w:color w:val="000000" w:themeColor="text1"/>
          <w:sz w:val="26"/>
          <w:szCs w:val="26"/>
        </w:rPr>
      </w:pPr>
      <w:r w:rsidRPr="001862D3">
        <w:rPr>
          <w:rFonts w:ascii="Calibri" w:hAnsi="Calibri"/>
          <w:color w:val="000000" w:themeColor="text1"/>
          <w:sz w:val="26"/>
          <w:szCs w:val="26"/>
        </w:rPr>
        <w:t>Activitățile includ cursuri de formare a formatorilor, sesiuni tematice specializate și  elaborarea a trei module eLearning, dedicate tehnicilor moderne de investigare, utilizării instrumentelor de analiză digitală și consolidării eticii profesionale. Platforma de eLearning a I</w:t>
      </w:r>
      <w:r w:rsidR="00142666">
        <w:rPr>
          <w:rFonts w:ascii="Calibri" w:hAnsi="Calibri"/>
          <w:color w:val="000000" w:themeColor="text1"/>
          <w:sz w:val="26"/>
          <w:szCs w:val="26"/>
        </w:rPr>
        <w:t>.</w:t>
      </w:r>
      <w:r w:rsidRPr="001862D3">
        <w:rPr>
          <w:rFonts w:ascii="Calibri" w:hAnsi="Calibri"/>
          <w:color w:val="000000" w:themeColor="text1"/>
          <w:sz w:val="26"/>
          <w:szCs w:val="26"/>
        </w:rPr>
        <w:t>N</w:t>
      </w:r>
      <w:r w:rsidR="00142666">
        <w:rPr>
          <w:rFonts w:ascii="Calibri" w:hAnsi="Calibri"/>
          <w:color w:val="000000" w:themeColor="text1"/>
          <w:sz w:val="26"/>
          <w:szCs w:val="26"/>
        </w:rPr>
        <w:t>.</w:t>
      </w:r>
      <w:r w:rsidRPr="001862D3">
        <w:rPr>
          <w:rFonts w:ascii="Calibri" w:hAnsi="Calibri"/>
          <w:color w:val="000000" w:themeColor="text1"/>
          <w:sz w:val="26"/>
          <w:szCs w:val="26"/>
        </w:rPr>
        <w:t>M</w:t>
      </w:r>
      <w:r w:rsidR="00142666">
        <w:rPr>
          <w:rFonts w:ascii="Calibri" w:hAnsi="Calibri"/>
          <w:color w:val="000000" w:themeColor="text1"/>
          <w:sz w:val="26"/>
          <w:szCs w:val="26"/>
        </w:rPr>
        <w:t>.</w:t>
      </w:r>
      <w:r w:rsidRPr="001862D3">
        <w:rPr>
          <w:rFonts w:ascii="Calibri" w:hAnsi="Calibri"/>
          <w:color w:val="000000" w:themeColor="text1"/>
          <w:sz w:val="26"/>
          <w:szCs w:val="26"/>
        </w:rPr>
        <w:t xml:space="preserve"> asigură continuitatea procesului de formare și permite accesul constant la resurse digitale, contribuind la un model sustenabil de instruire.</w:t>
      </w:r>
    </w:p>
    <w:p w14:paraId="613F1B7A" w14:textId="77777777" w:rsidR="00021845" w:rsidRPr="001862D3" w:rsidRDefault="00021845" w:rsidP="009E3AD8">
      <w:pPr>
        <w:spacing w:line="276" w:lineRule="auto"/>
        <w:ind w:firstLine="540"/>
        <w:jc w:val="both"/>
        <w:rPr>
          <w:rFonts w:ascii="Calibri" w:hAnsi="Calibri"/>
          <w:b/>
          <w:bCs/>
          <w:color w:val="000000" w:themeColor="text1"/>
          <w:sz w:val="26"/>
          <w:szCs w:val="26"/>
        </w:rPr>
      </w:pPr>
      <w:r w:rsidRPr="001862D3">
        <w:rPr>
          <w:rFonts w:ascii="Calibri" w:hAnsi="Calibri"/>
          <w:b/>
          <w:bCs/>
          <w:color w:val="000000" w:themeColor="text1"/>
          <w:sz w:val="26"/>
          <w:szCs w:val="26"/>
        </w:rPr>
        <w:t>Componenta 3 – Consolidarea capacității instituționale în domeniul investigațiilor financiare și al recuperării activelor</w:t>
      </w:r>
    </w:p>
    <w:p w14:paraId="4D0DF62E" w14:textId="3242C678" w:rsidR="00021845" w:rsidRPr="001862D3" w:rsidRDefault="00021845" w:rsidP="009E3AD8">
      <w:pPr>
        <w:spacing w:line="276" w:lineRule="auto"/>
        <w:ind w:firstLine="540"/>
        <w:jc w:val="both"/>
        <w:rPr>
          <w:rFonts w:ascii="Calibri" w:hAnsi="Calibri"/>
          <w:color w:val="000000" w:themeColor="text1"/>
          <w:sz w:val="26"/>
          <w:szCs w:val="26"/>
        </w:rPr>
      </w:pPr>
      <w:r w:rsidRPr="001862D3">
        <w:rPr>
          <w:rFonts w:ascii="Calibri" w:hAnsi="Calibri"/>
          <w:color w:val="000000" w:themeColor="text1"/>
          <w:sz w:val="26"/>
          <w:szCs w:val="26"/>
        </w:rPr>
        <w:t>În parteneriat cu Parchetul de pe lângă Înalta Curte de Casație și Justiție, A</w:t>
      </w:r>
      <w:r w:rsidR="00231534">
        <w:rPr>
          <w:rFonts w:ascii="Calibri" w:hAnsi="Calibri"/>
          <w:color w:val="000000" w:themeColor="text1"/>
          <w:sz w:val="26"/>
          <w:szCs w:val="26"/>
        </w:rPr>
        <w:t>.</w:t>
      </w:r>
      <w:r w:rsidRPr="001862D3">
        <w:rPr>
          <w:rFonts w:ascii="Calibri" w:hAnsi="Calibri"/>
          <w:color w:val="000000" w:themeColor="text1"/>
          <w:sz w:val="26"/>
          <w:szCs w:val="26"/>
        </w:rPr>
        <w:t>N</w:t>
      </w:r>
      <w:r w:rsidR="00231534">
        <w:rPr>
          <w:rFonts w:ascii="Calibri" w:hAnsi="Calibri"/>
          <w:color w:val="000000" w:themeColor="text1"/>
          <w:sz w:val="26"/>
          <w:szCs w:val="26"/>
        </w:rPr>
        <w:t>.</w:t>
      </w:r>
      <w:r w:rsidRPr="001862D3">
        <w:rPr>
          <w:rFonts w:ascii="Calibri" w:hAnsi="Calibri"/>
          <w:color w:val="000000" w:themeColor="text1"/>
          <w:sz w:val="26"/>
          <w:szCs w:val="26"/>
        </w:rPr>
        <w:t>A</w:t>
      </w:r>
      <w:r w:rsidR="00231534">
        <w:rPr>
          <w:rFonts w:ascii="Calibri" w:hAnsi="Calibri"/>
          <w:color w:val="000000" w:themeColor="text1"/>
          <w:sz w:val="26"/>
          <w:szCs w:val="26"/>
        </w:rPr>
        <w:t>.</w:t>
      </w:r>
      <w:r w:rsidRPr="001862D3">
        <w:rPr>
          <w:rFonts w:ascii="Calibri" w:hAnsi="Calibri"/>
          <w:color w:val="000000" w:themeColor="text1"/>
          <w:sz w:val="26"/>
          <w:szCs w:val="26"/>
        </w:rPr>
        <w:t>B</w:t>
      </w:r>
      <w:r w:rsidR="00231534">
        <w:rPr>
          <w:rFonts w:ascii="Calibri" w:hAnsi="Calibri"/>
          <w:color w:val="000000" w:themeColor="text1"/>
          <w:sz w:val="26"/>
          <w:szCs w:val="26"/>
        </w:rPr>
        <w:t>.</w:t>
      </w:r>
      <w:r w:rsidRPr="001862D3">
        <w:rPr>
          <w:rFonts w:ascii="Calibri" w:hAnsi="Calibri"/>
          <w:color w:val="000000" w:themeColor="text1"/>
          <w:sz w:val="26"/>
          <w:szCs w:val="26"/>
        </w:rPr>
        <w:t>I</w:t>
      </w:r>
      <w:r w:rsidR="00231534">
        <w:rPr>
          <w:rFonts w:ascii="Calibri" w:hAnsi="Calibri"/>
          <w:color w:val="000000" w:themeColor="text1"/>
          <w:sz w:val="26"/>
          <w:szCs w:val="26"/>
        </w:rPr>
        <w:t>.</w:t>
      </w:r>
      <w:r w:rsidRPr="001862D3">
        <w:rPr>
          <w:rFonts w:ascii="Calibri" w:hAnsi="Calibri"/>
          <w:color w:val="000000" w:themeColor="text1"/>
          <w:sz w:val="26"/>
          <w:szCs w:val="26"/>
        </w:rPr>
        <w:t xml:space="preserve"> și Basel Institute on Governance, I</w:t>
      </w:r>
      <w:r w:rsidR="00142666">
        <w:rPr>
          <w:rFonts w:ascii="Calibri" w:hAnsi="Calibri"/>
          <w:color w:val="000000" w:themeColor="text1"/>
          <w:sz w:val="26"/>
          <w:szCs w:val="26"/>
        </w:rPr>
        <w:t>.</w:t>
      </w:r>
      <w:r w:rsidRPr="001862D3">
        <w:rPr>
          <w:rFonts w:ascii="Calibri" w:hAnsi="Calibri"/>
          <w:color w:val="000000" w:themeColor="text1"/>
          <w:sz w:val="26"/>
          <w:szCs w:val="26"/>
        </w:rPr>
        <w:t>N</w:t>
      </w:r>
      <w:r w:rsidR="00142666">
        <w:rPr>
          <w:rFonts w:ascii="Calibri" w:hAnsi="Calibri"/>
          <w:color w:val="000000" w:themeColor="text1"/>
          <w:sz w:val="26"/>
          <w:szCs w:val="26"/>
        </w:rPr>
        <w:t>.</w:t>
      </w:r>
      <w:r w:rsidRPr="001862D3">
        <w:rPr>
          <w:rFonts w:ascii="Calibri" w:hAnsi="Calibri"/>
          <w:color w:val="000000" w:themeColor="text1"/>
          <w:sz w:val="26"/>
          <w:szCs w:val="26"/>
        </w:rPr>
        <w:t>M</w:t>
      </w:r>
      <w:r w:rsidR="00142666">
        <w:rPr>
          <w:rFonts w:ascii="Calibri" w:hAnsi="Calibri"/>
          <w:color w:val="000000" w:themeColor="text1"/>
          <w:sz w:val="26"/>
          <w:szCs w:val="26"/>
        </w:rPr>
        <w:t>.</w:t>
      </w:r>
      <w:r w:rsidRPr="001862D3">
        <w:rPr>
          <w:rFonts w:ascii="Calibri" w:hAnsi="Calibri"/>
          <w:color w:val="000000" w:themeColor="text1"/>
          <w:sz w:val="26"/>
          <w:szCs w:val="26"/>
        </w:rPr>
        <w:t xml:space="preserve"> participă la crearea unei rețele de formatori certificați în domeniul investigațiilor financiare, precum și la dezvoltarea unor instrumente moderne de formare digitală. Proiectul vizează elaborarea de metodologii integrate de învățare, cursuri specializate și module eLearning dedicate analizei financiare, spălării banilor și tehnicilor OSINT, oferind astfel un cadru coerent de formare profesională continuă. Prin această abordare, se consolidează competențele magistraților și ale specialiștilor implicați în urmărirea și recuperarea activelor provenite din infracțiuni.</w:t>
      </w:r>
    </w:p>
    <w:p w14:paraId="31250A3E" w14:textId="77777777" w:rsidR="00BF1A6B" w:rsidRDefault="00021845" w:rsidP="00BF1A6B">
      <w:pPr>
        <w:spacing w:line="276" w:lineRule="auto"/>
        <w:ind w:firstLine="540"/>
        <w:jc w:val="both"/>
        <w:rPr>
          <w:rFonts w:ascii="Calibri" w:hAnsi="Calibri"/>
          <w:color w:val="000000" w:themeColor="text1"/>
          <w:sz w:val="26"/>
          <w:szCs w:val="26"/>
        </w:rPr>
      </w:pPr>
      <w:r w:rsidRPr="001862D3">
        <w:rPr>
          <w:rFonts w:ascii="Calibri" w:hAnsi="Calibri"/>
          <w:b/>
          <w:bCs/>
          <w:color w:val="000000" w:themeColor="text1"/>
          <w:sz w:val="26"/>
          <w:szCs w:val="26"/>
        </w:rPr>
        <w:t>Componenta 5 – Consolidarea și dezvoltarea unui sistem judiciar prietenos pentru copii</w:t>
      </w:r>
    </w:p>
    <w:p w14:paraId="2BAA1AE7" w14:textId="1805CD26" w:rsidR="00021845" w:rsidRPr="001862D3" w:rsidRDefault="00021845" w:rsidP="00BF1A6B">
      <w:pPr>
        <w:spacing w:line="276" w:lineRule="auto"/>
        <w:ind w:firstLine="540"/>
        <w:jc w:val="both"/>
        <w:rPr>
          <w:rFonts w:ascii="Calibri" w:hAnsi="Calibri"/>
          <w:b/>
          <w:bCs/>
          <w:color w:val="000000" w:themeColor="text1"/>
          <w:sz w:val="26"/>
          <w:szCs w:val="26"/>
        </w:rPr>
      </w:pPr>
      <w:r w:rsidRPr="001862D3">
        <w:rPr>
          <w:rFonts w:ascii="Calibri" w:hAnsi="Calibri"/>
          <w:color w:val="000000" w:themeColor="text1"/>
          <w:sz w:val="26"/>
          <w:szCs w:val="26"/>
        </w:rPr>
        <w:t>I</w:t>
      </w:r>
      <w:r w:rsidR="003250FC">
        <w:rPr>
          <w:rFonts w:ascii="Calibri" w:hAnsi="Calibri"/>
          <w:color w:val="000000" w:themeColor="text1"/>
          <w:sz w:val="26"/>
          <w:szCs w:val="26"/>
        </w:rPr>
        <w:t>.</w:t>
      </w:r>
      <w:r w:rsidRPr="001862D3">
        <w:rPr>
          <w:rFonts w:ascii="Calibri" w:hAnsi="Calibri"/>
          <w:color w:val="000000" w:themeColor="text1"/>
          <w:sz w:val="26"/>
          <w:szCs w:val="26"/>
        </w:rPr>
        <w:t>N</w:t>
      </w:r>
      <w:r w:rsidR="003250FC">
        <w:rPr>
          <w:rFonts w:ascii="Calibri" w:hAnsi="Calibri"/>
          <w:color w:val="000000" w:themeColor="text1"/>
          <w:sz w:val="26"/>
          <w:szCs w:val="26"/>
        </w:rPr>
        <w:t>.</w:t>
      </w:r>
      <w:r w:rsidRPr="001862D3">
        <w:rPr>
          <w:rFonts w:ascii="Calibri" w:hAnsi="Calibri"/>
          <w:color w:val="000000" w:themeColor="text1"/>
          <w:sz w:val="26"/>
          <w:szCs w:val="26"/>
        </w:rPr>
        <w:t>M</w:t>
      </w:r>
      <w:r w:rsidR="003250FC">
        <w:rPr>
          <w:rFonts w:ascii="Calibri" w:hAnsi="Calibri"/>
          <w:color w:val="000000" w:themeColor="text1"/>
          <w:sz w:val="26"/>
          <w:szCs w:val="26"/>
        </w:rPr>
        <w:t>.</w:t>
      </w:r>
      <w:r w:rsidRPr="001862D3">
        <w:rPr>
          <w:rFonts w:ascii="Calibri" w:hAnsi="Calibri"/>
          <w:color w:val="000000" w:themeColor="text1"/>
          <w:sz w:val="26"/>
          <w:szCs w:val="26"/>
        </w:rPr>
        <w:t xml:space="preserve"> sprijină implementarea unui model de formare care integrează dimensiunea umană și</w:t>
      </w:r>
      <w:r w:rsidRPr="001862D3">
        <w:rPr>
          <w:rFonts w:ascii="Calibri" w:hAnsi="Calibri"/>
          <w:b/>
          <w:bCs/>
          <w:color w:val="000000" w:themeColor="text1"/>
          <w:sz w:val="26"/>
          <w:szCs w:val="26"/>
        </w:rPr>
        <w:t xml:space="preserve"> </w:t>
      </w:r>
      <w:r w:rsidRPr="001862D3">
        <w:rPr>
          <w:rFonts w:ascii="Calibri" w:hAnsi="Calibri"/>
          <w:color w:val="000000" w:themeColor="text1"/>
          <w:sz w:val="26"/>
          <w:szCs w:val="26"/>
        </w:rPr>
        <w:t xml:space="preserve">multidisciplinară a justiției prietenoase pentru copii. În această componentă sunt dezvoltate ghiduri, metodologii și resurse eLearning dedicate formării profesionale în domeniul audierii minorilor, psihologiei traumei și aplicării protocoalelor internaționale. Platforma eLearning a </w:t>
      </w:r>
      <w:r w:rsidRPr="001862D3">
        <w:rPr>
          <w:rFonts w:ascii="Calibri" w:hAnsi="Calibri"/>
          <w:color w:val="000000" w:themeColor="text1"/>
          <w:sz w:val="26"/>
          <w:szCs w:val="26"/>
        </w:rPr>
        <w:lastRenderedPageBreak/>
        <w:t>I</w:t>
      </w:r>
      <w:r w:rsidR="00D4185D">
        <w:rPr>
          <w:rFonts w:ascii="Calibri" w:hAnsi="Calibri"/>
          <w:color w:val="000000" w:themeColor="text1"/>
          <w:sz w:val="26"/>
          <w:szCs w:val="26"/>
        </w:rPr>
        <w:t>.</w:t>
      </w:r>
      <w:r w:rsidRPr="001862D3">
        <w:rPr>
          <w:rFonts w:ascii="Calibri" w:hAnsi="Calibri"/>
          <w:color w:val="000000" w:themeColor="text1"/>
          <w:sz w:val="26"/>
          <w:szCs w:val="26"/>
        </w:rPr>
        <w:t>N</w:t>
      </w:r>
      <w:r w:rsidR="00D4185D">
        <w:rPr>
          <w:rFonts w:ascii="Calibri" w:hAnsi="Calibri"/>
          <w:color w:val="000000" w:themeColor="text1"/>
          <w:sz w:val="26"/>
          <w:szCs w:val="26"/>
        </w:rPr>
        <w:t>.</w:t>
      </w:r>
      <w:r w:rsidRPr="001862D3">
        <w:rPr>
          <w:rFonts w:ascii="Calibri" w:hAnsi="Calibri"/>
          <w:color w:val="000000" w:themeColor="text1"/>
          <w:sz w:val="26"/>
          <w:szCs w:val="26"/>
        </w:rPr>
        <w:t>M</w:t>
      </w:r>
      <w:r w:rsidR="00D4185D">
        <w:rPr>
          <w:rFonts w:ascii="Calibri" w:hAnsi="Calibri"/>
          <w:color w:val="000000" w:themeColor="text1"/>
          <w:sz w:val="26"/>
          <w:szCs w:val="26"/>
        </w:rPr>
        <w:t>.</w:t>
      </w:r>
      <w:r w:rsidRPr="001862D3">
        <w:rPr>
          <w:rFonts w:ascii="Calibri" w:hAnsi="Calibri"/>
          <w:color w:val="000000" w:themeColor="text1"/>
          <w:sz w:val="26"/>
          <w:szCs w:val="26"/>
        </w:rPr>
        <w:t xml:space="preserve"> devine un instrument de diseminare a acestor resurse, asigurând accesul permanent la conținut formativ de calitate pentru magistrați, consilieri de probațiune, psihologi și alți profesioniști din domeniul justiției.</w:t>
      </w:r>
    </w:p>
    <w:p w14:paraId="37D6E1BE" w14:textId="77D8EB7B" w:rsidR="00021845" w:rsidRPr="001862D3" w:rsidRDefault="00021845" w:rsidP="009E3AD8">
      <w:pPr>
        <w:spacing w:line="276" w:lineRule="auto"/>
        <w:ind w:firstLine="540"/>
        <w:jc w:val="both"/>
        <w:rPr>
          <w:rFonts w:ascii="Calibri" w:hAnsi="Calibri"/>
          <w:color w:val="000000" w:themeColor="text1"/>
          <w:sz w:val="26"/>
          <w:szCs w:val="26"/>
        </w:rPr>
      </w:pPr>
      <w:r w:rsidRPr="001862D3">
        <w:rPr>
          <w:rFonts w:ascii="Calibri" w:hAnsi="Calibri"/>
          <w:color w:val="000000" w:themeColor="text1"/>
          <w:sz w:val="26"/>
          <w:szCs w:val="26"/>
        </w:rPr>
        <w:t>Prin implementarea acestor patru componente în calitate de partener, I</w:t>
      </w:r>
      <w:r w:rsidR="00D4185D">
        <w:rPr>
          <w:rFonts w:ascii="Calibri" w:hAnsi="Calibri"/>
          <w:color w:val="000000" w:themeColor="text1"/>
          <w:sz w:val="26"/>
          <w:szCs w:val="26"/>
        </w:rPr>
        <w:t xml:space="preserve">.N.M. </w:t>
      </w:r>
      <w:r w:rsidRPr="001862D3">
        <w:rPr>
          <w:rFonts w:ascii="Calibri" w:hAnsi="Calibri"/>
          <w:color w:val="000000" w:themeColor="text1"/>
          <w:sz w:val="26"/>
          <w:szCs w:val="26"/>
        </w:rPr>
        <w:t xml:space="preserve">își propune să contribuie la profesionalizarea membrilor sistemului judiciar, la eficientizarea procesului de învățare și la crearea unei infrastructuri sustenabile de formare. </w:t>
      </w:r>
    </w:p>
    <w:p w14:paraId="4001676F" w14:textId="77777777" w:rsidR="00F22B35" w:rsidRDefault="008975C2" w:rsidP="00F22B35">
      <w:pPr>
        <w:pStyle w:val="Heading3"/>
        <w:ind w:firstLine="708"/>
        <w:rPr>
          <w:rFonts w:cstheme="minorHAnsi"/>
          <w:szCs w:val="26"/>
        </w:rPr>
      </w:pPr>
      <w:bookmarkStart w:id="101" w:name="_Toc219287958"/>
      <w:r w:rsidRPr="000F0D8B">
        <w:rPr>
          <w:rFonts w:cstheme="minorHAnsi"/>
          <w:szCs w:val="26"/>
        </w:rPr>
        <w:t>II.3.3. Școala Națională de Grefieri</w:t>
      </w:r>
      <w:bookmarkEnd w:id="101"/>
    </w:p>
    <w:p w14:paraId="1B73CA5A" w14:textId="312DAAE2" w:rsidR="008975C2" w:rsidRPr="000F0D8B" w:rsidRDefault="008975C2" w:rsidP="00F22B35">
      <w:pPr>
        <w:pStyle w:val="Heading3"/>
        <w:spacing w:before="0" w:after="0"/>
        <w:ind w:firstLine="708"/>
        <w:rPr>
          <w:rFonts w:cstheme="minorHAnsi"/>
          <w:b w:val="0"/>
          <w:szCs w:val="26"/>
        </w:rPr>
      </w:pPr>
      <w:bookmarkStart w:id="102" w:name="_Toc219287959"/>
      <w:r w:rsidRPr="000F0D8B">
        <w:rPr>
          <w:rFonts w:cstheme="minorHAnsi"/>
          <w:szCs w:val="26"/>
        </w:rPr>
        <w:t>Activitatea în domeniul formării profesionale a personalului auxiliar</w:t>
      </w:r>
      <w:bookmarkEnd w:id="102"/>
    </w:p>
    <w:p w14:paraId="4AC2AF9C" w14:textId="77777777" w:rsidR="00D4185D" w:rsidRDefault="008975C2" w:rsidP="00D4185D">
      <w:pPr>
        <w:spacing w:line="276" w:lineRule="auto"/>
        <w:ind w:firstLine="709"/>
        <w:jc w:val="both"/>
        <w:rPr>
          <w:rFonts w:asciiTheme="minorHAnsi" w:hAnsiTheme="minorHAnsi" w:cstheme="minorHAnsi"/>
          <w:sz w:val="26"/>
          <w:szCs w:val="26"/>
        </w:rPr>
      </w:pPr>
      <w:r w:rsidRPr="000F0D8B">
        <w:rPr>
          <w:rFonts w:asciiTheme="minorHAnsi" w:hAnsiTheme="minorHAnsi" w:cstheme="minorHAnsi"/>
          <w:sz w:val="26"/>
          <w:szCs w:val="26"/>
        </w:rPr>
        <w:t>Formarea profesională inițială</w:t>
      </w:r>
      <w:r w:rsidRPr="000F0D8B">
        <w:rPr>
          <w:rFonts w:asciiTheme="minorHAnsi" w:hAnsiTheme="minorHAnsi" w:cstheme="minorHAnsi"/>
          <w:i/>
          <w:sz w:val="26"/>
          <w:szCs w:val="26"/>
        </w:rPr>
        <w:t xml:space="preserve"> </w:t>
      </w:r>
      <w:r w:rsidRPr="000F0D8B">
        <w:rPr>
          <w:rFonts w:asciiTheme="minorHAnsi" w:hAnsiTheme="minorHAnsi" w:cstheme="minorHAnsi"/>
          <w:iCs/>
          <w:sz w:val="26"/>
          <w:szCs w:val="26"/>
        </w:rPr>
        <w:t>a fost</w:t>
      </w:r>
      <w:r w:rsidRPr="000F0D8B">
        <w:rPr>
          <w:rFonts w:asciiTheme="minorHAnsi" w:hAnsiTheme="minorHAnsi" w:cstheme="minorHAnsi"/>
          <w:sz w:val="26"/>
          <w:szCs w:val="26"/>
        </w:rPr>
        <w:t xml:space="preserve"> organizată de </w:t>
      </w:r>
      <w:r w:rsidR="00D4185D">
        <w:rPr>
          <w:rFonts w:asciiTheme="minorHAnsi" w:hAnsiTheme="minorHAnsi" w:cstheme="minorHAnsi"/>
          <w:sz w:val="26"/>
          <w:szCs w:val="26"/>
        </w:rPr>
        <w:t xml:space="preserve">S.N.G., </w:t>
      </w:r>
      <w:r w:rsidRPr="000F0D8B">
        <w:rPr>
          <w:rFonts w:asciiTheme="minorHAnsi" w:hAnsiTheme="minorHAnsi" w:cstheme="minorHAnsi"/>
          <w:sz w:val="26"/>
          <w:szCs w:val="26"/>
        </w:rPr>
        <w:t>pentru anul școlar 2025</w:t>
      </w:r>
      <w:r w:rsidR="00283871" w:rsidRPr="000F0D8B">
        <w:rPr>
          <w:rFonts w:asciiTheme="minorHAnsi" w:hAnsiTheme="minorHAnsi" w:cstheme="minorHAnsi"/>
          <w:sz w:val="26"/>
          <w:szCs w:val="26"/>
        </w:rPr>
        <w:t xml:space="preserve"> </w:t>
      </w:r>
      <w:r w:rsidRPr="000F0D8B">
        <w:rPr>
          <w:rFonts w:asciiTheme="minorHAnsi" w:hAnsiTheme="minorHAnsi" w:cstheme="minorHAnsi"/>
          <w:sz w:val="26"/>
          <w:szCs w:val="26"/>
        </w:rPr>
        <w:t>-</w:t>
      </w:r>
      <w:r w:rsidR="00283871" w:rsidRPr="000F0D8B">
        <w:rPr>
          <w:rFonts w:asciiTheme="minorHAnsi" w:hAnsiTheme="minorHAnsi" w:cstheme="minorHAnsi"/>
          <w:sz w:val="26"/>
          <w:szCs w:val="26"/>
        </w:rPr>
        <w:t xml:space="preserve"> </w:t>
      </w:r>
      <w:r w:rsidRPr="000F0D8B">
        <w:rPr>
          <w:rFonts w:asciiTheme="minorHAnsi" w:hAnsiTheme="minorHAnsi" w:cstheme="minorHAnsi"/>
          <w:sz w:val="26"/>
          <w:szCs w:val="26"/>
        </w:rPr>
        <w:t>2026, în temeiul Legii nr. 567/2004 privind statutul personalului auxiliar de specialitate al instanțelor judecătorești și al parchetelor de pe lângă acestea și al personalului care funcționează în cadrul I</w:t>
      </w:r>
      <w:r w:rsidR="00D4185D">
        <w:rPr>
          <w:rFonts w:asciiTheme="minorHAnsi" w:hAnsiTheme="minorHAnsi" w:cstheme="minorHAnsi"/>
          <w:sz w:val="26"/>
          <w:szCs w:val="26"/>
        </w:rPr>
        <w:t>.N.E.C.</w:t>
      </w:r>
      <w:r w:rsidRPr="000F0D8B">
        <w:rPr>
          <w:rFonts w:asciiTheme="minorHAnsi" w:hAnsiTheme="minorHAnsi" w:cstheme="minorHAnsi"/>
          <w:sz w:val="26"/>
          <w:szCs w:val="26"/>
        </w:rPr>
        <w:t>, cu modificările și completările ulterioare și al Regulamentului de organizare și funcționare a Școlii Naționale de Grefieri, emis în baza Legii nr. 567/2004, aprobat prin Hotărârea Plenului C</w:t>
      </w:r>
      <w:r w:rsidR="00D4185D">
        <w:rPr>
          <w:rFonts w:asciiTheme="minorHAnsi" w:hAnsiTheme="minorHAnsi" w:cstheme="minorHAnsi"/>
          <w:sz w:val="26"/>
          <w:szCs w:val="26"/>
        </w:rPr>
        <w:t xml:space="preserve">.S.M. </w:t>
      </w:r>
      <w:r w:rsidRPr="000F0D8B">
        <w:rPr>
          <w:rFonts w:asciiTheme="minorHAnsi" w:hAnsiTheme="minorHAnsi" w:cstheme="minorHAnsi"/>
          <w:sz w:val="26"/>
          <w:szCs w:val="26"/>
        </w:rPr>
        <w:t>nr. 183/2007, cu modificările și completările ulterioare.</w:t>
      </w:r>
    </w:p>
    <w:p w14:paraId="176EEBE6" w14:textId="54292D7B" w:rsidR="008975C2" w:rsidRPr="000F0D8B" w:rsidRDefault="008975C2" w:rsidP="00D4185D">
      <w:pPr>
        <w:spacing w:line="276" w:lineRule="auto"/>
        <w:ind w:firstLine="709"/>
        <w:jc w:val="both"/>
        <w:rPr>
          <w:rFonts w:asciiTheme="minorHAnsi" w:hAnsiTheme="minorHAnsi" w:cstheme="minorHAnsi"/>
          <w:sz w:val="26"/>
          <w:szCs w:val="26"/>
        </w:rPr>
      </w:pPr>
      <w:r w:rsidRPr="000F0D8B">
        <w:rPr>
          <w:rFonts w:asciiTheme="minorHAnsi" w:hAnsiTheme="minorHAnsi" w:cstheme="minorHAnsi"/>
          <w:sz w:val="26"/>
          <w:szCs w:val="26"/>
        </w:rPr>
        <w:t>Formarea profesională inițială are în vedere exclusiv pregătirea grefierilor cu studii superioare juridice, activitatea de formare inițială a Școlii răspunzând necesității ocupării posturilor vacante de grefieri cu studii superioare juridice cu personal calificat.</w:t>
      </w:r>
    </w:p>
    <w:p w14:paraId="155C9EDD" w14:textId="5062EC4D" w:rsidR="008975C2" w:rsidRPr="000F0D8B" w:rsidRDefault="008975C2" w:rsidP="009E3AD8">
      <w:pPr>
        <w:spacing w:line="276" w:lineRule="auto"/>
        <w:ind w:firstLine="709"/>
        <w:jc w:val="both"/>
        <w:rPr>
          <w:rFonts w:asciiTheme="minorHAnsi" w:hAnsiTheme="minorHAnsi" w:cstheme="minorHAnsi"/>
          <w:sz w:val="26"/>
          <w:szCs w:val="26"/>
        </w:rPr>
      </w:pPr>
      <w:r w:rsidRPr="000F0D8B">
        <w:rPr>
          <w:rFonts w:asciiTheme="minorHAnsi" w:hAnsiTheme="minorHAnsi" w:cstheme="minorHAnsi"/>
          <w:sz w:val="26"/>
          <w:szCs w:val="26"/>
        </w:rPr>
        <w:t xml:space="preserve">Prin Hotărârea </w:t>
      </w:r>
      <w:r w:rsidR="00D4185D">
        <w:rPr>
          <w:rFonts w:asciiTheme="minorHAnsi" w:hAnsiTheme="minorHAnsi" w:cstheme="minorHAnsi"/>
          <w:sz w:val="26"/>
          <w:szCs w:val="26"/>
        </w:rPr>
        <w:t xml:space="preserve">Plenului C.S.M. </w:t>
      </w:r>
      <w:r w:rsidRPr="000F0D8B">
        <w:rPr>
          <w:rFonts w:asciiTheme="minorHAnsi" w:hAnsiTheme="minorHAnsi" w:cstheme="minorHAnsi"/>
          <w:sz w:val="26"/>
          <w:szCs w:val="26"/>
        </w:rPr>
        <w:t xml:space="preserve">nr. </w:t>
      </w:r>
      <w:r w:rsidRPr="000F0D8B">
        <w:rPr>
          <w:rFonts w:asciiTheme="minorHAnsi" w:hAnsiTheme="minorHAnsi" w:cstheme="minorHAnsi"/>
          <w:iCs/>
          <w:sz w:val="26"/>
          <w:szCs w:val="26"/>
        </w:rPr>
        <w:t>25/12</w:t>
      </w:r>
      <w:r w:rsidR="00906DB9" w:rsidRPr="000F0D8B">
        <w:rPr>
          <w:rFonts w:asciiTheme="minorHAnsi" w:hAnsiTheme="minorHAnsi" w:cstheme="minorHAnsi"/>
          <w:iCs/>
          <w:sz w:val="26"/>
          <w:szCs w:val="26"/>
        </w:rPr>
        <w:t>.03.</w:t>
      </w:r>
      <w:r w:rsidRPr="000F0D8B">
        <w:rPr>
          <w:rFonts w:asciiTheme="minorHAnsi" w:hAnsiTheme="minorHAnsi" w:cstheme="minorHAnsi"/>
          <w:iCs/>
          <w:sz w:val="26"/>
          <w:szCs w:val="26"/>
        </w:rPr>
        <w:t>2025</w:t>
      </w:r>
      <w:r w:rsidR="00D4185D">
        <w:rPr>
          <w:rFonts w:asciiTheme="minorHAnsi" w:hAnsiTheme="minorHAnsi" w:cstheme="minorHAnsi"/>
          <w:iCs/>
          <w:sz w:val="26"/>
          <w:szCs w:val="26"/>
        </w:rPr>
        <w:t xml:space="preserve"> a fost aprobată </w:t>
      </w:r>
      <w:r w:rsidRPr="000F0D8B">
        <w:rPr>
          <w:rFonts w:asciiTheme="minorHAnsi" w:hAnsiTheme="minorHAnsi" w:cstheme="minorHAnsi"/>
          <w:sz w:val="26"/>
          <w:szCs w:val="26"/>
        </w:rPr>
        <w:t xml:space="preserve">organizarea concursului de admitere la </w:t>
      </w:r>
      <w:r w:rsidR="00D4185D">
        <w:rPr>
          <w:rFonts w:asciiTheme="minorHAnsi" w:hAnsiTheme="minorHAnsi" w:cstheme="minorHAnsi"/>
          <w:sz w:val="26"/>
          <w:szCs w:val="26"/>
        </w:rPr>
        <w:t>S.N.G.</w:t>
      </w:r>
      <w:r w:rsidRPr="000F0D8B">
        <w:rPr>
          <w:rFonts w:asciiTheme="minorHAnsi" w:hAnsiTheme="minorHAnsi" w:cstheme="minorHAnsi"/>
          <w:sz w:val="26"/>
          <w:szCs w:val="26"/>
        </w:rPr>
        <w:t>, la data de 25 mai 2025, pentru un număr de 140 de posturi de grefier cu studii superioare juridice, din</w:t>
      </w:r>
      <w:r w:rsidR="00D04DEC">
        <w:rPr>
          <w:rFonts w:asciiTheme="minorHAnsi" w:hAnsiTheme="minorHAnsi" w:cstheme="minorHAnsi"/>
          <w:sz w:val="26"/>
          <w:szCs w:val="26"/>
        </w:rPr>
        <w:t>tre</w:t>
      </w:r>
      <w:r w:rsidRPr="000F0D8B">
        <w:rPr>
          <w:rFonts w:asciiTheme="minorHAnsi" w:hAnsiTheme="minorHAnsi" w:cstheme="minorHAnsi"/>
          <w:sz w:val="26"/>
          <w:szCs w:val="26"/>
        </w:rPr>
        <w:t xml:space="preserve"> care 70 de </w:t>
      </w:r>
      <w:r w:rsidR="00D04DEC">
        <w:rPr>
          <w:rFonts w:asciiTheme="minorHAnsi" w:hAnsiTheme="minorHAnsi" w:cstheme="minorHAnsi"/>
          <w:sz w:val="26"/>
          <w:szCs w:val="26"/>
        </w:rPr>
        <w:t>posturi</w:t>
      </w:r>
      <w:r w:rsidRPr="000F0D8B">
        <w:rPr>
          <w:rFonts w:asciiTheme="minorHAnsi" w:hAnsiTheme="minorHAnsi" w:cstheme="minorHAnsi"/>
          <w:sz w:val="26"/>
          <w:szCs w:val="26"/>
        </w:rPr>
        <w:t xml:space="preserve"> alocate instanțelor judecătorești și 70 de </w:t>
      </w:r>
      <w:r w:rsidR="00D04DEC">
        <w:rPr>
          <w:rFonts w:asciiTheme="minorHAnsi" w:hAnsiTheme="minorHAnsi" w:cstheme="minorHAnsi"/>
          <w:sz w:val="26"/>
          <w:szCs w:val="26"/>
        </w:rPr>
        <w:t>posturi alocate parchetelor de pe lângă instanţele judecătoreşti.</w:t>
      </w:r>
    </w:p>
    <w:p w14:paraId="1D4742A1" w14:textId="537E9EC1" w:rsidR="008975C2" w:rsidRPr="000F0D8B" w:rsidRDefault="008975C2" w:rsidP="009E3AD8">
      <w:pPr>
        <w:spacing w:line="276" w:lineRule="auto"/>
        <w:ind w:right="-142" w:firstLine="709"/>
        <w:jc w:val="both"/>
        <w:rPr>
          <w:rFonts w:asciiTheme="minorHAnsi" w:hAnsiTheme="minorHAnsi" w:cstheme="minorHAnsi"/>
          <w:sz w:val="26"/>
          <w:szCs w:val="26"/>
        </w:rPr>
      </w:pPr>
      <w:r w:rsidRPr="000F0D8B">
        <w:rPr>
          <w:rFonts w:asciiTheme="minorHAnsi" w:hAnsiTheme="minorHAnsi" w:cstheme="minorHAnsi"/>
          <w:sz w:val="26"/>
          <w:szCs w:val="26"/>
        </w:rPr>
        <w:t>Astfel, în perioada 25</w:t>
      </w:r>
      <w:r w:rsidR="00D04DEC">
        <w:rPr>
          <w:rFonts w:asciiTheme="minorHAnsi" w:hAnsiTheme="minorHAnsi" w:cstheme="minorHAnsi"/>
          <w:sz w:val="26"/>
          <w:szCs w:val="26"/>
        </w:rPr>
        <w:t xml:space="preserve"> martie –</w:t>
      </w:r>
      <w:r w:rsidRPr="000F0D8B">
        <w:rPr>
          <w:rFonts w:asciiTheme="minorHAnsi" w:hAnsiTheme="minorHAnsi" w:cstheme="minorHAnsi"/>
          <w:sz w:val="26"/>
          <w:szCs w:val="26"/>
        </w:rPr>
        <w:t xml:space="preserve"> 18</w:t>
      </w:r>
      <w:r w:rsidR="00D04DEC">
        <w:rPr>
          <w:rFonts w:asciiTheme="minorHAnsi" w:hAnsiTheme="minorHAnsi" w:cstheme="minorHAnsi"/>
          <w:sz w:val="26"/>
          <w:szCs w:val="26"/>
        </w:rPr>
        <w:t xml:space="preserve"> iunie 2</w:t>
      </w:r>
      <w:r w:rsidRPr="000F0D8B">
        <w:rPr>
          <w:rFonts w:asciiTheme="minorHAnsi" w:hAnsiTheme="minorHAnsi" w:cstheme="minorHAnsi"/>
          <w:sz w:val="26"/>
          <w:szCs w:val="26"/>
        </w:rPr>
        <w:t xml:space="preserve">025 s-a desfășurat concursul de admitere la </w:t>
      </w:r>
      <w:r w:rsidR="00D4185D">
        <w:rPr>
          <w:rFonts w:asciiTheme="minorHAnsi" w:hAnsiTheme="minorHAnsi" w:cstheme="minorHAnsi"/>
          <w:sz w:val="26"/>
          <w:szCs w:val="26"/>
        </w:rPr>
        <w:t>S.N.G.</w:t>
      </w:r>
      <w:r w:rsidRPr="000F0D8B">
        <w:rPr>
          <w:rFonts w:asciiTheme="minorHAnsi" w:hAnsiTheme="minorHAnsi" w:cstheme="minorHAnsi"/>
          <w:sz w:val="26"/>
          <w:szCs w:val="26"/>
        </w:rPr>
        <w:t>, ultima etapă a calendarului de concurs constând în verificarea bunei reputații a candidaților declarați admiși, care a avut loc în perioada 19</w:t>
      </w:r>
      <w:r w:rsidR="00D04DEC">
        <w:rPr>
          <w:rFonts w:asciiTheme="minorHAnsi" w:hAnsiTheme="minorHAnsi" w:cstheme="minorHAnsi"/>
          <w:sz w:val="26"/>
          <w:szCs w:val="26"/>
        </w:rPr>
        <w:t xml:space="preserve"> iunie –</w:t>
      </w:r>
      <w:r w:rsidRPr="000F0D8B">
        <w:rPr>
          <w:rFonts w:asciiTheme="minorHAnsi" w:hAnsiTheme="minorHAnsi" w:cstheme="minorHAnsi"/>
          <w:sz w:val="26"/>
          <w:szCs w:val="26"/>
        </w:rPr>
        <w:t xml:space="preserve"> </w:t>
      </w:r>
      <w:r w:rsidR="005F4B1E" w:rsidRPr="000F0D8B">
        <w:rPr>
          <w:rFonts w:asciiTheme="minorHAnsi" w:hAnsiTheme="minorHAnsi" w:cstheme="minorHAnsi"/>
          <w:sz w:val="26"/>
          <w:szCs w:val="26"/>
        </w:rPr>
        <w:t>0</w:t>
      </w:r>
      <w:r w:rsidRPr="000F0D8B">
        <w:rPr>
          <w:rFonts w:asciiTheme="minorHAnsi" w:hAnsiTheme="minorHAnsi" w:cstheme="minorHAnsi"/>
          <w:sz w:val="26"/>
          <w:szCs w:val="26"/>
        </w:rPr>
        <w:t>4</w:t>
      </w:r>
      <w:r w:rsidR="00D04DEC">
        <w:rPr>
          <w:rFonts w:asciiTheme="minorHAnsi" w:hAnsiTheme="minorHAnsi" w:cstheme="minorHAnsi"/>
          <w:sz w:val="26"/>
          <w:szCs w:val="26"/>
        </w:rPr>
        <w:t xml:space="preserve"> iulie </w:t>
      </w:r>
      <w:r w:rsidRPr="000F0D8B">
        <w:rPr>
          <w:rFonts w:asciiTheme="minorHAnsi" w:hAnsiTheme="minorHAnsi" w:cstheme="minorHAnsi"/>
          <w:sz w:val="26"/>
          <w:szCs w:val="26"/>
        </w:rPr>
        <w:t>2025.</w:t>
      </w:r>
    </w:p>
    <w:p w14:paraId="51D3D2C2" w14:textId="6DA9BA6F" w:rsidR="008975C2" w:rsidRPr="000F0D8B" w:rsidRDefault="008975C2" w:rsidP="009E3AD8">
      <w:pPr>
        <w:spacing w:line="276" w:lineRule="auto"/>
        <w:ind w:right="-142" w:firstLine="709"/>
        <w:contextualSpacing/>
        <w:jc w:val="both"/>
        <w:rPr>
          <w:rFonts w:asciiTheme="minorHAnsi" w:hAnsiTheme="minorHAnsi" w:cstheme="minorHAnsi"/>
          <w:sz w:val="26"/>
          <w:szCs w:val="26"/>
        </w:rPr>
      </w:pPr>
      <w:r w:rsidRPr="000F0D8B">
        <w:rPr>
          <w:rFonts w:asciiTheme="minorHAnsi" w:hAnsiTheme="minorHAnsi" w:cstheme="minorHAnsi"/>
          <w:sz w:val="26"/>
          <w:szCs w:val="26"/>
        </w:rPr>
        <w:t xml:space="preserve">La probele scrise din data de 25 mai 2025 au participat un număr de 381 de candidați pentru 140 de locuri, concurența fiind astfel de aproximativ 2,7 candidați pe loc. Prin Hotărârea nr. </w:t>
      </w:r>
      <w:r w:rsidRPr="000F0D8B">
        <w:rPr>
          <w:rFonts w:asciiTheme="minorHAnsi" w:hAnsiTheme="minorHAnsi" w:cstheme="minorHAnsi"/>
          <w:iCs/>
          <w:sz w:val="26"/>
          <w:szCs w:val="26"/>
        </w:rPr>
        <w:t>101/09</w:t>
      </w:r>
      <w:r w:rsidR="00BC1E82" w:rsidRPr="000F0D8B">
        <w:rPr>
          <w:rFonts w:asciiTheme="minorHAnsi" w:hAnsiTheme="minorHAnsi" w:cstheme="minorHAnsi"/>
          <w:iCs/>
          <w:sz w:val="26"/>
          <w:szCs w:val="26"/>
        </w:rPr>
        <w:t>.07.</w:t>
      </w:r>
      <w:r w:rsidRPr="000F0D8B">
        <w:rPr>
          <w:rFonts w:asciiTheme="minorHAnsi" w:hAnsiTheme="minorHAnsi" w:cstheme="minorHAnsi"/>
          <w:iCs/>
          <w:sz w:val="26"/>
          <w:szCs w:val="26"/>
        </w:rPr>
        <w:t>2025</w:t>
      </w:r>
      <w:r w:rsidRPr="000F0D8B">
        <w:rPr>
          <w:rFonts w:asciiTheme="minorHAnsi" w:hAnsiTheme="minorHAnsi" w:cstheme="minorHAnsi"/>
          <w:sz w:val="26"/>
          <w:szCs w:val="26"/>
        </w:rPr>
        <w:t>, Plenul C</w:t>
      </w:r>
      <w:r w:rsidR="00D4185D">
        <w:rPr>
          <w:rFonts w:asciiTheme="minorHAnsi" w:hAnsiTheme="minorHAnsi" w:cstheme="minorHAnsi"/>
          <w:sz w:val="26"/>
          <w:szCs w:val="26"/>
        </w:rPr>
        <w:t xml:space="preserve">.S.M. </w:t>
      </w:r>
      <w:r w:rsidRPr="000F0D8B">
        <w:rPr>
          <w:rFonts w:asciiTheme="minorHAnsi" w:hAnsiTheme="minorHAnsi" w:cstheme="minorHAnsi"/>
          <w:sz w:val="26"/>
          <w:szCs w:val="26"/>
        </w:rPr>
        <w:t>a dispus validarea rezultatelor concursului de admitere la Școala Națională de Grefieri din data de 25 mai 2025, conform tabelului de clasificare din Anexa 1, parte integrantă a hotărârii, fiind declarați admiși un număr de 141 de candidați, menționați în Anexa 2 a hotărârii, publicată pe site-urile C.S.M. și S.N.G. Au fost alocate 70 de posturi de grefieri pentru parchete și 71 de posturi de grefieri pentru instanțe, fiind dispusă suplimentarea cu un loc, raportat la faptul că pe ultima poziție au fost doi candidați cu medii egale.</w:t>
      </w:r>
    </w:p>
    <w:p w14:paraId="46494620" w14:textId="4085D2D2" w:rsidR="008975C2" w:rsidRPr="000F0D8B" w:rsidRDefault="008975C2" w:rsidP="009E3AD8">
      <w:pPr>
        <w:spacing w:line="276" w:lineRule="auto"/>
        <w:ind w:right="-142" w:firstLine="709"/>
        <w:jc w:val="both"/>
        <w:rPr>
          <w:rFonts w:asciiTheme="minorHAnsi" w:hAnsiTheme="minorHAnsi" w:cstheme="minorHAnsi"/>
          <w:sz w:val="26"/>
          <w:szCs w:val="26"/>
        </w:rPr>
      </w:pPr>
      <w:r w:rsidRPr="000F0D8B">
        <w:rPr>
          <w:rFonts w:asciiTheme="minorHAnsi" w:hAnsiTheme="minorHAnsi" w:cstheme="minorHAnsi"/>
          <w:sz w:val="26"/>
          <w:szCs w:val="26"/>
        </w:rPr>
        <w:t>La data de 15 septembrie 2025 au debutat cursurile de formare inițială pentru promoția 2025 - 2026. Durata de școlarizare este de 6 luni, în perioada 15</w:t>
      </w:r>
      <w:r w:rsidR="00BA2280">
        <w:rPr>
          <w:rFonts w:asciiTheme="minorHAnsi" w:hAnsiTheme="minorHAnsi" w:cstheme="minorHAnsi"/>
          <w:sz w:val="26"/>
          <w:szCs w:val="26"/>
        </w:rPr>
        <w:t xml:space="preserve"> septembrie </w:t>
      </w:r>
      <w:r w:rsidRPr="000F0D8B">
        <w:rPr>
          <w:rFonts w:asciiTheme="minorHAnsi" w:hAnsiTheme="minorHAnsi" w:cstheme="minorHAnsi"/>
          <w:sz w:val="26"/>
          <w:szCs w:val="26"/>
        </w:rPr>
        <w:t xml:space="preserve">2025 </w:t>
      </w:r>
      <w:r w:rsidR="00B77143" w:rsidRPr="000F0D8B">
        <w:rPr>
          <w:rFonts w:asciiTheme="minorHAnsi" w:hAnsiTheme="minorHAnsi" w:cstheme="minorHAnsi"/>
          <w:sz w:val="26"/>
          <w:szCs w:val="26"/>
        </w:rPr>
        <w:t>–</w:t>
      </w:r>
      <w:r w:rsidRPr="000F0D8B">
        <w:rPr>
          <w:rFonts w:asciiTheme="minorHAnsi" w:hAnsiTheme="minorHAnsi" w:cstheme="minorHAnsi"/>
          <w:sz w:val="26"/>
          <w:szCs w:val="26"/>
        </w:rPr>
        <w:t xml:space="preserve"> 15</w:t>
      </w:r>
      <w:r w:rsidR="00BA2280">
        <w:rPr>
          <w:rFonts w:asciiTheme="minorHAnsi" w:hAnsiTheme="minorHAnsi" w:cstheme="minorHAnsi"/>
          <w:sz w:val="26"/>
          <w:szCs w:val="26"/>
        </w:rPr>
        <w:t xml:space="preserve"> martie </w:t>
      </w:r>
      <w:r w:rsidRPr="000F0D8B">
        <w:rPr>
          <w:rFonts w:asciiTheme="minorHAnsi" w:hAnsiTheme="minorHAnsi" w:cstheme="minorHAnsi"/>
          <w:sz w:val="26"/>
          <w:szCs w:val="26"/>
        </w:rPr>
        <w:t>2026, cursanții</w:t>
      </w:r>
      <w:r w:rsidRPr="000F0D8B">
        <w:rPr>
          <w:rFonts w:asciiTheme="minorHAnsi" w:hAnsiTheme="minorHAnsi" w:cstheme="minorHAnsi"/>
          <w:i/>
          <w:sz w:val="26"/>
          <w:szCs w:val="26"/>
        </w:rPr>
        <w:t xml:space="preserve"> </w:t>
      </w:r>
      <w:r w:rsidRPr="000F0D8B">
        <w:rPr>
          <w:rFonts w:asciiTheme="minorHAnsi" w:hAnsiTheme="minorHAnsi" w:cstheme="minorHAnsi"/>
          <w:sz w:val="26"/>
          <w:szCs w:val="26"/>
        </w:rPr>
        <w:t>promoției 2025 - 2026 urmând a fi repartizați pe posturi în instanțe</w:t>
      </w:r>
      <w:r w:rsidR="00BA2280">
        <w:rPr>
          <w:rFonts w:asciiTheme="minorHAnsi" w:hAnsiTheme="minorHAnsi" w:cstheme="minorHAnsi"/>
          <w:sz w:val="26"/>
          <w:szCs w:val="26"/>
        </w:rPr>
        <w:t>le judecătoreşti</w:t>
      </w:r>
      <w:r w:rsidRPr="000F0D8B">
        <w:rPr>
          <w:rFonts w:asciiTheme="minorHAnsi" w:hAnsiTheme="minorHAnsi" w:cstheme="minorHAnsi"/>
          <w:sz w:val="26"/>
          <w:szCs w:val="26"/>
        </w:rPr>
        <w:t xml:space="preserve"> și parchete</w:t>
      </w:r>
      <w:r w:rsidR="00BA2280">
        <w:rPr>
          <w:rFonts w:asciiTheme="minorHAnsi" w:hAnsiTheme="minorHAnsi" w:cstheme="minorHAnsi"/>
          <w:sz w:val="26"/>
          <w:szCs w:val="26"/>
        </w:rPr>
        <w:t>le de pe lângă acestea</w:t>
      </w:r>
      <w:r w:rsidRPr="000F0D8B">
        <w:rPr>
          <w:rFonts w:asciiTheme="minorHAnsi" w:hAnsiTheme="minorHAnsi" w:cstheme="minorHAnsi"/>
          <w:sz w:val="26"/>
          <w:szCs w:val="26"/>
        </w:rPr>
        <w:t xml:space="preserve"> la data de 12 martie 2026.</w:t>
      </w:r>
    </w:p>
    <w:p w14:paraId="041417D0" w14:textId="52CC0014" w:rsidR="008975C2" w:rsidRPr="000F0D8B" w:rsidRDefault="008975C2" w:rsidP="009E3AD8">
      <w:pPr>
        <w:spacing w:line="276" w:lineRule="auto"/>
        <w:ind w:right="-142" w:firstLine="709"/>
        <w:jc w:val="both"/>
        <w:rPr>
          <w:rFonts w:asciiTheme="minorHAnsi" w:hAnsiTheme="minorHAnsi" w:cstheme="minorHAnsi"/>
          <w:sz w:val="26"/>
          <w:szCs w:val="26"/>
        </w:rPr>
      </w:pPr>
      <w:r w:rsidRPr="000F0D8B">
        <w:rPr>
          <w:rFonts w:asciiTheme="minorHAnsi" w:hAnsiTheme="minorHAnsi" w:cstheme="minorHAnsi"/>
          <w:sz w:val="26"/>
          <w:szCs w:val="26"/>
        </w:rPr>
        <w:t xml:space="preserve">La propunerea </w:t>
      </w:r>
      <w:r w:rsidR="00D4185D">
        <w:rPr>
          <w:rFonts w:asciiTheme="minorHAnsi" w:hAnsiTheme="minorHAnsi" w:cstheme="minorHAnsi"/>
          <w:sz w:val="26"/>
          <w:szCs w:val="26"/>
        </w:rPr>
        <w:t>S.N.G.</w:t>
      </w:r>
      <w:r w:rsidRPr="000F0D8B">
        <w:rPr>
          <w:rFonts w:asciiTheme="minorHAnsi" w:hAnsiTheme="minorHAnsi" w:cstheme="minorHAnsi"/>
          <w:sz w:val="26"/>
          <w:szCs w:val="26"/>
        </w:rPr>
        <w:t>, ca în fiecare an școlar, au fost aprobate, prin hotărâri ale Plenului C</w:t>
      </w:r>
      <w:r w:rsidR="00D4185D">
        <w:rPr>
          <w:rFonts w:asciiTheme="minorHAnsi" w:hAnsiTheme="minorHAnsi" w:cstheme="minorHAnsi"/>
          <w:sz w:val="26"/>
          <w:szCs w:val="26"/>
        </w:rPr>
        <w:t>.S.M.</w:t>
      </w:r>
      <w:r w:rsidRPr="000F0D8B">
        <w:rPr>
          <w:rFonts w:asciiTheme="minorHAnsi" w:hAnsiTheme="minorHAnsi" w:cstheme="minorHAnsi"/>
          <w:sz w:val="26"/>
          <w:szCs w:val="26"/>
        </w:rPr>
        <w:t>, Structura anului școlar (Hotărârea nr. 57/</w:t>
      </w:r>
      <w:r w:rsidR="00AA58A5">
        <w:rPr>
          <w:rFonts w:asciiTheme="minorHAnsi" w:hAnsiTheme="minorHAnsi" w:cstheme="minorHAnsi"/>
          <w:sz w:val="26"/>
          <w:szCs w:val="26"/>
        </w:rPr>
        <w:t>0</w:t>
      </w:r>
      <w:r w:rsidRPr="000F0D8B">
        <w:rPr>
          <w:rFonts w:asciiTheme="minorHAnsi" w:hAnsiTheme="minorHAnsi" w:cstheme="minorHAnsi"/>
          <w:sz w:val="26"/>
          <w:szCs w:val="26"/>
        </w:rPr>
        <w:t>8</w:t>
      </w:r>
      <w:r w:rsidR="005A7769" w:rsidRPr="000F0D8B">
        <w:rPr>
          <w:rFonts w:asciiTheme="minorHAnsi" w:hAnsiTheme="minorHAnsi" w:cstheme="minorHAnsi"/>
          <w:sz w:val="26"/>
          <w:szCs w:val="26"/>
        </w:rPr>
        <w:t>.04.</w:t>
      </w:r>
      <w:r w:rsidRPr="000F0D8B">
        <w:rPr>
          <w:rFonts w:asciiTheme="minorHAnsi" w:hAnsiTheme="minorHAnsi" w:cstheme="minorHAnsi"/>
          <w:sz w:val="26"/>
          <w:szCs w:val="26"/>
        </w:rPr>
        <w:t>2025), Planul de învățământ – specializarea grefieri pentru instanțe și Planul de învățământ – specializarea grefieri pentru parchete (Hotărârea nr. 81/17</w:t>
      </w:r>
      <w:r w:rsidR="003C3E6B" w:rsidRPr="000F0D8B">
        <w:rPr>
          <w:rFonts w:asciiTheme="minorHAnsi" w:hAnsiTheme="minorHAnsi" w:cstheme="minorHAnsi"/>
          <w:sz w:val="26"/>
          <w:szCs w:val="26"/>
        </w:rPr>
        <w:t>.06.</w:t>
      </w:r>
      <w:r w:rsidRPr="000F0D8B">
        <w:rPr>
          <w:rFonts w:asciiTheme="minorHAnsi" w:hAnsiTheme="minorHAnsi" w:cstheme="minorHAnsi"/>
          <w:sz w:val="26"/>
          <w:szCs w:val="26"/>
        </w:rPr>
        <w:t>2025), precum și Rețeaua de formatori (personalul de instruire) a Școlii Naționale de Grefieri pentru formarea inițială (Hotărârile nr. 80/17</w:t>
      </w:r>
      <w:r w:rsidR="003C3E6B" w:rsidRPr="000F0D8B">
        <w:rPr>
          <w:rFonts w:asciiTheme="minorHAnsi" w:hAnsiTheme="minorHAnsi" w:cstheme="minorHAnsi"/>
          <w:sz w:val="26"/>
          <w:szCs w:val="26"/>
        </w:rPr>
        <w:t>.06.</w:t>
      </w:r>
      <w:r w:rsidRPr="000F0D8B">
        <w:rPr>
          <w:rFonts w:asciiTheme="minorHAnsi" w:hAnsiTheme="minorHAnsi" w:cstheme="minorHAnsi"/>
          <w:sz w:val="26"/>
          <w:szCs w:val="26"/>
        </w:rPr>
        <w:t>2025, nr. 98/</w:t>
      </w:r>
      <w:r w:rsidR="00AA58A5">
        <w:rPr>
          <w:rFonts w:asciiTheme="minorHAnsi" w:hAnsiTheme="minorHAnsi" w:cstheme="minorHAnsi"/>
          <w:sz w:val="26"/>
          <w:szCs w:val="26"/>
        </w:rPr>
        <w:t>0</w:t>
      </w:r>
      <w:r w:rsidRPr="000F0D8B">
        <w:rPr>
          <w:rFonts w:asciiTheme="minorHAnsi" w:hAnsiTheme="minorHAnsi" w:cstheme="minorHAnsi"/>
          <w:sz w:val="26"/>
          <w:szCs w:val="26"/>
        </w:rPr>
        <w:t>9</w:t>
      </w:r>
      <w:r w:rsidR="003C3E6B" w:rsidRPr="000F0D8B">
        <w:rPr>
          <w:rFonts w:asciiTheme="minorHAnsi" w:hAnsiTheme="minorHAnsi" w:cstheme="minorHAnsi"/>
          <w:sz w:val="26"/>
          <w:szCs w:val="26"/>
        </w:rPr>
        <w:t>.07.</w:t>
      </w:r>
      <w:r w:rsidRPr="000F0D8B">
        <w:rPr>
          <w:rFonts w:asciiTheme="minorHAnsi" w:hAnsiTheme="minorHAnsi" w:cstheme="minorHAnsi"/>
          <w:sz w:val="26"/>
          <w:szCs w:val="26"/>
        </w:rPr>
        <w:t>2025, nr. 99/</w:t>
      </w:r>
      <w:r w:rsidR="00AA58A5">
        <w:rPr>
          <w:rFonts w:asciiTheme="minorHAnsi" w:hAnsiTheme="minorHAnsi" w:cstheme="minorHAnsi"/>
          <w:sz w:val="26"/>
          <w:szCs w:val="26"/>
        </w:rPr>
        <w:t>0</w:t>
      </w:r>
      <w:r w:rsidRPr="000F0D8B">
        <w:rPr>
          <w:rFonts w:asciiTheme="minorHAnsi" w:hAnsiTheme="minorHAnsi" w:cstheme="minorHAnsi"/>
          <w:sz w:val="26"/>
          <w:szCs w:val="26"/>
        </w:rPr>
        <w:t>9</w:t>
      </w:r>
      <w:r w:rsidR="003C3E6B" w:rsidRPr="000F0D8B">
        <w:rPr>
          <w:rFonts w:asciiTheme="minorHAnsi" w:hAnsiTheme="minorHAnsi" w:cstheme="minorHAnsi"/>
          <w:sz w:val="26"/>
          <w:szCs w:val="26"/>
        </w:rPr>
        <w:t>.07.</w:t>
      </w:r>
      <w:r w:rsidRPr="000F0D8B">
        <w:rPr>
          <w:rFonts w:asciiTheme="minorHAnsi" w:hAnsiTheme="minorHAnsi" w:cstheme="minorHAnsi"/>
          <w:sz w:val="26"/>
          <w:szCs w:val="26"/>
        </w:rPr>
        <w:t>2025</w:t>
      </w:r>
      <w:r w:rsidR="00AA58A5">
        <w:rPr>
          <w:rFonts w:asciiTheme="minorHAnsi" w:hAnsiTheme="minorHAnsi" w:cstheme="minorHAnsi"/>
          <w:sz w:val="26"/>
          <w:szCs w:val="26"/>
        </w:rPr>
        <w:t xml:space="preserve"> și</w:t>
      </w:r>
      <w:r w:rsidRPr="000F0D8B">
        <w:rPr>
          <w:rFonts w:asciiTheme="minorHAnsi" w:hAnsiTheme="minorHAnsi" w:cstheme="minorHAnsi"/>
          <w:sz w:val="26"/>
          <w:szCs w:val="26"/>
        </w:rPr>
        <w:t xml:space="preserve"> nr. 118/18</w:t>
      </w:r>
      <w:r w:rsidR="003C3E6B" w:rsidRPr="000F0D8B">
        <w:rPr>
          <w:rFonts w:asciiTheme="minorHAnsi" w:hAnsiTheme="minorHAnsi" w:cstheme="minorHAnsi"/>
          <w:sz w:val="26"/>
          <w:szCs w:val="26"/>
        </w:rPr>
        <w:t>.09.</w:t>
      </w:r>
      <w:r w:rsidRPr="000F0D8B">
        <w:rPr>
          <w:rFonts w:asciiTheme="minorHAnsi" w:hAnsiTheme="minorHAnsi" w:cstheme="minorHAnsi"/>
          <w:sz w:val="26"/>
          <w:szCs w:val="26"/>
        </w:rPr>
        <w:t>2025).</w:t>
      </w:r>
    </w:p>
    <w:p w14:paraId="11E24668" w14:textId="09D1714E" w:rsidR="008975C2" w:rsidRPr="000F0D8B" w:rsidRDefault="008975C2" w:rsidP="009E3AD8">
      <w:pPr>
        <w:spacing w:line="276" w:lineRule="auto"/>
        <w:ind w:right="-142" w:firstLine="709"/>
        <w:jc w:val="both"/>
        <w:rPr>
          <w:rFonts w:asciiTheme="minorHAnsi" w:hAnsiTheme="minorHAnsi" w:cstheme="minorHAnsi"/>
          <w:sz w:val="26"/>
          <w:szCs w:val="26"/>
        </w:rPr>
      </w:pPr>
      <w:r w:rsidRPr="000F0D8B">
        <w:rPr>
          <w:rFonts w:asciiTheme="minorHAnsi" w:hAnsiTheme="minorHAnsi" w:cstheme="minorHAnsi"/>
          <w:sz w:val="26"/>
          <w:szCs w:val="26"/>
        </w:rPr>
        <w:lastRenderedPageBreak/>
        <w:t>Planul de învățământ este conceput în mod distinct, în funcție de specializarea grefierilor, care impune și desfășurarea activității de formare inițială a acestora în mod diferențiat, pentru instanțe, respectiv pentru parchete. Școala a păstrat și a dezvoltat experiența didactică dobândită împreună cu formatorii Școlii, punând în mod deosebit accentul pe caracterul practic și aplicat al activității de învățământ.</w:t>
      </w:r>
      <w:r w:rsidR="0035751A">
        <w:rPr>
          <w:rFonts w:asciiTheme="minorHAnsi" w:hAnsiTheme="minorHAnsi" w:cstheme="minorHAnsi"/>
          <w:sz w:val="26"/>
          <w:szCs w:val="26"/>
        </w:rPr>
        <w:t xml:space="preserve"> </w:t>
      </w:r>
      <w:r w:rsidRPr="000F0D8B">
        <w:rPr>
          <w:rFonts w:asciiTheme="minorHAnsi" w:hAnsiTheme="minorHAnsi" w:cstheme="minorHAnsi"/>
          <w:sz w:val="26"/>
          <w:szCs w:val="26"/>
        </w:rPr>
        <w:t>Cursurile/seminarele se concretizează în dezbateri</w:t>
      </w:r>
      <w:r w:rsidR="0035751A">
        <w:rPr>
          <w:rFonts w:asciiTheme="minorHAnsi" w:hAnsiTheme="minorHAnsi" w:cstheme="minorHAnsi"/>
          <w:sz w:val="26"/>
          <w:szCs w:val="26"/>
        </w:rPr>
        <w:t xml:space="preserve"> </w:t>
      </w:r>
      <w:r w:rsidRPr="000F0D8B">
        <w:rPr>
          <w:rFonts w:asciiTheme="minorHAnsi" w:hAnsiTheme="minorHAnsi" w:cstheme="minorHAnsi"/>
          <w:sz w:val="26"/>
          <w:szCs w:val="26"/>
        </w:rPr>
        <w:t>și/sau</w:t>
      </w:r>
      <w:r w:rsidR="0035751A">
        <w:rPr>
          <w:rFonts w:asciiTheme="minorHAnsi" w:hAnsiTheme="minorHAnsi" w:cstheme="minorHAnsi"/>
          <w:sz w:val="26"/>
          <w:szCs w:val="26"/>
        </w:rPr>
        <w:t xml:space="preserve"> </w:t>
      </w:r>
      <w:r w:rsidRPr="000F0D8B">
        <w:rPr>
          <w:rFonts w:asciiTheme="minorHAnsi" w:hAnsiTheme="minorHAnsi" w:cstheme="minorHAnsi"/>
          <w:sz w:val="26"/>
          <w:szCs w:val="26"/>
        </w:rPr>
        <w:t>aplicații practice, având ca scop acoperirea palierelor activității grefierilor din instanțe</w:t>
      </w:r>
      <w:r w:rsidR="0035751A">
        <w:rPr>
          <w:rFonts w:asciiTheme="minorHAnsi" w:hAnsiTheme="minorHAnsi" w:cstheme="minorHAnsi"/>
          <w:sz w:val="26"/>
          <w:szCs w:val="26"/>
        </w:rPr>
        <w:t xml:space="preserve"> </w:t>
      </w:r>
      <w:r w:rsidRPr="000F0D8B">
        <w:rPr>
          <w:rFonts w:asciiTheme="minorHAnsi" w:hAnsiTheme="minorHAnsi" w:cstheme="minorHAnsi"/>
          <w:sz w:val="26"/>
          <w:szCs w:val="26"/>
        </w:rPr>
        <w:t>și parchete, urmărindu-se astfel dobândirea de către cursanți a deprinderilor profesionale întemeiate pe cunoștințe juridice solide și la un standard ridicat, deschiderea și responsabilizarea acestora pentru noi atribuții, fără a fi neglijate aspectele legate de deontologie sau dobândirea unor abilități non</w:t>
      </w:r>
      <w:r w:rsidR="0035751A">
        <w:rPr>
          <w:rFonts w:asciiTheme="minorHAnsi" w:hAnsiTheme="minorHAnsi" w:cstheme="minorHAnsi"/>
          <w:sz w:val="26"/>
          <w:szCs w:val="26"/>
        </w:rPr>
        <w:t>-</w:t>
      </w:r>
      <w:r w:rsidRPr="000F0D8B">
        <w:rPr>
          <w:rFonts w:asciiTheme="minorHAnsi" w:hAnsiTheme="minorHAnsi" w:cstheme="minorHAnsi"/>
          <w:sz w:val="26"/>
          <w:szCs w:val="26"/>
        </w:rPr>
        <w:t>juridice.</w:t>
      </w:r>
    </w:p>
    <w:p w14:paraId="30B3ADF8" w14:textId="77777777" w:rsidR="008975C2" w:rsidRPr="000F0D8B" w:rsidRDefault="008975C2" w:rsidP="009E3AD8">
      <w:pPr>
        <w:spacing w:line="276" w:lineRule="auto"/>
        <w:ind w:right="-142" w:firstLine="709"/>
        <w:jc w:val="both"/>
        <w:rPr>
          <w:rFonts w:asciiTheme="minorHAnsi" w:hAnsiTheme="minorHAnsi" w:cstheme="minorHAnsi"/>
          <w:sz w:val="26"/>
          <w:szCs w:val="26"/>
        </w:rPr>
      </w:pPr>
      <w:r w:rsidRPr="000F0D8B">
        <w:rPr>
          <w:rFonts w:asciiTheme="minorHAnsi" w:hAnsiTheme="minorHAnsi" w:cstheme="minorHAnsi"/>
          <w:sz w:val="26"/>
          <w:szCs w:val="26"/>
        </w:rPr>
        <w:t>În planul de învățământ activitățile de formare inițială sunt împărțite pe discipline și etapizat în timp. Astfel, disciplinele fundamentale, cărora le sunt alocate cele mai multe ore, sunt studiate în întreaga perioadă de școlarizare. După însușirea unor noțiuni de bază de procedură civilă sau penală, pot fi mai ușor asimilate, în a doua parte a anului școlar, alte materii specializate, cu conținut aplicat, precum executări civile sau executări penale. Alte discipline din programa de învățământ sunt studiate în module, pentru a permite, în cadrul unui număr de ore limitat, însușirea cunoștințelor fundamentale specifice formării inițiale.</w:t>
      </w:r>
    </w:p>
    <w:p w14:paraId="7825C0AF" w14:textId="3A54E653" w:rsidR="008975C2" w:rsidRPr="000F0D8B" w:rsidRDefault="008975C2" w:rsidP="009E3AD8">
      <w:pPr>
        <w:spacing w:line="276" w:lineRule="auto"/>
        <w:ind w:right="-142" w:firstLine="709"/>
        <w:jc w:val="both"/>
        <w:rPr>
          <w:rFonts w:asciiTheme="minorHAnsi" w:hAnsiTheme="minorHAnsi" w:cstheme="minorHAnsi"/>
          <w:sz w:val="26"/>
          <w:szCs w:val="26"/>
        </w:rPr>
      </w:pPr>
      <w:r w:rsidRPr="000F0D8B">
        <w:rPr>
          <w:rFonts w:asciiTheme="minorHAnsi" w:hAnsiTheme="minorHAnsi" w:cstheme="minorHAnsi"/>
          <w:sz w:val="26"/>
          <w:szCs w:val="26"/>
        </w:rPr>
        <w:t xml:space="preserve">Formarea inițială în cadrul Școlii urmărește cu precădere organizarea de acțiuni de formare profesională în raport de Codurile de procedură și legislația conexă. Astfel, în planul de învățământ, ponderea cea mai mare o au disciplinele juridice fundamentale: </w:t>
      </w:r>
      <w:r w:rsidR="0065147F">
        <w:rPr>
          <w:rFonts w:asciiTheme="minorHAnsi" w:hAnsiTheme="minorHAnsi" w:cstheme="minorHAnsi"/>
          <w:sz w:val="26"/>
          <w:szCs w:val="26"/>
        </w:rPr>
        <w:t>P</w:t>
      </w:r>
      <w:r w:rsidRPr="000F0D8B">
        <w:rPr>
          <w:rFonts w:asciiTheme="minorHAnsi" w:hAnsiTheme="minorHAnsi" w:cstheme="minorHAnsi"/>
          <w:sz w:val="26"/>
          <w:szCs w:val="26"/>
        </w:rPr>
        <w:t xml:space="preserve">rocedură civilă și </w:t>
      </w:r>
      <w:r w:rsidR="0065147F">
        <w:rPr>
          <w:rFonts w:asciiTheme="minorHAnsi" w:hAnsiTheme="minorHAnsi" w:cstheme="minorHAnsi"/>
          <w:sz w:val="26"/>
          <w:szCs w:val="26"/>
        </w:rPr>
        <w:t>P</w:t>
      </w:r>
      <w:r w:rsidRPr="000F0D8B">
        <w:rPr>
          <w:rFonts w:asciiTheme="minorHAnsi" w:hAnsiTheme="minorHAnsi" w:cstheme="minorHAnsi"/>
          <w:sz w:val="26"/>
          <w:szCs w:val="26"/>
        </w:rPr>
        <w:t xml:space="preserve">rocedură penală, pentru cursanții specializarea grefieri pentru instanțe, respectiv </w:t>
      </w:r>
      <w:r w:rsidR="0065147F">
        <w:rPr>
          <w:rFonts w:asciiTheme="minorHAnsi" w:hAnsiTheme="minorHAnsi" w:cstheme="minorHAnsi"/>
          <w:sz w:val="26"/>
          <w:szCs w:val="26"/>
        </w:rPr>
        <w:t>U</w:t>
      </w:r>
      <w:r w:rsidRPr="000F0D8B">
        <w:rPr>
          <w:rFonts w:asciiTheme="minorHAnsi" w:hAnsiTheme="minorHAnsi" w:cstheme="minorHAnsi"/>
          <w:sz w:val="26"/>
          <w:szCs w:val="26"/>
        </w:rPr>
        <w:t>rmărire penală, în cazul cursanților specializarea grefieri pentru parchete, având în vedere nevoia de formare a viitorilor grefieri în acest sens. Planul de învățământ cuprinde și alte discipline esențiale în pregătirea viitorilor grefieri, precum Informatică aplicată (Windows, Word, ECRIS, EXCEL, ROARMIS, ELO, ECOOPERARE), Registratură, grefă și arhivă (în cazul cursanților specializarea grefieri pentru parchete), Dactilografie, Cooperare judiciară internațională, Dreptul Uniunii Europene sau Drepturile omului în procesul civil și penal.</w:t>
      </w:r>
    </w:p>
    <w:p w14:paraId="5B5DDF40" w14:textId="77777777" w:rsidR="008975C2" w:rsidRPr="000F0D8B" w:rsidRDefault="008975C2" w:rsidP="009E3AD8">
      <w:pPr>
        <w:spacing w:line="276" w:lineRule="auto"/>
        <w:ind w:right="-142" w:firstLine="709"/>
        <w:jc w:val="both"/>
        <w:rPr>
          <w:rFonts w:asciiTheme="minorHAnsi" w:hAnsiTheme="minorHAnsi" w:cstheme="minorHAnsi"/>
          <w:sz w:val="26"/>
          <w:szCs w:val="26"/>
        </w:rPr>
      </w:pPr>
      <w:r w:rsidRPr="000F0D8B">
        <w:rPr>
          <w:rFonts w:asciiTheme="minorHAnsi" w:hAnsiTheme="minorHAnsi" w:cstheme="minorHAnsi"/>
          <w:sz w:val="26"/>
          <w:szCs w:val="26"/>
        </w:rPr>
        <w:t>Activitatea de formare vizează și coordonarea între disciplinele juridice (procedură civilă, procedură penală) și cele tehnice (operarea în sistemul ECRIS, dactilografie), în cadrul fiecărei discipline urmărindu-se și accentuarea componentei tehnice. Astfel, predarea instituțiilor juridice este dublată de o pregătire practică aplicată, aptă să ajute viitorii grefieri în îndeplinirea atribuțiilor care le vor reveni în instanțe și parchete.</w:t>
      </w:r>
    </w:p>
    <w:p w14:paraId="3B4A86D2" w14:textId="36F4A919" w:rsidR="008975C2" w:rsidRPr="000F0D8B" w:rsidRDefault="008975C2" w:rsidP="009E3AD8">
      <w:pPr>
        <w:spacing w:line="276" w:lineRule="auto"/>
        <w:ind w:right="-142" w:firstLine="709"/>
        <w:jc w:val="both"/>
        <w:rPr>
          <w:rFonts w:asciiTheme="minorHAnsi" w:hAnsiTheme="minorHAnsi" w:cstheme="minorHAnsi"/>
          <w:sz w:val="26"/>
          <w:szCs w:val="26"/>
        </w:rPr>
      </w:pPr>
      <w:r w:rsidRPr="000F0D8B">
        <w:rPr>
          <w:rFonts w:asciiTheme="minorHAnsi" w:hAnsiTheme="minorHAnsi" w:cstheme="minorHAnsi"/>
          <w:sz w:val="26"/>
          <w:szCs w:val="26"/>
        </w:rPr>
        <w:t xml:space="preserve">Totodată, un loc important îl are și disciplina Managementul activității grefierului, pentru a permite inclusiv studiul modificărilor aduse, urmare a </w:t>
      </w:r>
      <w:r w:rsidR="0035751A">
        <w:rPr>
          <w:rFonts w:asciiTheme="minorHAnsi" w:hAnsiTheme="minorHAnsi" w:cstheme="minorHAnsi"/>
          <w:sz w:val="26"/>
          <w:szCs w:val="26"/>
        </w:rPr>
        <w:t>c</w:t>
      </w:r>
      <w:r w:rsidRPr="000F0D8B">
        <w:rPr>
          <w:rFonts w:asciiTheme="minorHAnsi" w:hAnsiTheme="minorHAnsi" w:cstheme="minorHAnsi"/>
          <w:sz w:val="26"/>
          <w:szCs w:val="26"/>
        </w:rPr>
        <w:t>odurilor de procedură, în legislația subsecventă relevantă în procesul de formare a grefierilor, precum regulamentul de ordine interioară al instanțelor/parchetelor. Astfel, dispozițiile din codurile de procedură trebuie analizate prin prisma atribuțiilor specifice care revin grefierului, pornind de la cunoașterea circuitului documentelor/dosarelor în instanță/parchet, a atribuțiilor care revin grefierului în efectuarea lucrărilor specifice și până la prezentarea unor posibile modele concrete de eficientizare a timpului și activității grefierului, precum și de prioritizare a sarcinilor de lucru.</w:t>
      </w:r>
    </w:p>
    <w:p w14:paraId="352307B2" w14:textId="7EAFA9BF" w:rsidR="008975C2" w:rsidRPr="000F0D8B" w:rsidRDefault="008975C2" w:rsidP="009E3AD8">
      <w:pPr>
        <w:spacing w:line="276" w:lineRule="auto"/>
        <w:ind w:right="-142" w:firstLine="709"/>
        <w:jc w:val="both"/>
        <w:rPr>
          <w:rFonts w:asciiTheme="minorHAnsi" w:hAnsiTheme="minorHAnsi" w:cstheme="minorHAnsi"/>
          <w:sz w:val="26"/>
          <w:szCs w:val="26"/>
        </w:rPr>
      </w:pPr>
      <w:r w:rsidRPr="000F0D8B">
        <w:rPr>
          <w:rFonts w:asciiTheme="minorHAnsi" w:hAnsiTheme="minorHAnsi" w:cstheme="minorHAnsi"/>
          <w:sz w:val="26"/>
          <w:szCs w:val="26"/>
        </w:rPr>
        <w:t>Activitatea de formare practică a cursanților vizează și componenta non</w:t>
      </w:r>
      <w:r w:rsidR="00960193">
        <w:rPr>
          <w:rFonts w:asciiTheme="minorHAnsi" w:hAnsiTheme="minorHAnsi" w:cstheme="minorHAnsi"/>
          <w:sz w:val="26"/>
          <w:szCs w:val="26"/>
        </w:rPr>
        <w:t>-</w:t>
      </w:r>
      <w:r w:rsidRPr="000F0D8B">
        <w:rPr>
          <w:rFonts w:asciiTheme="minorHAnsi" w:hAnsiTheme="minorHAnsi" w:cstheme="minorHAnsi"/>
          <w:sz w:val="26"/>
          <w:szCs w:val="26"/>
        </w:rPr>
        <w:t>juridică, în cadrul disciplinelor Deontologie și Abilități non</w:t>
      </w:r>
      <w:r w:rsidR="00960193">
        <w:rPr>
          <w:rFonts w:asciiTheme="minorHAnsi" w:hAnsiTheme="minorHAnsi" w:cstheme="minorHAnsi"/>
          <w:sz w:val="26"/>
          <w:szCs w:val="26"/>
        </w:rPr>
        <w:t>-</w:t>
      </w:r>
      <w:r w:rsidRPr="000F0D8B">
        <w:rPr>
          <w:rFonts w:asciiTheme="minorHAnsi" w:hAnsiTheme="minorHAnsi" w:cstheme="minorHAnsi"/>
          <w:sz w:val="26"/>
          <w:szCs w:val="26"/>
        </w:rPr>
        <w:t>juridice, accentul fiind pus pe comunicarea internă</w:t>
      </w:r>
      <w:r w:rsidR="00521B8B">
        <w:rPr>
          <w:rFonts w:asciiTheme="minorHAnsi" w:hAnsiTheme="minorHAnsi" w:cstheme="minorHAnsi"/>
          <w:sz w:val="26"/>
          <w:szCs w:val="26"/>
        </w:rPr>
        <w:t xml:space="preserve"> - </w:t>
      </w:r>
      <w:r w:rsidRPr="000F0D8B">
        <w:rPr>
          <w:rFonts w:asciiTheme="minorHAnsi" w:hAnsiTheme="minorHAnsi" w:cstheme="minorHAnsi"/>
          <w:sz w:val="26"/>
          <w:szCs w:val="26"/>
        </w:rPr>
        <w:lastRenderedPageBreak/>
        <w:t>comportamentul profesional în cadrul echipei magistrat - grefier și cea externă</w:t>
      </w:r>
      <w:r w:rsidR="00521B8B">
        <w:rPr>
          <w:rFonts w:asciiTheme="minorHAnsi" w:hAnsiTheme="minorHAnsi" w:cstheme="minorHAnsi"/>
          <w:sz w:val="26"/>
          <w:szCs w:val="26"/>
        </w:rPr>
        <w:t xml:space="preserve"> - </w:t>
      </w:r>
      <w:r w:rsidRPr="000F0D8B">
        <w:rPr>
          <w:rFonts w:asciiTheme="minorHAnsi" w:hAnsiTheme="minorHAnsi" w:cstheme="minorHAnsi"/>
          <w:sz w:val="26"/>
          <w:szCs w:val="26"/>
        </w:rPr>
        <w:t>în raporturile grefierilor cu ceilalți participanți la actul de justiție.</w:t>
      </w:r>
    </w:p>
    <w:p w14:paraId="1BEB169A" w14:textId="69F1A5FB" w:rsidR="008975C2" w:rsidRPr="00255A74" w:rsidRDefault="008975C2" w:rsidP="009E3AD8">
      <w:pPr>
        <w:spacing w:line="276" w:lineRule="auto"/>
        <w:ind w:right="-142" w:firstLine="709"/>
        <w:jc w:val="both"/>
        <w:rPr>
          <w:rFonts w:asciiTheme="minorHAnsi" w:hAnsiTheme="minorHAnsi" w:cstheme="minorHAnsi"/>
          <w:sz w:val="26"/>
          <w:szCs w:val="26"/>
        </w:rPr>
      </w:pPr>
      <w:r w:rsidRPr="000F0D8B">
        <w:rPr>
          <w:rFonts w:asciiTheme="minorHAnsi" w:hAnsiTheme="minorHAnsi" w:cstheme="minorHAnsi"/>
          <w:sz w:val="26"/>
          <w:szCs w:val="26"/>
        </w:rPr>
        <w:t>Stagiul practic se desfășoară în cadrul judecătoriilor și parchetelor de pe lângă judecătoriile din București, respectiv</w:t>
      </w:r>
      <w:r w:rsidR="00521B8B">
        <w:rPr>
          <w:rFonts w:asciiTheme="minorHAnsi" w:hAnsiTheme="minorHAnsi" w:cstheme="minorHAnsi"/>
          <w:sz w:val="26"/>
          <w:szCs w:val="26"/>
        </w:rPr>
        <w:t>,</w:t>
      </w:r>
      <w:r w:rsidRPr="000F0D8B">
        <w:rPr>
          <w:rFonts w:asciiTheme="minorHAnsi" w:hAnsiTheme="minorHAnsi" w:cstheme="minorHAnsi"/>
          <w:sz w:val="26"/>
          <w:szCs w:val="26"/>
        </w:rPr>
        <w:t xml:space="preserve"> începând cu acest an școlar</w:t>
      </w:r>
      <w:r w:rsidR="00521B8B">
        <w:rPr>
          <w:rFonts w:asciiTheme="minorHAnsi" w:hAnsiTheme="minorHAnsi" w:cstheme="minorHAnsi"/>
          <w:sz w:val="26"/>
          <w:szCs w:val="26"/>
        </w:rPr>
        <w:t>,</w:t>
      </w:r>
      <w:r w:rsidRPr="000F0D8B">
        <w:rPr>
          <w:rFonts w:asciiTheme="minorHAnsi" w:hAnsiTheme="minorHAnsi" w:cstheme="minorHAnsi"/>
          <w:sz w:val="26"/>
          <w:szCs w:val="26"/>
        </w:rPr>
        <w:t xml:space="preserve"> și în cadrul Parchetului de pe lângă Tribunalul București, sub coordonarea și supravegherea îndrumătorilor de stagiu, potrivit unui program stabilit și comunicat instanțelor judecătorești și parchetelor. Atât în instanțe, cât și la parchete, cursanților li se oferă posibilitatea să cunoască activitatea compartimentelor instanțelor judecătorești, respectiv, parchetelor, atribuțiile specifice grefierilor și chiar să lucreze efectiv, </w:t>
      </w:r>
      <w:r w:rsidRPr="00255A74">
        <w:rPr>
          <w:rFonts w:asciiTheme="minorHAnsi" w:hAnsiTheme="minorHAnsi" w:cstheme="minorHAnsi"/>
          <w:sz w:val="26"/>
          <w:szCs w:val="26"/>
        </w:rPr>
        <w:t>îndeplinind toate sarcinile ce le revin în exercitarea acestei profesii. Prima etapă a stagiului practic s</w:t>
      </w:r>
      <w:r w:rsidR="00F86DB3" w:rsidRPr="00255A74">
        <w:rPr>
          <w:rFonts w:asciiTheme="minorHAnsi" w:hAnsiTheme="minorHAnsi" w:cstheme="minorHAnsi"/>
          <w:sz w:val="26"/>
          <w:szCs w:val="26"/>
        </w:rPr>
        <w:t>-a</w:t>
      </w:r>
      <w:r w:rsidRPr="00255A74">
        <w:rPr>
          <w:rFonts w:asciiTheme="minorHAnsi" w:hAnsiTheme="minorHAnsi" w:cstheme="minorHAnsi"/>
          <w:sz w:val="26"/>
          <w:szCs w:val="26"/>
        </w:rPr>
        <w:t xml:space="preserve"> derul</w:t>
      </w:r>
      <w:r w:rsidR="00F86DB3" w:rsidRPr="00255A74">
        <w:rPr>
          <w:rFonts w:asciiTheme="minorHAnsi" w:hAnsiTheme="minorHAnsi" w:cstheme="minorHAnsi"/>
          <w:sz w:val="26"/>
          <w:szCs w:val="26"/>
        </w:rPr>
        <w:t>at</w:t>
      </w:r>
      <w:r w:rsidRPr="00255A74">
        <w:rPr>
          <w:rFonts w:asciiTheme="minorHAnsi" w:hAnsiTheme="minorHAnsi" w:cstheme="minorHAnsi"/>
          <w:sz w:val="26"/>
          <w:szCs w:val="26"/>
        </w:rPr>
        <w:t xml:space="preserve"> în perioada </w:t>
      </w:r>
      <w:r w:rsidR="0074767B" w:rsidRPr="00255A74">
        <w:rPr>
          <w:rFonts w:asciiTheme="minorHAnsi" w:hAnsiTheme="minorHAnsi" w:cstheme="minorHAnsi"/>
          <w:sz w:val="26"/>
          <w:szCs w:val="26"/>
        </w:rPr>
        <w:t>0</w:t>
      </w:r>
      <w:r w:rsidRPr="00255A74">
        <w:rPr>
          <w:rFonts w:asciiTheme="minorHAnsi" w:hAnsiTheme="minorHAnsi" w:cstheme="minorHAnsi"/>
          <w:sz w:val="26"/>
          <w:szCs w:val="26"/>
        </w:rPr>
        <w:t xml:space="preserve">3 </w:t>
      </w:r>
      <w:r w:rsidR="00521B8B" w:rsidRPr="00255A74">
        <w:rPr>
          <w:rFonts w:asciiTheme="minorHAnsi" w:hAnsiTheme="minorHAnsi" w:cstheme="minorHAnsi"/>
          <w:sz w:val="26"/>
          <w:szCs w:val="26"/>
        </w:rPr>
        <w:t xml:space="preserve">noiembrie - </w:t>
      </w:r>
      <w:r w:rsidRPr="00255A74">
        <w:rPr>
          <w:rFonts w:asciiTheme="minorHAnsi" w:hAnsiTheme="minorHAnsi" w:cstheme="minorHAnsi"/>
          <w:sz w:val="26"/>
          <w:szCs w:val="26"/>
        </w:rPr>
        <w:t>16</w:t>
      </w:r>
      <w:r w:rsidR="00521B8B" w:rsidRPr="00255A74">
        <w:rPr>
          <w:rFonts w:asciiTheme="minorHAnsi" w:hAnsiTheme="minorHAnsi" w:cstheme="minorHAnsi"/>
          <w:sz w:val="26"/>
          <w:szCs w:val="26"/>
        </w:rPr>
        <w:t xml:space="preserve"> noiembrie </w:t>
      </w:r>
      <w:r w:rsidRPr="00255A74">
        <w:rPr>
          <w:rFonts w:asciiTheme="minorHAnsi" w:hAnsiTheme="minorHAnsi" w:cstheme="minorHAnsi"/>
          <w:sz w:val="26"/>
          <w:szCs w:val="26"/>
        </w:rPr>
        <w:t>2025, iar cea de a doua</w:t>
      </w:r>
      <w:r w:rsidR="00E766F0" w:rsidRPr="00255A74">
        <w:rPr>
          <w:rFonts w:asciiTheme="minorHAnsi" w:hAnsiTheme="minorHAnsi" w:cstheme="minorHAnsi"/>
          <w:sz w:val="26"/>
          <w:szCs w:val="26"/>
        </w:rPr>
        <w:t xml:space="preserve"> se va desfășura</w:t>
      </w:r>
      <w:r w:rsidRPr="00255A74">
        <w:rPr>
          <w:rFonts w:asciiTheme="minorHAnsi" w:hAnsiTheme="minorHAnsi" w:cstheme="minorHAnsi"/>
          <w:sz w:val="26"/>
          <w:szCs w:val="26"/>
        </w:rPr>
        <w:t xml:space="preserve"> în perioada 12 </w:t>
      </w:r>
      <w:r w:rsidR="00521B8B" w:rsidRPr="00255A74">
        <w:rPr>
          <w:rFonts w:asciiTheme="minorHAnsi" w:hAnsiTheme="minorHAnsi" w:cstheme="minorHAnsi"/>
          <w:sz w:val="26"/>
          <w:szCs w:val="26"/>
        </w:rPr>
        <w:t xml:space="preserve">ianuarie - </w:t>
      </w:r>
      <w:r w:rsidRPr="00255A74">
        <w:rPr>
          <w:rFonts w:asciiTheme="minorHAnsi" w:hAnsiTheme="minorHAnsi" w:cstheme="minorHAnsi"/>
          <w:sz w:val="26"/>
          <w:szCs w:val="26"/>
        </w:rPr>
        <w:t>25</w:t>
      </w:r>
      <w:r w:rsidR="00521B8B" w:rsidRPr="00255A74">
        <w:rPr>
          <w:rFonts w:asciiTheme="minorHAnsi" w:hAnsiTheme="minorHAnsi" w:cstheme="minorHAnsi"/>
          <w:sz w:val="26"/>
          <w:szCs w:val="26"/>
        </w:rPr>
        <w:t xml:space="preserve"> ianuarie </w:t>
      </w:r>
      <w:r w:rsidRPr="00255A74">
        <w:rPr>
          <w:rFonts w:asciiTheme="minorHAnsi" w:hAnsiTheme="minorHAnsi" w:cstheme="minorHAnsi"/>
          <w:sz w:val="26"/>
          <w:szCs w:val="26"/>
        </w:rPr>
        <w:t>2026.</w:t>
      </w:r>
    </w:p>
    <w:p w14:paraId="24CECABE" w14:textId="351B2673" w:rsidR="008975C2" w:rsidRPr="00255A74" w:rsidRDefault="008975C2" w:rsidP="009E3AD8">
      <w:pPr>
        <w:spacing w:line="276" w:lineRule="auto"/>
        <w:ind w:right="-142" w:firstLine="709"/>
        <w:jc w:val="both"/>
        <w:rPr>
          <w:rFonts w:asciiTheme="minorHAnsi" w:hAnsiTheme="minorHAnsi" w:cstheme="minorHAnsi"/>
          <w:sz w:val="26"/>
          <w:szCs w:val="26"/>
        </w:rPr>
      </w:pPr>
      <w:r w:rsidRPr="00255A74">
        <w:rPr>
          <w:rFonts w:asciiTheme="minorHAnsi" w:eastAsia="Calibri" w:hAnsiTheme="minorHAnsi" w:cstheme="minorHAnsi"/>
          <w:sz w:val="26"/>
          <w:szCs w:val="26"/>
        </w:rPr>
        <w:t xml:space="preserve">Departamentul de formare profesională inițială realizează și </w:t>
      </w:r>
      <w:r w:rsidRPr="00255A74">
        <w:rPr>
          <w:rFonts w:asciiTheme="minorHAnsi" w:eastAsia="Calibri" w:hAnsiTheme="minorHAnsi" w:cstheme="minorHAnsi"/>
          <w:iCs/>
          <w:sz w:val="26"/>
          <w:szCs w:val="26"/>
        </w:rPr>
        <w:t>formarea inițială a grefierilor arhivari și a grefierilor registratori</w:t>
      </w:r>
      <w:r w:rsidRPr="00255A74">
        <w:rPr>
          <w:rFonts w:asciiTheme="minorHAnsi" w:eastAsia="Calibri" w:hAnsiTheme="minorHAnsi" w:cstheme="minorHAnsi"/>
          <w:i/>
          <w:sz w:val="26"/>
          <w:szCs w:val="26"/>
        </w:rPr>
        <w:t xml:space="preserve">. </w:t>
      </w:r>
      <w:r w:rsidRPr="00255A74">
        <w:rPr>
          <w:rFonts w:asciiTheme="minorHAnsi" w:eastAsia="Calibri" w:hAnsiTheme="minorHAnsi" w:cstheme="minorHAnsi"/>
          <w:sz w:val="26"/>
          <w:szCs w:val="26"/>
        </w:rPr>
        <w:t xml:space="preserve">Această formă de pregătire inițială se desfășoară în temeiul programului de stagiu adoptat de </w:t>
      </w:r>
      <w:r w:rsidR="00960193" w:rsidRPr="00255A74">
        <w:rPr>
          <w:rFonts w:asciiTheme="minorHAnsi" w:eastAsia="Calibri" w:hAnsiTheme="minorHAnsi" w:cstheme="minorHAnsi"/>
          <w:sz w:val="26"/>
          <w:szCs w:val="26"/>
        </w:rPr>
        <w:t>S.N.G. ş</w:t>
      </w:r>
      <w:r w:rsidRPr="00255A74">
        <w:rPr>
          <w:rFonts w:asciiTheme="minorHAnsi" w:eastAsia="Calibri" w:hAnsiTheme="minorHAnsi" w:cstheme="minorHAnsi"/>
          <w:sz w:val="26"/>
          <w:szCs w:val="26"/>
        </w:rPr>
        <w:t>i aprobat prin Hotărârea Plenului C</w:t>
      </w:r>
      <w:r w:rsidR="00960193" w:rsidRPr="00255A74">
        <w:rPr>
          <w:rFonts w:asciiTheme="minorHAnsi" w:eastAsia="Calibri" w:hAnsiTheme="minorHAnsi" w:cstheme="minorHAnsi"/>
          <w:sz w:val="26"/>
          <w:szCs w:val="26"/>
        </w:rPr>
        <w:t xml:space="preserve">.S.M. </w:t>
      </w:r>
      <w:r w:rsidRPr="00255A74">
        <w:rPr>
          <w:rFonts w:asciiTheme="minorHAnsi" w:eastAsia="Calibri" w:hAnsiTheme="minorHAnsi" w:cstheme="minorHAnsi"/>
          <w:sz w:val="26"/>
          <w:szCs w:val="26"/>
        </w:rPr>
        <w:t xml:space="preserve">nr. 647/2010, în funcție de concursurile </w:t>
      </w:r>
      <w:r w:rsidRPr="00255A74">
        <w:rPr>
          <w:rFonts w:asciiTheme="minorHAnsi" w:hAnsiTheme="minorHAnsi" w:cstheme="minorHAnsi"/>
          <w:sz w:val="26"/>
          <w:szCs w:val="26"/>
        </w:rPr>
        <w:t xml:space="preserve">de ocupare a respectivelor posturi, organizate de curțile de apel și parchetele de pe lângă acestea. În cazul instanțelor, s-a finalizat stagiul de specializare pentru 19 grefieri arhivari, fiind în derulare stagiul de specializare pentru 1 grefier arhivar. În cazul parchetelor, s-a finalizat stagiul de specializare pentru </w:t>
      </w:r>
      <w:r w:rsidR="00F86DB3" w:rsidRPr="00255A74">
        <w:rPr>
          <w:rFonts w:asciiTheme="minorHAnsi" w:hAnsiTheme="minorHAnsi" w:cstheme="minorHAnsi"/>
          <w:sz w:val="26"/>
          <w:szCs w:val="26"/>
        </w:rPr>
        <w:t>3</w:t>
      </w:r>
      <w:r w:rsidRPr="00255A74">
        <w:rPr>
          <w:rFonts w:asciiTheme="minorHAnsi" w:hAnsiTheme="minorHAnsi" w:cstheme="minorHAnsi"/>
          <w:sz w:val="26"/>
          <w:szCs w:val="26"/>
        </w:rPr>
        <w:t xml:space="preserve"> grefier</w:t>
      </w:r>
      <w:r w:rsidR="00F86DB3" w:rsidRPr="00255A74">
        <w:rPr>
          <w:rFonts w:asciiTheme="minorHAnsi" w:hAnsiTheme="minorHAnsi" w:cstheme="minorHAnsi"/>
          <w:sz w:val="26"/>
          <w:szCs w:val="26"/>
        </w:rPr>
        <w:t>i</w:t>
      </w:r>
      <w:r w:rsidRPr="00255A74">
        <w:rPr>
          <w:rFonts w:asciiTheme="minorHAnsi" w:hAnsiTheme="minorHAnsi" w:cstheme="minorHAnsi"/>
          <w:sz w:val="26"/>
          <w:szCs w:val="26"/>
        </w:rPr>
        <w:t xml:space="preserve"> arhivar</w:t>
      </w:r>
      <w:r w:rsidR="00F86DB3" w:rsidRPr="00255A74">
        <w:rPr>
          <w:rFonts w:asciiTheme="minorHAnsi" w:hAnsiTheme="minorHAnsi" w:cstheme="minorHAnsi"/>
          <w:sz w:val="26"/>
          <w:szCs w:val="26"/>
        </w:rPr>
        <w:t>i</w:t>
      </w:r>
      <w:r w:rsidRPr="00255A74">
        <w:rPr>
          <w:rFonts w:asciiTheme="minorHAnsi" w:hAnsiTheme="minorHAnsi" w:cstheme="minorHAnsi"/>
          <w:sz w:val="26"/>
          <w:szCs w:val="26"/>
        </w:rPr>
        <w:t xml:space="preserve">, fiind în derulare stagiul de specializare pentru </w:t>
      </w:r>
      <w:r w:rsidR="00F86DB3" w:rsidRPr="00255A74">
        <w:rPr>
          <w:rFonts w:asciiTheme="minorHAnsi" w:hAnsiTheme="minorHAnsi" w:cstheme="minorHAnsi"/>
          <w:sz w:val="26"/>
          <w:szCs w:val="26"/>
        </w:rPr>
        <w:t>3</w:t>
      </w:r>
      <w:r w:rsidRPr="00255A74">
        <w:rPr>
          <w:rFonts w:asciiTheme="minorHAnsi" w:hAnsiTheme="minorHAnsi" w:cstheme="minorHAnsi"/>
          <w:sz w:val="26"/>
          <w:szCs w:val="26"/>
        </w:rPr>
        <w:t xml:space="preserve"> grefieri arhivari.</w:t>
      </w:r>
    </w:p>
    <w:p w14:paraId="2C44A8BA" w14:textId="4B343077" w:rsidR="008975C2" w:rsidRPr="000F0D8B" w:rsidRDefault="008975C2" w:rsidP="009E3AD8">
      <w:pPr>
        <w:spacing w:line="276" w:lineRule="auto"/>
        <w:ind w:right="-142" w:firstLine="709"/>
        <w:jc w:val="both"/>
        <w:rPr>
          <w:rFonts w:asciiTheme="minorHAnsi" w:hAnsiTheme="minorHAnsi" w:cstheme="minorHAnsi"/>
          <w:sz w:val="26"/>
          <w:szCs w:val="26"/>
        </w:rPr>
      </w:pPr>
      <w:r w:rsidRPr="000F0D8B">
        <w:rPr>
          <w:rFonts w:asciiTheme="minorHAnsi" w:hAnsiTheme="minorHAnsi" w:cstheme="minorHAnsi"/>
          <w:sz w:val="26"/>
          <w:szCs w:val="26"/>
        </w:rPr>
        <w:t xml:space="preserve">În anul 2025, activitatea de formare profesională continuă a personalului auxiliar de specialitate din cadrul instanțelor judecătorești și parchetelor de pe lângă acestea, organizată de </w:t>
      </w:r>
      <w:r w:rsidR="00734D85">
        <w:rPr>
          <w:rFonts w:asciiTheme="minorHAnsi" w:hAnsiTheme="minorHAnsi" w:cstheme="minorHAnsi"/>
          <w:sz w:val="26"/>
          <w:szCs w:val="26"/>
        </w:rPr>
        <w:t>S.N.G.</w:t>
      </w:r>
      <w:r w:rsidRPr="000F0D8B">
        <w:rPr>
          <w:rFonts w:asciiTheme="minorHAnsi" w:hAnsiTheme="minorHAnsi" w:cstheme="minorHAnsi"/>
          <w:sz w:val="26"/>
          <w:szCs w:val="26"/>
        </w:rPr>
        <w:t>, s-a desfășurat pe baza Programului anual aprobat de Plenul C</w:t>
      </w:r>
      <w:r w:rsidR="00734D85">
        <w:rPr>
          <w:rFonts w:asciiTheme="minorHAnsi" w:hAnsiTheme="minorHAnsi" w:cstheme="minorHAnsi"/>
          <w:sz w:val="26"/>
          <w:szCs w:val="26"/>
        </w:rPr>
        <w:t xml:space="preserve">.S.M. </w:t>
      </w:r>
      <w:r w:rsidRPr="000F0D8B">
        <w:rPr>
          <w:rFonts w:asciiTheme="minorHAnsi" w:hAnsiTheme="minorHAnsi" w:cstheme="minorHAnsi"/>
          <w:sz w:val="26"/>
          <w:szCs w:val="26"/>
        </w:rPr>
        <w:t>Hotărârea nr. 6/30</w:t>
      </w:r>
      <w:r w:rsidR="0068336B" w:rsidRPr="000F0D8B">
        <w:rPr>
          <w:rFonts w:asciiTheme="minorHAnsi" w:hAnsiTheme="minorHAnsi" w:cstheme="minorHAnsi"/>
          <w:sz w:val="26"/>
          <w:szCs w:val="26"/>
        </w:rPr>
        <w:t>.01.</w:t>
      </w:r>
      <w:r w:rsidRPr="000F0D8B">
        <w:rPr>
          <w:rFonts w:asciiTheme="minorHAnsi" w:hAnsiTheme="minorHAnsi" w:cstheme="minorHAnsi"/>
          <w:sz w:val="26"/>
          <w:szCs w:val="26"/>
        </w:rPr>
        <w:t>2025, în temeiul dispozițiilor art. 30 din Legea nr. 56</w:t>
      </w:r>
      <w:r w:rsidR="00F518BC">
        <w:rPr>
          <w:rFonts w:asciiTheme="minorHAnsi" w:hAnsiTheme="minorHAnsi" w:cstheme="minorHAnsi"/>
          <w:sz w:val="26"/>
          <w:szCs w:val="26"/>
        </w:rPr>
        <w:t>7</w:t>
      </w:r>
      <w:r w:rsidRPr="000F0D8B">
        <w:rPr>
          <w:rFonts w:asciiTheme="minorHAnsi" w:hAnsiTheme="minorHAnsi" w:cstheme="minorHAnsi"/>
          <w:sz w:val="26"/>
          <w:szCs w:val="26"/>
        </w:rPr>
        <w:t>/2004, cu modificările și completările ulterioare, coroborate cu prevederile art. 41 și următoarele din Regulamentul de organizare și funcționare al Școlii Naționale de Grefieri, aprobat prin Hotărârea Plenului C</w:t>
      </w:r>
      <w:r w:rsidR="00547BDF">
        <w:rPr>
          <w:rFonts w:asciiTheme="minorHAnsi" w:hAnsiTheme="minorHAnsi" w:cstheme="minorHAnsi"/>
          <w:sz w:val="26"/>
          <w:szCs w:val="26"/>
        </w:rPr>
        <w:t xml:space="preserve">.S.M. </w:t>
      </w:r>
      <w:r w:rsidRPr="000F0D8B">
        <w:rPr>
          <w:rFonts w:asciiTheme="minorHAnsi" w:hAnsiTheme="minorHAnsi" w:cstheme="minorHAnsi"/>
          <w:sz w:val="26"/>
          <w:szCs w:val="26"/>
        </w:rPr>
        <w:t>nr. 183/2007,</w:t>
      </w:r>
      <w:r w:rsidR="00043B71">
        <w:rPr>
          <w:rFonts w:asciiTheme="minorHAnsi" w:hAnsiTheme="minorHAnsi" w:cstheme="minorHAnsi"/>
          <w:sz w:val="26"/>
          <w:szCs w:val="26"/>
        </w:rPr>
        <w:t xml:space="preserve"> </w:t>
      </w:r>
      <w:r w:rsidRPr="000F0D8B">
        <w:rPr>
          <w:rFonts w:asciiTheme="minorHAnsi" w:hAnsiTheme="minorHAnsi" w:cstheme="minorHAnsi"/>
          <w:sz w:val="26"/>
          <w:szCs w:val="26"/>
        </w:rPr>
        <w:t>cu modificările și completările ulterioare.</w:t>
      </w:r>
    </w:p>
    <w:p w14:paraId="6109A8E8" w14:textId="3ECC0144" w:rsidR="008975C2" w:rsidRPr="000F0D8B" w:rsidRDefault="008975C2" w:rsidP="009E3AD8">
      <w:pPr>
        <w:spacing w:line="276" w:lineRule="auto"/>
        <w:ind w:right="-142" w:firstLine="709"/>
        <w:jc w:val="both"/>
        <w:rPr>
          <w:rFonts w:asciiTheme="minorHAnsi" w:hAnsiTheme="minorHAnsi" w:cstheme="minorHAnsi"/>
          <w:sz w:val="26"/>
          <w:szCs w:val="26"/>
        </w:rPr>
      </w:pPr>
      <w:r w:rsidRPr="000F0D8B">
        <w:rPr>
          <w:rFonts w:asciiTheme="minorHAnsi" w:hAnsiTheme="minorHAnsi" w:cstheme="minorHAnsi"/>
          <w:sz w:val="26"/>
          <w:szCs w:val="26"/>
        </w:rPr>
        <w:t>În programul de formare continuă a grefierilor pentru anul 2025 au fost prevăzute 90 de acțiuni de pregătire profesională, în domenii diverse, precum proceduri civile și penale, utilizarea sistemelor informatice, cooperare judiciară în materie civilă și penală, executarea hotărârilor civile și penale, asociații și fundații, arhivare, informații clasificate, deontologie, abilități non</w:t>
      </w:r>
      <w:r w:rsidR="00283924">
        <w:rPr>
          <w:rFonts w:asciiTheme="minorHAnsi" w:hAnsiTheme="minorHAnsi" w:cstheme="minorHAnsi"/>
          <w:sz w:val="26"/>
          <w:szCs w:val="26"/>
        </w:rPr>
        <w:t>-</w:t>
      </w:r>
      <w:r w:rsidRPr="000F0D8B">
        <w:rPr>
          <w:rFonts w:asciiTheme="minorHAnsi" w:hAnsiTheme="minorHAnsi" w:cstheme="minorHAnsi"/>
          <w:sz w:val="26"/>
          <w:szCs w:val="26"/>
        </w:rPr>
        <w:t>juridice și comunicare, managementul funcțiilor de conducere ale grefierilor, care și-au propus să acopere cât mai bine aria atribuțiilor grefierilor din instanțe și parchete, cu forme și durate diverse de organizare, astfel: 40 de seminare face-to-face centralizate, de câte 3 zile, 20 de seminare face-to-face descentralizate (la sediul instanțelor și parchetelor), de câte o zi, 18 webinare (formare la distanță sincronă), cu durată de 3 ore, și 12 cursuri eLearning (formare la distanță asincronă), cu durată de câteva săptămâni.</w:t>
      </w:r>
    </w:p>
    <w:p w14:paraId="4AA1B51B" w14:textId="2F688293" w:rsidR="008975C2" w:rsidRPr="000F0D8B" w:rsidRDefault="008975C2" w:rsidP="009E3AD8">
      <w:pPr>
        <w:spacing w:line="276" w:lineRule="auto"/>
        <w:ind w:right="-142" w:firstLine="709"/>
        <w:jc w:val="both"/>
        <w:rPr>
          <w:rFonts w:asciiTheme="minorHAnsi" w:hAnsiTheme="minorHAnsi" w:cstheme="minorHAnsi"/>
          <w:sz w:val="26"/>
          <w:szCs w:val="26"/>
        </w:rPr>
      </w:pPr>
      <w:r w:rsidRPr="000F0D8B">
        <w:rPr>
          <w:rFonts w:asciiTheme="minorHAnsi" w:hAnsiTheme="minorHAnsi" w:cstheme="minorHAnsi"/>
          <w:sz w:val="26"/>
          <w:szCs w:val="26"/>
        </w:rPr>
        <w:t xml:space="preserve">Prin aprobarea de către directorul </w:t>
      </w:r>
      <w:r w:rsidR="00283924">
        <w:rPr>
          <w:rFonts w:asciiTheme="minorHAnsi" w:hAnsiTheme="minorHAnsi" w:cstheme="minorHAnsi"/>
          <w:sz w:val="26"/>
          <w:szCs w:val="26"/>
        </w:rPr>
        <w:t xml:space="preserve">S.N.G. </w:t>
      </w:r>
      <w:r w:rsidRPr="000F0D8B">
        <w:rPr>
          <w:rFonts w:asciiTheme="minorHAnsi" w:hAnsiTheme="minorHAnsi" w:cstheme="minorHAnsi"/>
          <w:sz w:val="26"/>
          <w:szCs w:val="26"/>
        </w:rPr>
        <w:t>a Notei Departamentului de formare profesională continuă nr. 1740/</w:t>
      </w:r>
      <w:r w:rsidR="00C32B7C">
        <w:rPr>
          <w:rFonts w:asciiTheme="minorHAnsi" w:hAnsiTheme="minorHAnsi" w:cstheme="minorHAnsi"/>
          <w:sz w:val="26"/>
          <w:szCs w:val="26"/>
        </w:rPr>
        <w:t>0</w:t>
      </w:r>
      <w:r w:rsidRPr="000F0D8B">
        <w:rPr>
          <w:rFonts w:asciiTheme="minorHAnsi" w:hAnsiTheme="minorHAnsi" w:cstheme="minorHAnsi"/>
          <w:sz w:val="26"/>
          <w:szCs w:val="26"/>
        </w:rPr>
        <w:t>1</w:t>
      </w:r>
      <w:r w:rsidR="0011526F" w:rsidRPr="000F0D8B">
        <w:rPr>
          <w:rFonts w:asciiTheme="minorHAnsi" w:hAnsiTheme="minorHAnsi" w:cstheme="minorHAnsi"/>
          <w:sz w:val="26"/>
          <w:szCs w:val="26"/>
        </w:rPr>
        <w:t>.04.</w:t>
      </w:r>
      <w:r w:rsidRPr="000F0D8B">
        <w:rPr>
          <w:rFonts w:asciiTheme="minorHAnsi" w:hAnsiTheme="minorHAnsi" w:cstheme="minorHAnsi"/>
          <w:sz w:val="26"/>
          <w:szCs w:val="26"/>
        </w:rPr>
        <w:t>2025, în baza dispozițiilor art. 42 alin. (3) din Regulamentul de organizare și funcționare al S</w:t>
      </w:r>
      <w:r w:rsidR="0011526F" w:rsidRPr="000F0D8B">
        <w:rPr>
          <w:rFonts w:asciiTheme="minorHAnsi" w:hAnsiTheme="minorHAnsi" w:cstheme="minorHAnsi"/>
          <w:sz w:val="26"/>
          <w:szCs w:val="26"/>
        </w:rPr>
        <w:t>.</w:t>
      </w:r>
      <w:r w:rsidRPr="000F0D8B">
        <w:rPr>
          <w:rFonts w:asciiTheme="minorHAnsi" w:hAnsiTheme="minorHAnsi" w:cstheme="minorHAnsi"/>
          <w:sz w:val="26"/>
          <w:szCs w:val="26"/>
        </w:rPr>
        <w:t>N</w:t>
      </w:r>
      <w:r w:rsidR="0011526F" w:rsidRPr="000F0D8B">
        <w:rPr>
          <w:rFonts w:asciiTheme="minorHAnsi" w:hAnsiTheme="minorHAnsi" w:cstheme="minorHAnsi"/>
          <w:sz w:val="26"/>
          <w:szCs w:val="26"/>
        </w:rPr>
        <w:t>.</w:t>
      </w:r>
      <w:r w:rsidRPr="000F0D8B">
        <w:rPr>
          <w:rFonts w:asciiTheme="minorHAnsi" w:hAnsiTheme="minorHAnsi" w:cstheme="minorHAnsi"/>
          <w:sz w:val="26"/>
          <w:szCs w:val="26"/>
        </w:rPr>
        <w:t>G</w:t>
      </w:r>
      <w:r w:rsidR="0011526F" w:rsidRPr="000F0D8B">
        <w:rPr>
          <w:rFonts w:asciiTheme="minorHAnsi" w:hAnsiTheme="minorHAnsi" w:cstheme="minorHAnsi"/>
          <w:sz w:val="26"/>
          <w:szCs w:val="26"/>
        </w:rPr>
        <w:t>.</w:t>
      </w:r>
      <w:r w:rsidRPr="000F0D8B">
        <w:rPr>
          <w:rFonts w:asciiTheme="minorHAnsi" w:hAnsiTheme="minorHAnsi" w:cstheme="minorHAnsi"/>
          <w:sz w:val="26"/>
          <w:szCs w:val="26"/>
        </w:rPr>
        <w:t>, programul a fost modificat prin schimbarea locației de desfășurare a celor 7 seminare centralizate, prevăzute a se derula în primul semestru al anului 2025, din municipiul Brașov (unde nu s-au primit oferte în cadrul procedurii de achiziție a serviciilor de cazare și masă), în municipiul Sibiu.</w:t>
      </w:r>
    </w:p>
    <w:p w14:paraId="38ADAB12" w14:textId="0EC3C110" w:rsidR="008975C2" w:rsidRPr="000F0D8B" w:rsidRDefault="008975C2" w:rsidP="009E3AD8">
      <w:pPr>
        <w:spacing w:line="276" w:lineRule="auto"/>
        <w:ind w:right="-142" w:firstLine="709"/>
        <w:jc w:val="both"/>
        <w:rPr>
          <w:rFonts w:asciiTheme="minorHAnsi" w:hAnsiTheme="minorHAnsi" w:cstheme="minorHAnsi"/>
          <w:sz w:val="26"/>
          <w:szCs w:val="26"/>
        </w:rPr>
      </w:pPr>
      <w:r w:rsidRPr="000F0D8B">
        <w:rPr>
          <w:rFonts w:asciiTheme="minorHAnsi" w:hAnsiTheme="minorHAnsi" w:cstheme="minorHAnsi"/>
          <w:sz w:val="26"/>
          <w:szCs w:val="26"/>
        </w:rPr>
        <w:lastRenderedPageBreak/>
        <w:t>Programul de formare continuă a grefierilor pentru anul 2025 a fost completat prin Hotărârea Plenului C</w:t>
      </w:r>
      <w:r w:rsidR="00283924">
        <w:rPr>
          <w:rFonts w:asciiTheme="minorHAnsi" w:hAnsiTheme="minorHAnsi" w:cstheme="minorHAnsi"/>
          <w:sz w:val="26"/>
          <w:szCs w:val="26"/>
        </w:rPr>
        <w:t xml:space="preserve">.S.M. </w:t>
      </w:r>
      <w:r w:rsidRPr="000F0D8B">
        <w:rPr>
          <w:rFonts w:asciiTheme="minorHAnsi" w:hAnsiTheme="minorHAnsi" w:cstheme="minorHAnsi"/>
          <w:sz w:val="26"/>
          <w:szCs w:val="26"/>
        </w:rPr>
        <w:t>nr. 73/20</w:t>
      </w:r>
      <w:r w:rsidR="00761636" w:rsidRPr="000F0D8B">
        <w:rPr>
          <w:rFonts w:asciiTheme="minorHAnsi" w:hAnsiTheme="minorHAnsi" w:cstheme="minorHAnsi"/>
          <w:sz w:val="26"/>
          <w:szCs w:val="26"/>
        </w:rPr>
        <w:t>.05.</w:t>
      </w:r>
      <w:r w:rsidRPr="000F0D8B">
        <w:rPr>
          <w:rFonts w:asciiTheme="minorHAnsi" w:hAnsiTheme="minorHAnsi" w:cstheme="minorHAnsi"/>
          <w:sz w:val="26"/>
          <w:szCs w:val="26"/>
        </w:rPr>
        <w:t>2025, astfel:</w:t>
      </w:r>
    </w:p>
    <w:p w14:paraId="79889858" w14:textId="685ABDA7" w:rsidR="008975C2" w:rsidRPr="000F0D8B" w:rsidRDefault="008975C2" w:rsidP="00281400">
      <w:pPr>
        <w:pStyle w:val="ListParagraph"/>
        <w:numPr>
          <w:ilvl w:val="0"/>
          <w:numId w:val="17"/>
        </w:numPr>
        <w:spacing w:line="276" w:lineRule="auto"/>
        <w:ind w:left="426" w:hanging="284"/>
        <w:jc w:val="both"/>
        <w:rPr>
          <w:rFonts w:asciiTheme="minorHAnsi" w:hAnsiTheme="minorHAnsi" w:cstheme="minorHAnsi"/>
          <w:sz w:val="26"/>
          <w:szCs w:val="26"/>
        </w:rPr>
      </w:pPr>
      <w:r w:rsidRPr="000F0D8B">
        <w:rPr>
          <w:rFonts w:asciiTheme="minorHAnsi" w:hAnsiTheme="minorHAnsi" w:cstheme="minorHAnsi"/>
          <w:sz w:val="26"/>
          <w:szCs w:val="26"/>
        </w:rPr>
        <w:t xml:space="preserve">cu </w:t>
      </w:r>
      <w:r w:rsidRPr="000F0D8B">
        <w:rPr>
          <w:rFonts w:asciiTheme="minorHAnsi" w:hAnsiTheme="minorHAnsi" w:cstheme="minorHAnsi"/>
          <w:bCs/>
          <w:sz w:val="26"/>
          <w:szCs w:val="26"/>
        </w:rPr>
        <w:t>3 acțiuni de formare de tip webinar</w:t>
      </w:r>
      <w:r w:rsidRPr="000F0D8B">
        <w:rPr>
          <w:rFonts w:asciiTheme="minorHAnsi" w:hAnsiTheme="minorHAnsi" w:cstheme="minorHAnsi"/>
          <w:sz w:val="26"/>
          <w:szCs w:val="26"/>
        </w:rPr>
        <w:t>, dedicate grefierilor din cadrul instanțelor, dat fiind contextul transformării digitale accelerate a sistemului judiciar, acestea având ca temă utilizarea eficientă a aplicațiilor informatice specializate, de tipul ReJust. Este de menționat că la cele 3 webinare, care s-au desfășurat la datele de 18</w:t>
      </w:r>
      <w:r w:rsidR="002E0C1C" w:rsidRPr="000F0D8B">
        <w:rPr>
          <w:rFonts w:asciiTheme="minorHAnsi" w:hAnsiTheme="minorHAnsi" w:cstheme="minorHAnsi"/>
          <w:sz w:val="26"/>
          <w:szCs w:val="26"/>
        </w:rPr>
        <w:t xml:space="preserve"> iunie </w:t>
      </w:r>
      <w:r w:rsidRPr="000F0D8B">
        <w:rPr>
          <w:rFonts w:asciiTheme="minorHAnsi" w:hAnsiTheme="minorHAnsi" w:cstheme="minorHAnsi"/>
          <w:sz w:val="26"/>
          <w:szCs w:val="26"/>
        </w:rPr>
        <w:t>2025, 19</w:t>
      </w:r>
      <w:r w:rsidR="002E0C1C" w:rsidRPr="000F0D8B">
        <w:rPr>
          <w:rFonts w:asciiTheme="minorHAnsi" w:hAnsiTheme="minorHAnsi" w:cstheme="minorHAnsi"/>
          <w:sz w:val="26"/>
          <w:szCs w:val="26"/>
        </w:rPr>
        <w:t xml:space="preserve"> iunie </w:t>
      </w:r>
      <w:r w:rsidRPr="000F0D8B">
        <w:rPr>
          <w:rFonts w:asciiTheme="minorHAnsi" w:hAnsiTheme="minorHAnsi" w:cstheme="minorHAnsi"/>
          <w:sz w:val="26"/>
          <w:szCs w:val="26"/>
        </w:rPr>
        <w:t>2025, respectiv 8</w:t>
      </w:r>
      <w:r w:rsidR="002E0C1C" w:rsidRPr="000F0D8B">
        <w:rPr>
          <w:rFonts w:asciiTheme="minorHAnsi" w:hAnsiTheme="minorHAnsi" w:cstheme="minorHAnsi"/>
          <w:sz w:val="26"/>
          <w:szCs w:val="26"/>
        </w:rPr>
        <w:t xml:space="preserve"> octombrie </w:t>
      </w:r>
      <w:r w:rsidRPr="000F0D8B">
        <w:rPr>
          <w:rFonts w:asciiTheme="minorHAnsi" w:hAnsiTheme="minorHAnsi" w:cstheme="minorHAnsi"/>
          <w:sz w:val="26"/>
          <w:szCs w:val="26"/>
        </w:rPr>
        <w:t>2025, au participat un număr total de 2595</w:t>
      </w:r>
      <w:r w:rsidR="00192A4E">
        <w:rPr>
          <w:rFonts w:asciiTheme="minorHAnsi" w:hAnsiTheme="minorHAnsi" w:cstheme="minorHAnsi"/>
          <w:sz w:val="26"/>
          <w:szCs w:val="26"/>
        </w:rPr>
        <w:t xml:space="preserve"> de</w:t>
      </w:r>
      <w:r w:rsidRPr="000F0D8B">
        <w:rPr>
          <w:rFonts w:asciiTheme="minorHAnsi" w:hAnsiTheme="minorHAnsi" w:cstheme="minorHAnsi"/>
          <w:sz w:val="26"/>
          <w:szCs w:val="26"/>
        </w:rPr>
        <w:t xml:space="preserve"> grefieri din cadrul instanțelor din țară, ceea ce relevă interesul crescut în domeniul digitalizării activității din instanțe;</w:t>
      </w:r>
    </w:p>
    <w:p w14:paraId="08495AC3" w14:textId="6828677D" w:rsidR="008975C2" w:rsidRPr="000F0D8B" w:rsidRDefault="008975C2" w:rsidP="00281400">
      <w:pPr>
        <w:pStyle w:val="ListParagraph"/>
        <w:numPr>
          <w:ilvl w:val="0"/>
          <w:numId w:val="17"/>
        </w:numPr>
        <w:spacing w:line="276" w:lineRule="auto"/>
        <w:ind w:left="426" w:hanging="284"/>
        <w:jc w:val="both"/>
        <w:rPr>
          <w:rFonts w:asciiTheme="minorHAnsi" w:hAnsiTheme="minorHAnsi" w:cstheme="minorHAnsi"/>
          <w:sz w:val="26"/>
          <w:szCs w:val="26"/>
        </w:rPr>
      </w:pPr>
      <w:r w:rsidRPr="000F0D8B">
        <w:rPr>
          <w:rFonts w:asciiTheme="minorHAnsi" w:hAnsiTheme="minorHAnsi" w:cstheme="minorHAnsi"/>
          <w:bCs/>
          <w:sz w:val="26"/>
          <w:szCs w:val="26"/>
        </w:rPr>
        <w:t>cu un seminar descentralizat</w:t>
      </w:r>
      <w:r w:rsidRPr="000F0D8B">
        <w:rPr>
          <w:rFonts w:asciiTheme="minorHAnsi" w:hAnsiTheme="minorHAnsi" w:cstheme="minorHAnsi"/>
          <w:sz w:val="26"/>
          <w:szCs w:val="26"/>
        </w:rPr>
        <w:t xml:space="preserve">, organizat </w:t>
      </w:r>
      <w:r w:rsidR="00F518BC">
        <w:rPr>
          <w:rFonts w:asciiTheme="minorHAnsi" w:hAnsiTheme="minorHAnsi" w:cstheme="minorHAnsi"/>
          <w:sz w:val="26"/>
          <w:szCs w:val="26"/>
        </w:rPr>
        <w:t>face-to-face, la care au participat</w:t>
      </w:r>
      <w:r w:rsidRPr="000F0D8B">
        <w:rPr>
          <w:rFonts w:asciiTheme="minorHAnsi" w:hAnsiTheme="minorHAnsi" w:cstheme="minorHAnsi"/>
          <w:sz w:val="26"/>
          <w:szCs w:val="26"/>
        </w:rPr>
        <w:t xml:space="preserve"> grefieri din circumscripția Curții de Apel Brașov, în domeniul funcționalităților aplicației informatice OptiMapp, ținând cont și de importanța strategică a utilizării corecte a aplicației în toate compartimentele instanțelor;</w:t>
      </w:r>
    </w:p>
    <w:p w14:paraId="012BA8CF" w14:textId="77777777" w:rsidR="008975C2" w:rsidRPr="000F0D8B" w:rsidRDefault="008975C2" w:rsidP="00281400">
      <w:pPr>
        <w:pStyle w:val="ListParagraph"/>
        <w:numPr>
          <w:ilvl w:val="0"/>
          <w:numId w:val="17"/>
        </w:numPr>
        <w:spacing w:line="276" w:lineRule="auto"/>
        <w:ind w:left="426" w:hanging="284"/>
        <w:jc w:val="both"/>
        <w:rPr>
          <w:rFonts w:asciiTheme="minorHAnsi" w:hAnsiTheme="minorHAnsi" w:cstheme="minorHAnsi"/>
          <w:sz w:val="26"/>
          <w:szCs w:val="26"/>
        </w:rPr>
      </w:pPr>
      <w:r w:rsidRPr="000F0D8B">
        <w:rPr>
          <w:rFonts w:asciiTheme="minorHAnsi" w:hAnsiTheme="minorHAnsi" w:cstheme="minorHAnsi"/>
          <w:sz w:val="26"/>
          <w:szCs w:val="26"/>
        </w:rPr>
        <w:t xml:space="preserve">cu </w:t>
      </w:r>
      <w:r w:rsidRPr="000F0D8B">
        <w:rPr>
          <w:rFonts w:asciiTheme="minorHAnsi" w:hAnsiTheme="minorHAnsi" w:cstheme="minorHAnsi"/>
          <w:bCs/>
          <w:sz w:val="26"/>
          <w:szCs w:val="26"/>
        </w:rPr>
        <w:t xml:space="preserve">2 seminare descentralizate </w:t>
      </w:r>
      <w:r w:rsidRPr="000F0D8B">
        <w:rPr>
          <w:rFonts w:asciiTheme="minorHAnsi" w:hAnsiTheme="minorHAnsi" w:cstheme="minorHAnsi"/>
          <w:sz w:val="26"/>
          <w:szCs w:val="26"/>
        </w:rPr>
        <w:t>dedicate tematicii protecției informațiilor clasificate, seminare prevăzute a se derula în perioada septembrie - decembrie 2025, destinate grefierilor din cadrul instanțelor, având în vedere aplicarea prevederilor privind protecția informațiilor clasificate și la nivelul instanțelor, ținând cont și de necesitatea întăririi măsurilor de securitate a informațiilor la nivelul sistemului judiciar;</w:t>
      </w:r>
    </w:p>
    <w:p w14:paraId="02F7C8FF" w14:textId="77777777" w:rsidR="008975C2" w:rsidRPr="000F0D8B" w:rsidRDefault="008975C2" w:rsidP="00281400">
      <w:pPr>
        <w:pStyle w:val="ListParagraph"/>
        <w:numPr>
          <w:ilvl w:val="0"/>
          <w:numId w:val="17"/>
        </w:numPr>
        <w:spacing w:line="276" w:lineRule="auto"/>
        <w:ind w:left="426" w:hanging="284"/>
        <w:jc w:val="both"/>
        <w:rPr>
          <w:rFonts w:asciiTheme="minorHAnsi" w:hAnsiTheme="minorHAnsi" w:cstheme="minorHAnsi"/>
          <w:sz w:val="26"/>
          <w:szCs w:val="26"/>
        </w:rPr>
      </w:pPr>
      <w:r w:rsidRPr="000F0D8B">
        <w:rPr>
          <w:rFonts w:asciiTheme="minorHAnsi" w:hAnsiTheme="minorHAnsi" w:cstheme="minorHAnsi"/>
          <w:sz w:val="26"/>
          <w:szCs w:val="26"/>
        </w:rPr>
        <w:t xml:space="preserve">cu </w:t>
      </w:r>
      <w:r w:rsidRPr="000F0D8B">
        <w:rPr>
          <w:rFonts w:asciiTheme="minorHAnsi" w:hAnsiTheme="minorHAnsi" w:cstheme="minorHAnsi"/>
          <w:bCs/>
          <w:sz w:val="26"/>
          <w:szCs w:val="26"/>
        </w:rPr>
        <w:t xml:space="preserve">2 seminare descentralizate, </w:t>
      </w:r>
      <w:r w:rsidRPr="000F0D8B">
        <w:rPr>
          <w:rFonts w:asciiTheme="minorHAnsi" w:hAnsiTheme="minorHAnsi" w:cstheme="minorHAnsi"/>
          <w:sz w:val="26"/>
          <w:szCs w:val="26"/>
        </w:rPr>
        <w:t>organizate în modalitatea online, derulate în perioada septembrie - decembrie 2025, pentru grefierii din cadrul parchetelor, având ca tematică aplicația informatică ELO, destinată managementului electronic al documentelor, aplicație care a fost implementată treptat la nivelul parchetelor din țară, având un impact semnificativ asupra modului de lucru al personalului auxiliar de specialitate.</w:t>
      </w:r>
    </w:p>
    <w:p w14:paraId="76E6902A" w14:textId="294F2EE5" w:rsidR="008975C2" w:rsidRPr="000F0D8B" w:rsidRDefault="008975C2" w:rsidP="009E3AD8">
      <w:pPr>
        <w:spacing w:line="276" w:lineRule="auto"/>
        <w:ind w:right="-142" w:firstLine="709"/>
        <w:jc w:val="both"/>
        <w:rPr>
          <w:rFonts w:asciiTheme="minorHAnsi" w:hAnsiTheme="minorHAnsi" w:cstheme="minorHAnsi"/>
          <w:sz w:val="26"/>
          <w:szCs w:val="26"/>
        </w:rPr>
      </w:pPr>
      <w:r w:rsidRPr="000F0D8B">
        <w:rPr>
          <w:rFonts w:asciiTheme="minorHAnsi" w:hAnsiTheme="minorHAnsi" w:cstheme="minorHAnsi"/>
          <w:sz w:val="26"/>
          <w:szCs w:val="26"/>
        </w:rPr>
        <w:t>Pentru a încerca să răspundă cât mai prompt nevoilor de formare ale grefierilor recrutați prin filieră directă, Departamentul de formare profesională continuă, prin Nota nr. 2830/26</w:t>
      </w:r>
      <w:r w:rsidR="00606B89" w:rsidRPr="000F0D8B">
        <w:rPr>
          <w:rFonts w:asciiTheme="minorHAnsi" w:hAnsiTheme="minorHAnsi" w:cstheme="minorHAnsi"/>
          <w:sz w:val="26"/>
          <w:szCs w:val="26"/>
        </w:rPr>
        <w:t>.06.</w:t>
      </w:r>
      <w:r w:rsidRPr="000F0D8B">
        <w:rPr>
          <w:rFonts w:asciiTheme="minorHAnsi" w:hAnsiTheme="minorHAnsi" w:cstheme="minorHAnsi"/>
          <w:sz w:val="26"/>
          <w:szCs w:val="26"/>
        </w:rPr>
        <w:t>2025, aprobată de directorul S</w:t>
      </w:r>
      <w:r w:rsidR="00606B89" w:rsidRPr="000F0D8B">
        <w:rPr>
          <w:rFonts w:asciiTheme="minorHAnsi" w:hAnsiTheme="minorHAnsi" w:cstheme="minorHAnsi"/>
          <w:sz w:val="26"/>
          <w:szCs w:val="26"/>
        </w:rPr>
        <w:t>.</w:t>
      </w:r>
      <w:r w:rsidRPr="000F0D8B">
        <w:rPr>
          <w:rFonts w:asciiTheme="minorHAnsi" w:hAnsiTheme="minorHAnsi" w:cstheme="minorHAnsi"/>
          <w:sz w:val="26"/>
          <w:szCs w:val="26"/>
        </w:rPr>
        <w:t>N</w:t>
      </w:r>
      <w:r w:rsidR="00606B89" w:rsidRPr="000F0D8B">
        <w:rPr>
          <w:rFonts w:asciiTheme="minorHAnsi" w:hAnsiTheme="minorHAnsi" w:cstheme="minorHAnsi"/>
          <w:sz w:val="26"/>
          <w:szCs w:val="26"/>
        </w:rPr>
        <w:t>.</w:t>
      </w:r>
      <w:r w:rsidRPr="000F0D8B">
        <w:rPr>
          <w:rFonts w:asciiTheme="minorHAnsi" w:hAnsiTheme="minorHAnsi" w:cstheme="minorHAnsi"/>
          <w:sz w:val="26"/>
          <w:szCs w:val="26"/>
        </w:rPr>
        <w:t>G</w:t>
      </w:r>
      <w:r w:rsidR="00606B89" w:rsidRPr="000F0D8B">
        <w:rPr>
          <w:rFonts w:asciiTheme="minorHAnsi" w:hAnsiTheme="minorHAnsi" w:cstheme="minorHAnsi"/>
          <w:sz w:val="26"/>
          <w:szCs w:val="26"/>
        </w:rPr>
        <w:t>.</w:t>
      </w:r>
      <w:r w:rsidRPr="000F0D8B">
        <w:rPr>
          <w:rFonts w:asciiTheme="minorHAnsi" w:hAnsiTheme="minorHAnsi" w:cstheme="minorHAnsi"/>
          <w:sz w:val="26"/>
          <w:szCs w:val="26"/>
        </w:rPr>
        <w:t>, a organizat în luna septembrie 2025, cu titlu de proiect pilot, o sesiune de formare a acestor grefieri, cu precădere a celor selectați în anul curent.</w:t>
      </w:r>
    </w:p>
    <w:p w14:paraId="0E9F0894" w14:textId="6B91B736" w:rsidR="008C179F" w:rsidRPr="00255A74" w:rsidRDefault="008975C2" w:rsidP="008C179F">
      <w:pPr>
        <w:spacing w:line="276" w:lineRule="auto"/>
        <w:ind w:right="-142" w:firstLine="709"/>
        <w:jc w:val="both"/>
        <w:rPr>
          <w:rFonts w:asciiTheme="minorHAnsi" w:hAnsiTheme="minorHAnsi" w:cstheme="minorHAnsi"/>
          <w:sz w:val="26"/>
          <w:szCs w:val="26"/>
        </w:rPr>
      </w:pPr>
      <w:r w:rsidRPr="000F0D8B">
        <w:rPr>
          <w:rFonts w:asciiTheme="minorHAnsi" w:hAnsiTheme="minorHAnsi" w:cstheme="minorHAnsi"/>
          <w:sz w:val="26"/>
          <w:szCs w:val="26"/>
        </w:rPr>
        <w:t xml:space="preserve">Sesiunea de formare a fost organizată în modalitatea bLearning (blended learning), astfel: într-o primă etapă (etapa asincronă), derulată în perioada </w:t>
      </w:r>
      <w:r w:rsidR="006832B1" w:rsidRPr="000F0D8B">
        <w:rPr>
          <w:rFonts w:asciiTheme="minorHAnsi" w:hAnsiTheme="minorHAnsi" w:cstheme="minorHAnsi"/>
          <w:sz w:val="26"/>
          <w:szCs w:val="26"/>
        </w:rPr>
        <w:t>0</w:t>
      </w:r>
      <w:r w:rsidRPr="000F0D8B">
        <w:rPr>
          <w:rFonts w:asciiTheme="minorHAnsi" w:hAnsiTheme="minorHAnsi" w:cstheme="minorHAnsi"/>
          <w:sz w:val="26"/>
          <w:szCs w:val="26"/>
        </w:rPr>
        <w:t>1</w:t>
      </w:r>
      <w:r w:rsidR="0025238C">
        <w:rPr>
          <w:rFonts w:asciiTheme="minorHAnsi" w:hAnsiTheme="minorHAnsi" w:cstheme="minorHAnsi"/>
          <w:sz w:val="26"/>
          <w:szCs w:val="26"/>
        </w:rPr>
        <w:t xml:space="preserve"> august – </w:t>
      </w:r>
      <w:r w:rsidR="006832B1" w:rsidRPr="000F0D8B">
        <w:rPr>
          <w:rFonts w:asciiTheme="minorHAnsi" w:hAnsiTheme="minorHAnsi" w:cstheme="minorHAnsi"/>
          <w:sz w:val="26"/>
          <w:szCs w:val="26"/>
        </w:rPr>
        <w:t>0</w:t>
      </w:r>
      <w:r w:rsidRPr="000F0D8B">
        <w:rPr>
          <w:rFonts w:asciiTheme="minorHAnsi" w:hAnsiTheme="minorHAnsi" w:cstheme="minorHAnsi"/>
          <w:sz w:val="26"/>
          <w:szCs w:val="26"/>
        </w:rPr>
        <w:t>1</w:t>
      </w:r>
      <w:r w:rsidR="0025238C">
        <w:rPr>
          <w:rFonts w:asciiTheme="minorHAnsi" w:hAnsiTheme="minorHAnsi" w:cstheme="minorHAnsi"/>
          <w:sz w:val="26"/>
          <w:szCs w:val="26"/>
        </w:rPr>
        <w:t xml:space="preserve"> septembrie </w:t>
      </w:r>
      <w:r w:rsidRPr="000F0D8B">
        <w:rPr>
          <w:rFonts w:asciiTheme="minorHAnsi" w:hAnsiTheme="minorHAnsi" w:cstheme="minorHAnsi"/>
          <w:sz w:val="26"/>
          <w:szCs w:val="26"/>
        </w:rPr>
        <w:t xml:space="preserve">2025, grefierii au avut la dispoziție surse didactice accesibile pe platforma eLearning a Școlii, iar în a doua etapă (etapa sincronă), derulată în perioada </w:t>
      </w:r>
      <w:r w:rsidR="00EA3458" w:rsidRPr="000F0D8B">
        <w:rPr>
          <w:rFonts w:asciiTheme="minorHAnsi" w:hAnsiTheme="minorHAnsi" w:cstheme="minorHAnsi"/>
          <w:sz w:val="26"/>
          <w:szCs w:val="26"/>
        </w:rPr>
        <w:t>0</w:t>
      </w:r>
      <w:r w:rsidRPr="000F0D8B">
        <w:rPr>
          <w:rFonts w:asciiTheme="minorHAnsi" w:hAnsiTheme="minorHAnsi" w:cstheme="minorHAnsi"/>
          <w:sz w:val="26"/>
          <w:szCs w:val="26"/>
        </w:rPr>
        <w:t>2</w:t>
      </w:r>
      <w:r w:rsidR="0025238C">
        <w:rPr>
          <w:rFonts w:asciiTheme="minorHAnsi" w:hAnsiTheme="minorHAnsi" w:cstheme="minorHAnsi"/>
          <w:sz w:val="26"/>
          <w:szCs w:val="26"/>
        </w:rPr>
        <w:t xml:space="preserve"> septembrie – </w:t>
      </w:r>
      <w:r w:rsidRPr="000F0D8B">
        <w:rPr>
          <w:rFonts w:asciiTheme="minorHAnsi" w:hAnsiTheme="minorHAnsi" w:cstheme="minorHAnsi"/>
          <w:sz w:val="26"/>
          <w:szCs w:val="26"/>
        </w:rPr>
        <w:t>11</w:t>
      </w:r>
      <w:r w:rsidR="0025238C">
        <w:rPr>
          <w:rFonts w:asciiTheme="minorHAnsi" w:hAnsiTheme="minorHAnsi" w:cstheme="minorHAnsi"/>
          <w:sz w:val="26"/>
          <w:szCs w:val="26"/>
        </w:rPr>
        <w:t xml:space="preserve"> septembrie 2</w:t>
      </w:r>
      <w:r w:rsidRPr="000F0D8B">
        <w:rPr>
          <w:rFonts w:asciiTheme="minorHAnsi" w:hAnsiTheme="minorHAnsi" w:cstheme="minorHAnsi"/>
          <w:sz w:val="26"/>
          <w:szCs w:val="26"/>
        </w:rPr>
        <w:t>025, grefierii au avut posibilitatea să participe la o sesiune intensivă de webinare, cu specificul unei formări la început de carieră și tematici legate de atribuțiile de bază ale participanților în materia procedurilor civile și penale, cu transpunere în domeniul ECRIS.</w:t>
      </w:r>
      <w:r w:rsidR="008C179F" w:rsidRPr="008C179F">
        <w:rPr>
          <w:rFonts w:asciiTheme="minorHAnsi" w:hAnsiTheme="minorHAnsi" w:cstheme="minorHAnsi"/>
          <w:color w:val="FF0000"/>
          <w:sz w:val="26"/>
          <w:szCs w:val="26"/>
        </w:rPr>
        <w:t xml:space="preserve"> </w:t>
      </w:r>
      <w:r w:rsidR="008C179F" w:rsidRPr="00255A74">
        <w:rPr>
          <w:rFonts w:asciiTheme="minorHAnsi" w:hAnsiTheme="minorHAnsi" w:cstheme="minorHAnsi"/>
          <w:sz w:val="26"/>
          <w:szCs w:val="26"/>
        </w:rPr>
        <w:t>La aceste acțiuni de formare au participat efectiv 285 de grefieri.</w:t>
      </w:r>
    </w:p>
    <w:p w14:paraId="5AC5EE9F" w14:textId="5DEA8C89" w:rsidR="008975C2" w:rsidRPr="000F0D8B" w:rsidRDefault="008975C2" w:rsidP="004437AF">
      <w:pPr>
        <w:spacing w:line="276" w:lineRule="auto"/>
        <w:ind w:right="-142" w:firstLine="709"/>
        <w:jc w:val="both"/>
        <w:rPr>
          <w:rFonts w:asciiTheme="minorHAnsi" w:hAnsiTheme="minorHAnsi" w:cstheme="minorHAnsi"/>
          <w:sz w:val="26"/>
          <w:szCs w:val="26"/>
        </w:rPr>
      </w:pPr>
      <w:r w:rsidRPr="000F0D8B">
        <w:rPr>
          <w:rFonts w:asciiTheme="minorHAnsi" w:hAnsiTheme="minorHAnsi" w:cstheme="minorHAnsi"/>
          <w:sz w:val="26"/>
          <w:szCs w:val="26"/>
        </w:rPr>
        <w:t xml:space="preserve">În cadrul proiectului </w:t>
      </w:r>
      <w:r w:rsidR="001A07B1" w:rsidRPr="000F0D8B">
        <w:rPr>
          <w:rFonts w:asciiTheme="minorHAnsi" w:hAnsiTheme="minorHAnsi" w:cstheme="minorHAnsi"/>
          <w:sz w:val="26"/>
          <w:szCs w:val="26"/>
        </w:rPr>
        <w:t xml:space="preserve">„Dezvoltarea sistemului electronic de management al cauzelor ECRIS V“, finanțat prin P.O.C.A., </w:t>
      </w:r>
      <w:r w:rsidRPr="000F0D8B">
        <w:rPr>
          <w:rFonts w:asciiTheme="minorHAnsi" w:hAnsiTheme="minorHAnsi" w:cstheme="minorHAnsi"/>
          <w:sz w:val="26"/>
          <w:szCs w:val="26"/>
        </w:rPr>
        <w:t>derulat de Ministerul Justiției</w:t>
      </w:r>
      <w:r w:rsidR="001A07B1">
        <w:rPr>
          <w:rFonts w:asciiTheme="minorHAnsi" w:hAnsiTheme="minorHAnsi" w:cstheme="minorHAnsi"/>
          <w:sz w:val="26"/>
          <w:szCs w:val="26"/>
        </w:rPr>
        <w:t xml:space="preserve">, </w:t>
      </w:r>
      <w:r w:rsidRPr="000F0D8B">
        <w:rPr>
          <w:rFonts w:asciiTheme="minorHAnsi" w:hAnsiTheme="minorHAnsi" w:cstheme="minorHAnsi"/>
          <w:sz w:val="26"/>
          <w:szCs w:val="26"/>
        </w:rPr>
        <w:t>este prevăzută, pentru perioada septembrie - decembrie 2025, lansarea în exploatare a aplicației ECRIS V la nivelul instanțelor și parchetelor.</w:t>
      </w:r>
      <w:r w:rsidR="004437AF">
        <w:rPr>
          <w:rFonts w:asciiTheme="minorHAnsi" w:hAnsiTheme="minorHAnsi" w:cstheme="minorHAnsi"/>
          <w:sz w:val="26"/>
          <w:szCs w:val="26"/>
        </w:rPr>
        <w:t xml:space="preserve"> </w:t>
      </w:r>
      <w:r w:rsidRPr="000F0D8B">
        <w:rPr>
          <w:rFonts w:asciiTheme="minorHAnsi" w:hAnsiTheme="minorHAnsi" w:cstheme="minorHAnsi"/>
          <w:sz w:val="26"/>
          <w:szCs w:val="26"/>
        </w:rPr>
        <w:t>Având în vedere aceste considerente, formatorii Departamentului de formare profesională continuă de la disciplina Informatică aplicată au participat la sesiuni de instruire având ca obiect utilizarea sistemului ECRIS V, în cadrul proiectului amintit anterior, sesiuni derulate de dezvoltatorul aplicației ECRIS V</w:t>
      </w:r>
      <w:r w:rsidR="00883859">
        <w:rPr>
          <w:rFonts w:asciiTheme="minorHAnsi" w:hAnsiTheme="minorHAnsi" w:cstheme="minorHAnsi"/>
          <w:sz w:val="26"/>
          <w:szCs w:val="26"/>
        </w:rPr>
        <w:t>.</w:t>
      </w:r>
    </w:p>
    <w:p w14:paraId="76601D4E" w14:textId="2895C495" w:rsidR="008975C2" w:rsidRPr="000F0D8B" w:rsidRDefault="008975C2" w:rsidP="009E3AD8">
      <w:pPr>
        <w:spacing w:line="276" w:lineRule="auto"/>
        <w:ind w:right="-142" w:firstLine="709"/>
        <w:jc w:val="both"/>
        <w:rPr>
          <w:rFonts w:asciiTheme="minorHAnsi" w:hAnsiTheme="minorHAnsi" w:cstheme="minorHAnsi"/>
          <w:sz w:val="26"/>
          <w:szCs w:val="26"/>
        </w:rPr>
      </w:pPr>
      <w:r w:rsidRPr="000F0D8B">
        <w:rPr>
          <w:rFonts w:asciiTheme="minorHAnsi" w:hAnsiTheme="minorHAnsi" w:cstheme="minorHAnsi"/>
          <w:sz w:val="26"/>
          <w:szCs w:val="26"/>
        </w:rPr>
        <w:t>De asemenea, în perioada 29</w:t>
      </w:r>
      <w:r w:rsidR="00883859">
        <w:rPr>
          <w:rFonts w:asciiTheme="minorHAnsi" w:hAnsiTheme="minorHAnsi" w:cstheme="minorHAnsi"/>
          <w:sz w:val="26"/>
          <w:szCs w:val="26"/>
        </w:rPr>
        <w:t xml:space="preserve"> iulie – </w:t>
      </w:r>
      <w:r w:rsidRPr="000F0D8B">
        <w:rPr>
          <w:rFonts w:asciiTheme="minorHAnsi" w:hAnsiTheme="minorHAnsi" w:cstheme="minorHAnsi"/>
          <w:sz w:val="26"/>
          <w:szCs w:val="26"/>
        </w:rPr>
        <w:t>31</w:t>
      </w:r>
      <w:r w:rsidR="00883859">
        <w:rPr>
          <w:rFonts w:asciiTheme="minorHAnsi" w:hAnsiTheme="minorHAnsi" w:cstheme="minorHAnsi"/>
          <w:sz w:val="26"/>
          <w:szCs w:val="26"/>
        </w:rPr>
        <w:t xml:space="preserve"> iulie </w:t>
      </w:r>
      <w:r w:rsidRPr="000F0D8B">
        <w:rPr>
          <w:rFonts w:asciiTheme="minorHAnsi" w:hAnsiTheme="minorHAnsi" w:cstheme="minorHAnsi"/>
          <w:sz w:val="26"/>
          <w:szCs w:val="26"/>
        </w:rPr>
        <w:t>2025, respectiv 18</w:t>
      </w:r>
      <w:r w:rsidR="00883859">
        <w:rPr>
          <w:rFonts w:asciiTheme="minorHAnsi" w:hAnsiTheme="minorHAnsi" w:cstheme="minorHAnsi"/>
          <w:sz w:val="26"/>
          <w:szCs w:val="26"/>
        </w:rPr>
        <w:t xml:space="preserve"> august – </w:t>
      </w:r>
      <w:r w:rsidRPr="000F0D8B">
        <w:rPr>
          <w:rFonts w:asciiTheme="minorHAnsi" w:hAnsiTheme="minorHAnsi" w:cstheme="minorHAnsi"/>
          <w:sz w:val="26"/>
          <w:szCs w:val="26"/>
        </w:rPr>
        <w:t>20</w:t>
      </w:r>
      <w:r w:rsidR="00883859">
        <w:rPr>
          <w:rFonts w:asciiTheme="minorHAnsi" w:hAnsiTheme="minorHAnsi" w:cstheme="minorHAnsi"/>
          <w:sz w:val="26"/>
          <w:szCs w:val="26"/>
        </w:rPr>
        <w:t xml:space="preserve"> august </w:t>
      </w:r>
      <w:r w:rsidRPr="000F0D8B">
        <w:rPr>
          <w:rFonts w:asciiTheme="minorHAnsi" w:hAnsiTheme="minorHAnsi" w:cstheme="minorHAnsi"/>
          <w:sz w:val="26"/>
          <w:szCs w:val="26"/>
        </w:rPr>
        <w:t xml:space="preserve">2025, Departamentul de formare profesională continuă a sprijinit dezvoltatorul aplicației ECRIS V în </w:t>
      </w:r>
      <w:r w:rsidRPr="000F0D8B">
        <w:rPr>
          <w:rFonts w:asciiTheme="minorHAnsi" w:hAnsiTheme="minorHAnsi" w:cstheme="minorHAnsi"/>
          <w:sz w:val="26"/>
          <w:szCs w:val="26"/>
        </w:rPr>
        <w:lastRenderedPageBreak/>
        <w:t>organizarea a 6 webinare dedicate formării grefierilor din instanțele și parchetele pilot, implicate în implementarea sistemului ECRIS V, la care au participat un număr de 264 de grefieri din cadrul instanțelor (în luna iulie</w:t>
      </w:r>
      <w:r w:rsidR="00DD5EFB">
        <w:rPr>
          <w:rFonts w:asciiTheme="minorHAnsi" w:hAnsiTheme="minorHAnsi" w:cstheme="minorHAnsi"/>
          <w:sz w:val="26"/>
          <w:szCs w:val="26"/>
        </w:rPr>
        <w:t xml:space="preserve"> 2025</w:t>
      </w:r>
      <w:r w:rsidRPr="000F0D8B">
        <w:rPr>
          <w:rFonts w:asciiTheme="minorHAnsi" w:hAnsiTheme="minorHAnsi" w:cstheme="minorHAnsi"/>
          <w:sz w:val="26"/>
          <w:szCs w:val="26"/>
        </w:rPr>
        <w:t>), respectiv 31 de grefieri din cadrul parchetelor (în luna august</w:t>
      </w:r>
      <w:r w:rsidR="00DD5EFB">
        <w:rPr>
          <w:rFonts w:asciiTheme="minorHAnsi" w:hAnsiTheme="minorHAnsi" w:cstheme="minorHAnsi"/>
          <w:sz w:val="26"/>
          <w:szCs w:val="26"/>
        </w:rPr>
        <w:t xml:space="preserve"> 2025</w:t>
      </w:r>
      <w:r w:rsidRPr="000F0D8B">
        <w:rPr>
          <w:rFonts w:asciiTheme="minorHAnsi" w:hAnsiTheme="minorHAnsi" w:cstheme="minorHAnsi"/>
          <w:sz w:val="26"/>
          <w:szCs w:val="26"/>
        </w:rPr>
        <w:t>).</w:t>
      </w:r>
    </w:p>
    <w:p w14:paraId="6051277B" w14:textId="64DBEA4E" w:rsidR="008975C2" w:rsidRPr="000F0D8B" w:rsidRDefault="008975C2" w:rsidP="009E3AD8">
      <w:pPr>
        <w:spacing w:line="276" w:lineRule="auto"/>
        <w:ind w:right="-142" w:firstLine="709"/>
        <w:jc w:val="both"/>
        <w:rPr>
          <w:rFonts w:asciiTheme="minorHAnsi" w:hAnsiTheme="minorHAnsi" w:cstheme="minorHAnsi"/>
          <w:sz w:val="26"/>
          <w:szCs w:val="26"/>
        </w:rPr>
      </w:pPr>
      <w:r w:rsidRPr="000F0D8B">
        <w:rPr>
          <w:rFonts w:asciiTheme="minorHAnsi" w:hAnsiTheme="minorHAnsi" w:cstheme="minorHAnsi"/>
          <w:sz w:val="26"/>
          <w:szCs w:val="26"/>
        </w:rPr>
        <w:t>Totodată, având în vedere că trecerea de la vechea aplicație la noul ECRIS V a generat o nevoie acută și însemnată de formare în rândul grefierilor, dar și insuficiența fondurilor bugetare pentru organizarea tuturor celor 20 de seminare centralizate care erau prevăzute a se desfășura în semestrul al doilea al anului 2025, Departamentul de formare profesională continuă a fost nevoit să solicite transformarea a 16 dintre aceste seminare în tot atâtea webinare în domeniul ECRIS V, modificare aprobată prin Hotărârea Plenului C</w:t>
      </w:r>
      <w:r w:rsidR="00FB7555">
        <w:rPr>
          <w:rFonts w:asciiTheme="minorHAnsi" w:hAnsiTheme="minorHAnsi" w:cstheme="minorHAnsi"/>
          <w:sz w:val="26"/>
          <w:szCs w:val="26"/>
        </w:rPr>
        <w:t xml:space="preserve">.S.M. </w:t>
      </w:r>
      <w:r w:rsidRPr="000F0D8B">
        <w:rPr>
          <w:rFonts w:asciiTheme="minorHAnsi" w:hAnsiTheme="minorHAnsi" w:cstheme="minorHAnsi"/>
          <w:sz w:val="26"/>
          <w:szCs w:val="26"/>
        </w:rPr>
        <w:t>nr. 105/</w:t>
      </w:r>
      <w:r w:rsidR="00B65C6C" w:rsidRPr="000F0D8B">
        <w:rPr>
          <w:rFonts w:asciiTheme="minorHAnsi" w:hAnsiTheme="minorHAnsi" w:cstheme="minorHAnsi"/>
          <w:sz w:val="26"/>
          <w:szCs w:val="26"/>
        </w:rPr>
        <w:t>0</w:t>
      </w:r>
      <w:r w:rsidRPr="000F0D8B">
        <w:rPr>
          <w:rFonts w:asciiTheme="minorHAnsi" w:hAnsiTheme="minorHAnsi" w:cstheme="minorHAnsi"/>
          <w:sz w:val="26"/>
          <w:szCs w:val="26"/>
        </w:rPr>
        <w:t>4</w:t>
      </w:r>
      <w:r w:rsidR="00B65C6C" w:rsidRPr="000F0D8B">
        <w:rPr>
          <w:rFonts w:asciiTheme="minorHAnsi" w:hAnsiTheme="minorHAnsi" w:cstheme="minorHAnsi"/>
          <w:sz w:val="26"/>
          <w:szCs w:val="26"/>
        </w:rPr>
        <w:t>.09.</w:t>
      </w:r>
      <w:r w:rsidRPr="000F0D8B">
        <w:rPr>
          <w:rFonts w:asciiTheme="minorHAnsi" w:hAnsiTheme="minorHAnsi" w:cstheme="minorHAnsi"/>
          <w:sz w:val="26"/>
          <w:szCs w:val="26"/>
        </w:rPr>
        <w:t>2025.</w:t>
      </w:r>
    </w:p>
    <w:p w14:paraId="7E2CC70C" w14:textId="64307AAB" w:rsidR="00D572F9" w:rsidRPr="00255A74" w:rsidRDefault="008975C2" w:rsidP="00D572F9">
      <w:pPr>
        <w:spacing w:line="276" w:lineRule="auto"/>
        <w:ind w:right="-142" w:firstLine="709"/>
        <w:jc w:val="both"/>
        <w:rPr>
          <w:rFonts w:asciiTheme="minorHAnsi" w:hAnsiTheme="minorHAnsi" w:cstheme="minorHAnsi"/>
          <w:sz w:val="26"/>
          <w:szCs w:val="26"/>
        </w:rPr>
      </w:pPr>
      <w:r w:rsidRPr="00255A74">
        <w:rPr>
          <w:rFonts w:asciiTheme="minorHAnsi" w:hAnsiTheme="minorHAnsi" w:cstheme="minorHAnsi"/>
          <w:sz w:val="26"/>
          <w:szCs w:val="26"/>
        </w:rPr>
        <w:t>Tot pe fondul insuficienței fondurilor bugetare, prin Nota nr. 3458/10</w:t>
      </w:r>
      <w:r w:rsidR="00B65C6C" w:rsidRPr="00255A74">
        <w:rPr>
          <w:rFonts w:asciiTheme="minorHAnsi" w:hAnsiTheme="minorHAnsi" w:cstheme="minorHAnsi"/>
          <w:sz w:val="26"/>
          <w:szCs w:val="26"/>
        </w:rPr>
        <w:t>.09.</w:t>
      </w:r>
      <w:r w:rsidRPr="00255A74">
        <w:rPr>
          <w:rFonts w:asciiTheme="minorHAnsi" w:hAnsiTheme="minorHAnsi" w:cstheme="minorHAnsi"/>
          <w:sz w:val="26"/>
          <w:szCs w:val="26"/>
        </w:rPr>
        <w:t xml:space="preserve">2025 a </w:t>
      </w:r>
      <w:r w:rsidR="00FB7555" w:rsidRPr="00255A74">
        <w:rPr>
          <w:rFonts w:asciiTheme="minorHAnsi" w:hAnsiTheme="minorHAnsi" w:cstheme="minorHAnsi"/>
          <w:sz w:val="26"/>
          <w:szCs w:val="26"/>
        </w:rPr>
        <w:t xml:space="preserve">S.N.G. </w:t>
      </w:r>
      <w:r w:rsidRPr="00255A74">
        <w:rPr>
          <w:rFonts w:asciiTheme="minorHAnsi" w:hAnsiTheme="minorHAnsi" w:cstheme="minorHAnsi"/>
          <w:sz w:val="26"/>
          <w:szCs w:val="26"/>
        </w:rPr>
        <w:t xml:space="preserve">a fost aprobată modificarea Programului de formare profesională continuă pentru anul 2025 sub aspectul transformării a 4 seminare centralizate de tip face-to-face din semestrul II, care nu au făcut obiectul Hotărârii </w:t>
      </w:r>
      <w:r w:rsidR="00FB7555" w:rsidRPr="00255A74">
        <w:rPr>
          <w:rFonts w:asciiTheme="minorHAnsi" w:hAnsiTheme="minorHAnsi" w:cstheme="minorHAnsi"/>
          <w:sz w:val="26"/>
          <w:szCs w:val="26"/>
        </w:rPr>
        <w:t xml:space="preserve">Plenului C.S.M. </w:t>
      </w:r>
      <w:r w:rsidRPr="00255A74">
        <w:rPr>
          <w:rFonts w:asciiTheme="minorHAnsi" w:hAnsiTheme="minorHAnsi" w:cstheme="minorHAnsi"/>
          <w:sz w:val="26"/>
          <w:szCs w:val="26"/>
        </w:rPr>
        <w:t>nr. 105/</w:t>
      </w:r>
      <w:r w:rsidR="00B65C6C" w:rsidRPr="00255A74">
        <w:rPr>
          <w:rFonts w:asciiTheme="minorHAnsi" w:hAnsiTheme="minorHAnsi" w:cstheme="minorHAnsi"/>
          <w:sz w:val="26"/>
          <w:szCs w:val="26"/>
        </w:rPr>
        <w:t>0</w:t>
      </w:r>
      <w:r w:rsidRPr="00255A74">
        <w:rPr>
          <w:rFonts w:asciiTheme="minorHAnsi" w:hAnsiTheme="minorHAnsi" w:cstheme="minorHAnsi"/>
          <w:sz w:val="26"/>
          <w:szCs w:val="26"/>
        </w:rPr>
        <w:t>4</w:t>
      </w:r>
      <w:r w:rsidR="00B65C6C" w:rsidRPr="00255A74">
        <w:rPr>
          <w:rFonts w:asciiTheme="minorHAnsi" w:hAnsiTheme="minorHAnsi" w:cstheme="minorHAnsi"/>
          <w:sz w:val="26"/>
          <w:szCs w:val="26"/>
        </w:rPr>
        <w:t>.09.</w:t>
      </w:r>
      <w:r w:rsidRPr="00255A74">
        <w:rPr>
          <w:rFonts w:asciiTheme="minorHAnsi" w:hAnsiTheme="minorHAnsi" w:cstheme="minorHAnsi"/>
          <w:sz w:val="26"/>
          <w:szCs w:val="26"/>
        </w:rPr>
        <w:t>2025, în webinare, fără schimbarea</w:t>
      </w:r>
      <w:r w:rsidR="00D572F9" w:rsidRPr="00255A74">
        <w:rPr>
          <w:rFonts w:asciiTheme="minorHAnsi" w:hAnsiTheme="minorHAnsi" w:cstheme="minorHAnsi"/>
          <w:sz w:val="26"/>
          <w:szCs w:val="26"/>
        </w:rPr>
        <w:t xml:space="preserve"> tematicii: o acțiune de formare dedicată grefierilor desemnați pentru pentru asigurarea desfășurării activității la biroul judecătorului de supraveghere a privării de libertate, 2 acțiuni organizate în domeniul managementului judiciar, dedicate grefierilor cu funcții de conducere din cadrul instanțelor judecătorești, respectiv parchetelor de pe lângă acestea, și o acțiune de formare în domeniul arhivării documentelor, organizată în colaborare cu Arhivele Naționale Române. </w:t>
      </w:r>
    </w:p>
    <w:p w14:paraId="16DD1996" w14:textId="240B87E6" w:rsidR="00D572F9" w:rsidRPr="00255A74" w:rsidRDefault="00D572F9" w:rsidP="00D572F9">
      <w:pPr>
        <w:spacing w:line="276" w:lineRule="auto"/>
        <w:ind w:right="-142" w:firstLine="709"/>
        <w:jc w:val="both"/>
        <w:rPr>
          <w:rFonts w:asciiTheme="minorHAnsi" w:hAnsiTheme="minorHAnsi" w:cstheme="minorHAnsi"/>
          <w:sz w:val="26"/>
          <w:szCs w:val="26"/>
        </w:rPr>
      </w:pPr>
      <w:r w:rsidRPr="00255A74">
        <w:rPr>
          <w:rFonts w:asciiTheme="minorHAnsi" w:hAnsiTheme="minorHAnsi" w:cstheme="minorHAnsi"/>
          <w:sz w:val="26"/>
          <w:szCs w:val="26"/>
        </w:rPr>
        <w:t>De asemenea, în semestrul II al anului 2025 s-au desfășurat 2 acțiuni de formare de tip webinar, organizate online, având ca scop prezentarea funcționalităților</w:t>
      </w:r>
      <w:r w:rsidR="00255A74" w:rsidRPr="00255A74">
        <w:rPr>
          <w:rFonts w:asciiTheme="minorHAnsi" w:hAnsiTheme="minorHAnsi" w:cstheme="minorHAnsi"/>
          <w:sz w:val="26"/>
          <w:szCs w:val="26"/>
        </w:rPr>
        <w:t xml:space="preserve"> </w:t>
      </w:r>
      <w:r w:rsidRPr="00255A74">
        <w:rPr>
          <w:rFonts w:asciiTheme="minorHAnsi" w:hAnsiTheme="minorHAnsi" w:cstheme="minorHAnsi"/>
          <w:sz w:val="26"/>
          <w:szCs w:val="26"/>
        </w:rPr>
        <w:t>aplicației SIGADOC, realizată de Curtea Constituțională a României în colaborare cu Consiliului Superior al Magistraturii.</w:t>
      </w:r>
    </w:p>
    <w:p w14:paraId="3B2B5DA5" w14:textId="77777777" w:rsidR="00D572F9" w:rsidRPr="00255A74" w:rsidRDefault="00D572F9" w:rsidP="00D572F9">
      <w:pPr>
        <w:spacing w:line="276" w:lineRule="auto"/>
        <w:ind w:right="-142" w:firstLine="709"/>
        <w:jc w:val="both"/>
        <w:rPr>
          <w:rFonts w:asciiTheme="minorHAnsi" w:hAnsiTheme="minorHAnsi" w:cstheme="minorHAnsi"/>
          <w:sz w:val="26"/>
          <w:szCs w:val="26"/>
        </w:rPr>
      </w:pPr>
      <w:r w:rsidRPr="00255A74">
        <w:rPr>
          <w:rFonts w:asciiTheme="minorHAnsi" w:hAnsiTheme="minorHAnsi" w:cstheme="minorHAnsi"/>
          <w:sz w:val="26"/>
          <w:szCs w:val="26"/>
        </w:rPr>
        <w:t>Este de menționat și faptul că seminarul descentralizat organizat la Iași, având ca temă prezentarea funcționalităților aplicației ReJust – Modulul Desktop – Machete și Rezoluții Utilizare, respectiv cel organizat la Brașov, având ca temă informațiile clasificate, au beneficiat și de participarea judecătorilor din cadrul curților de apel, respectiv din circumscripțiile acestora.</w:t>
      </w:r>
    </w:p>
    <w:p w14:paraId="09B447BB" w14:textId="77777777" w:rsidR="00D572F9" w:rsidRPr="00255A74" w:rsidRDefault="00D572F9" w:rsidP="00D572F9">
      <w:pPr>
        <w:spacing w:line="276" w:lineRule="auto"/>
        <w:ind w:right="-142" w:firstLine="709"/>
        <w:jc w:val="both"/>
        <w:rPr>
          <w:rFonts w:asciiTheme="minorHAnsi" w:hAnsiTheme="minorHAnsi" w:cstheme="minorHAnsi"/>
          <w:sz w:val="26"/>
          <w:szCs w:val="26"/>
        </w:rPr>
      </w:pPr>
      <w:r w:rsidRPr="00255A74">
        <w:rPr>
          <w:rFonts w:asciiTheme="minorHAnsi" w:hAnsiTheme="minorHAnsi" w:cstheme="minorHAnsi"/>
          <w:sz w:val="26"/>
          <w:szCs w:val="26"/>
        </w:rPr>
        <w:t>Totodată, evidențiem atât participarea reprezentaților Institutului Național al Justiției din Republica Moldova la cele două cursuri eLearning organizate în domeniul lingvistic – limba română și limba engleză, cât și participarea grefierilor din cadrul instanțelor și parchetelor din România la e-cursul organizat de I.N.J., cu tema Psihologie judiciară.</w:t>
      </w:r>
    </w:p>
    <w:p w14:paraId="298F2CB6" w14:textId="4EA976CC" w:rsidR="001E78F3" w:rsidRPr="00255A74" w:rsidRDefault="008975C2" w:rsidP="001E78F3">
      <w:pPr>
        <w:spacing w:line="276" w:lineRule="auto"/>
        <w:ind w:right="-142" w:firstLine="709"/>
        <w:jc w:val="both"/>
        <w:rPr>
          <w:rFonts w:asciiTheme="minorHAnsi" w:hAnsiTheme="minorHAnsi" w:cstheme="minorHAnsi"/>
          <w:sz w:val="26"/>
          <w:szCs w:val="26"/>
        </w:rPr>
      </w:pPr>
      <w:r w:rsidRPr="00255A74">
        <w:rPr>
          <w:rFonts w:asciiTheme="minorHAnsi" w:hAnsiTheme="minorHAnsi" w:cstheme="minorHAnsi"/>
          <w:sz w:val="26"/>
          <w:szCs w:val="26"/>
        </w:rPr>
        <w:t xml:space="preserve">Ca o concluzie a celor mai sus arătate, până în prezent au fost derulate </w:t>
      </w:r>
      <w:r w:rsidR="00BF468A" w:rsidRPr="00255A74">
        <w:rPr>
          <w:rFonts w:asciiTheme="minorHAnsi" w:hAnsiTheme="minorHAnsi" w:cstheme="minorHAnsi"/>
          <w:sz w:val="26"/>
          <w:szCs w:val="26"/>
        </w:rPr>
        <w:t>98</w:t>
      </w:r>
      <w:r w:rsidRPr="00255A74">
        <w:rPr>
          <w:rFonts w:asciiTheme="minorHAnsi" w:hAnsiTheme="minorHAnsi" w:cstheme="minorHAnsi"/>
          <w:sz w:val="26"/>
          <w:szCs w:val="26"/>
        </w:rPr>
        <w:t xml:space="preserve"> de acțiuni prevăzute în programul anual de formare continuă, în format face-to-face (de tip centralizat</w:t>
      </w:r>
      <w:r w:rsidR="00BF468A" w:rsidRPr="00255A74">
        <w:rPr>
          <w:rFonts w:asciiTheme="minorHAnsi" w:hAnsiTheme="minorHAnsi" w:cstheme="minorHAnsi"/>
          <w:sz w:val="26"/>
          <w:szCs w:val="26"/>
        </w:rPr>
        <w:t xml:space="preserve"> și descentralizat</w:t>
      </w:r>
      <w:r w:rsidRPr="00255A74">
        <w:rPr>
          <w:rFonts w:asciiTheme="minorHAnsi" w:hAnsiTheme="minorHAnsi" w:cstheme="minorHAnsi"/>
          <w:sz w:val="26"/>
          <w:szCs w:val="26"/>
        </w:rPr>
        <w:t>), precum și în format online (de tip webinar și eLearning), după cum urmează: 20 de seminare centralizate (la care s-au înregistrat 424 de participări)</w:t>
      </w:r>
      <w:r w:rsidR="001E78F3" w:rsidRPr="00255A74">
        <w:rPr>
          <w:rFonts w:asciiTheme="minorHAnsi" w:hAnsiTheme="minorHAnsi" w:cstheme="minorHAnsi"/>
          <w:sz w:val="26"/>
          <w:szCs w:val="26"/>
        </w:rPr>
        <w:t>,</w:t>
      </w:r>
      <w:r w:rsidRPr="00255A74">
        <w:rPr>
          <w:rFonts w:asciiTheme="minorHAnsi" w:hAnsiTheme="minorHAnsi" w:cstheme="minorHAnsi"/>
          <w:sz w:val="26"/>
          <w:szCs w:val="26"/>
        </w:rPr>
        <w:t xml:space="preserve"> </w:t>
      </w:r>
      <w:r w:rsidR="001E78F3" w:rsidRPr="00255A74">
        <w:rPr>
          <w:rFonts w:asciiTheme="minorHAnsi" w:hAnsiTheme="minorHAnsi" w:cstheme="minorHAnsi"/>
          <w:sz w:val="26"/>
          <w:szCs w:val="26"/>
        </w:rPr>
        <w:t>25 de seminare descentralizate (la care s-au înregistrat 938 de participări), 41 de webinare (la care s-au înregistrat 9.221 de participări) și 12 cursuri eLearning (la care s-au înregistrat 412 participări).</w:t>
      </w:r>
    </w:p>
    <w:p w14:paraId="5613E055" w14:textId="27591CD1" w:rsidR="00F122B0" w:rsidRPr="00255A74" w:rsidRDefault="008975C2" w:rsidP="00F122B0">
      <w:pPr>
        <w:spacing w:line="276" w:lineRule="auto"/>
        <w:ind w:right="-142" w:firstLine="709"/>
        <w:jc w:val="both"/>
        <w:rPr>
          <w:rFonts w:asciiTheme="minorHAnsi" w:hAnsiTheme="minorHAnsi" w:cstheme="minorHAnsi"/>
          <w:sz w:val="26"/>
          <w:szCs w:val="26"/>
        </w:rPr>
      </w:pPr>
      <w:r w:rsidRPr="00255A74">
        <w:rPr>
          <w:rFonts w:asciiTheme="minorHAnsi" w:hAnsiTheme="minorHAnsi" w:cstheme="minorHAnsi"/>
          <w:sz w:val="26"/>
          <w:szCs w:val="26"/>
        </w:rPr>
        <w:t xml:space="preserve">În anul 2025 s-a continuat colaborarea cu magistrații care au atribuții în formarea trimestrială a grefierilor, cărora li s-a facilitat accesul la materialele didactice din Biblioteca virtuală de pe platforma de formare online a </w:t>
      </w:r>
      <w:r w:rsidR="00FB7555" w:rsidRPr="00255A74">
        <w:rPr>
          <w:rFonts w:asciiTheme="minorHAnsi" w:hAnsiTheme="minorHAnsi" w:cstheme="minorHAnsi"/>
          <w:sz w:val="26"/>
          <w:szCs w:val="26"/>
        </w:rPr>
        <w:t>S.N.G.</w:t>
      </w:r>
      <w:r w:rsidRPr="00255A74">
        <w:rPr>
          <w:rFonts w:asciiTheme="minorHAnsi" w:hAnsiTheme="minorHAnsi" w:cstheme="minorHAnsi"/>
          <w:sz w:val="26"/>
          <w:szCs w:val="26"/>
        </w:rPr>
        <w:t>, materiale care pot fi folosite în procesul de formare trimestrială, fiindu-le create conturi pe platforma de formare a Școlii și transmise newslettere periodice cu noile materiale dezvoltate și încărcate.</w:t>
      </w:r>
      <w:r w:rsidR="005B4BB4" w:rsidRPr="00255A74">
        <w:rPr>
          <w:rFonts w:asciiTheme="minorHAnsi" w:hAnsiTheme="minorHAnsi" w:cstheme="minorHAnsi"/>
          <w:sz w:val="26"/>
          <w:szCs w:val="26"/>
        </w:rPr>
        <w:t xml:space="preserve"> </w:t>
      </w:r>
    </w:p>
    <w:p w14:paraId="1AFE6E98" w14:textId="77777777" w:rsidR="00F122B0" w:rsidRPr="00255A74" w:rsidRDefault="00F122B0" w:rsidP="00F122B0">
      <w:pPr>
        <w:spacing w:line="276" w:lineRule="auto"/>
        <w:ind w:right="-142" w:firstLine="709"/>
        <w:jc w:val="both"/>
        <w:rPr>
          <w:rFonts w:asciiTheme="minorHAnsi" w:hAnsiTheme="minorHAnsi" w:cstheme="minorHAnsi"/>
          <w:sz w:val="26"/>
          <w:szCs w:val="26"/>
        </w:rPr>
      </w:pPr>
    </w:p>
    <w:p w14:paraId="6D30C98B" w14:textId="77777777" w:rsidR="00F122B0" w:rsidRPr="000F0D8B" w:rsidRDefault="00F122B0" w:rsidP="00F122B0">
      <w:pPr>
        <w:spacing w:line="276" w:lineRule="auto"/>
        <w:ind w:right="-142" w:firstLine="709"/>
        <w:jc w:val="both"/>
        <w:rPr>
          <w:rFonts w:asciiTheme="minorHAnsi" w:hAnsiTheme="minorHAnsi" w:cstheme="minorHAnsi"/>
          <w:sz w:val="26"/>
          <w:szCs w:val="26"/>
        </w:rPr>
      </w:pPr>
    </w:p>
    <w:p w14:paraId="6D70A391" w14:textId="603D5320" w:rsidR="006C1588" w:rsidRPr="000F0D8B" w:rsidRDefault="006C1588" w:rsidP="009E3AD8">
      <w:pPr>
        <w:pStyle w:val="Heading2"/>
        <w:keepNext w:val="0"/>
        <w:keepLines w:val="0"/>
        <w:suppressLineNumbers/>
        <w:suppressAutoHyphens/>
        <w:rPr>
          <w:rFonts w:cstheme="minorHAnsi"/>
          <w:b w:val="0"/>
          <w:color w:val="auto"/>
          <w:lang w:val="ro-RO"/>
        </w:rPr>
      </w:pPr>
      <w:bookmarkStart w:id="103" w:name="_Toc430867116"/>
      <w:bookmarkStart w:id="104" w:name="_Toc219287960"/>
      <w:r w:rsidRPr="000F0D8B">
        <w:rPr>
          <w:rFonts w:cstheme="minorHAnsi"/>
          <w:color w:val="auto"/>
          <w:lang w:val="ro-RO"/>
        </w:rPr>
        <w:lastRenderedPageBreak/>
        <w:t>II.4.</w:t>
      </w:r>
      <w:r w:rsidR="0076628D" w:rsidRPr="000F0D8B">
        <w:rPr>
          <w:rFonts w:cstheme="minorHAnsi"/>
          <w:color w:val="auto"/>
          <w:lang w:val="ro-RO"/>
        </w:rPr>
        <w:t xml:space="preserve"> </w:t>
      </w:r>
      <w:r w:rsidRPr="000F0D8B">
        <w:rPr>
          <w:rFonts w:cstheme="minorHAnsi"/>
          <w:color w:val="auto"/>
          <w:lang w:val="ro-RO"/>
        </w:rPr>
        <w:t>Evaluarea profesională a magistraţilor</w:t>
      </w:r>
      <w:bookmarkEnd w:id="103"/>
      <w:bookmarkEnd w:id="104"/>
      <w:r w:rsidRPr="000F0D8B">
        <w:rPr>
          <w:rFonts w:cstheme="minorHAnsi"/>
          <w:color w:val="auto"/>
          <w:lang w:val="ro-RO"/>
        </w:rPr>
        <w:t xml:space="preserve"> </w:t>
      </w:r>
      <w:bookmarkStart w:id="105" w:name="_Toc430867117"/>
    </w:p>
    <w:p w14:paraId="3D284730" w14:textId="2B8462E3" w:rsidR="00D06358" w:rsidRPr="00EE6F09" w:rsidRDefault="00D06358" w:rsidP="00D06358">
      <w:pPr>
        <w:spacing w:line="276" w:lineRule="auto"/>
        <w:ind w:firstLine="720"/>
        <w:jc w:val="both"/>
        <w:rPr>
          <w:rFonts w:ascii="Calibri" w:hAnsi="Calibri" w:cs="Calibri"/>
          <w:bCs/>
          <w:noProof/>
          <w:sz w:val="26"/>
          <w:szCs w:val="26"/>
          <w:shd w:val="clear" w:color="auto" w:fill="FFFFFF"/>
        </w:rPr>
      </w:pPr>
      <w:r w:rsidRPr="00EE6F09">
        <w:rPr>
          <w:rFonts w:ascii="Calibri" w:hAnsi="Calibri" w:cs="Calibri"/>
          <w:bCs/>
          <w:noProof/>
          <w:sz w:val="26"/>
          <w:szCs w:val="26"/>
          <w:shd w:val="clear" w:color="auto" w:fill="FFFFFF"/>
        </w:rPr>
        <w:t>Activitatea de evaluare profesională a magistraţilor este reglementată de dispoziţiile art. 87</w:t>
      </w:r>
      <w:r w:rsidR="00382D0E">
        <w:rPr>
          <w:rFonts w:ascii="Calibri" w:hAnsi="Calibri" w:cs="Calibri"/>
          <w:bCs/>
          <w:noProof/>
          <w:sz w:val="26"/>
          <w:szCs w:val="26"/>
          <w:shd w:val="clear" w:color="auto" w:fill="FFFFFF"/>
        </w:rPr>
        <w:t xml:space="preserve"> – art. </w:t>
      </w:r>
      <w:r w:rsidRPr="00EE6F09">
        <w:rPr>
          <w:rFonts w:ascii="Calibri" w:hAnsi="Calibri" w:cs="Calibri"/>
          <w:bCs/>
          <w:noProof/>
          <w:sz w:val="26"/>
          <w:szCs w:val="26"/>
          <w:shd w:val="clear" w:color="auto" w:fill="FFFFFF"/>
        </w:rPr>
        <w:t xml:space="preserve">107 din </w:t>
      </w:r>
      <w:r w:rsidRPr="00EE6F09">
        <w:rPr>
          <w:rFonts w:ascii="Calibri" w:hAnsi="Calibri" w:cs="Calibri"/>
          <w:bCs/>
          <w:iCs/>
          <w:noProof/>
          <w:sz w:val="26"/>
          <w:szCs w:val="26"/>
          <w:shd w:val="clear" w:color="auto" w:fill="FFFFFF"/>
        </w:rPr>
        <w:t>Legea nr. 303/2022 privind statutul judecătorilor şi procurorilor,</w:t>
      </w:r>
      <w:r w:rsidRPr="00EE6F09">
        <w:rPr>
          <w:rFonts w:ascii="Calibri" w:hAnsi="Calibri" w:cs="Calibri"/>
          <w:bCs/>
          <w:noProof/>
          <w:sz w:val="26"/>
          <w:szCs w:val="26"/>
          <w:shd w:val="clear" w:color="auto" w:fill="FFFFFF"/>
        </w:rPr>
        <w:t xml:space="preserve"> precum şi, după caz, de prevederile art. 39</w:t>
      </w:r>
      <w:r w:rsidR="00382D0E">
        <w:rPr>
          <w:rFonts w:ascii="Calibri" w:hAnsi="Calibri" w:cs="Calibri"/>
          <w:bCs/>
          <w:noProof/>
          <w:sz w:val="26"/>
          <w:szCs w:val="26"/>
          <w:shd w:val="clear" w:color="auto" w:fill="FFFFFF"/>
        </w:rPr>
        <w:t xml:space="preserve"> – art. </w:t>
      </w:r>
      <w:r w:rsidRPr="00EE6F09">
        <w:rPr>
          <w:rFonts w:ascii="Calibri" w:hAnsi="Calibri" w:cs="Calibri"/>
          <w:bCs/>
          <w:noProof/>
          <w:sz w:val="26"/>
          <w:szCs w:val="26"/>
          <w:shd w:val="clear" w:color="auto" w:fill="FFFFFF"/>
        </w:rPr>
        <w:t xml:space="preserve">41 din </w:t>
      </w:r>
      <w:r w:rsidRPr="00EE6F09">
        <w:rPr>
          <w:rFonts w:ascii="Calibri" w:hAnsi="Calibri" w:cs="Calibri"/>
          <w:bCs/>
          <w:iCs/>
          <w:noProof/>
          <w:sz w:val="26"/>
          <w:szCs w:val="26"/>
          <w:shd w:val="clear" w:color="auto" w:fill="FFFFFF"/>
        </w:rPr>
        <w:t>Legea nr. 303/2004 privind statutul judecătorilor şi procurorilor,</w:t>
      </w:r>
      <w:r w:rsidRPr="00EE6F09">
        <w:rPr>
          <w:rFonts w:ascii="Calibri" w:hAnsi="Calibri" w:cs="Calibri"/>
          <w:bCs/>
          <w:noProof/>
          <w:sz w:val="26"/>
          <w:szCs w:val="26"/>
          <w:shd w:val="clear" w:color="auto" w:fill="FFFFFF"/>
        </w:rPr>
        <w:t xml:space="preserve"> republicată, cu modificările şi completările ulterioare, ţinând seama de perioada supusă evaluării.</w:t>
      </w:r>
    </w:p>
    <w:p w14:paraId="4D3FC1F8" w14:textId="5AB6C442" w:rsidR="00D06358" w:rsidRPr="00EE6F09" w:rsidRDefault="00D06358" w:rsidP="00D06358">
      <w:pPr>
        <w:spacing w:line="276" w:lineRule="auto"/>
        <w:ind w:firstLine="720"/>
        <w:jc w:val="both"/>
        <w:rPr>
          <w:rFonts w:ascii="Calibri" w:hAnsi="Calibri" w:cs="Calibri"/>
          <w:bCs/>
          <w:noProof/>
          <w:sz w:val="26"/>
          <w:szCs w:val="26"/>
          <w:shd w:val="clear" w:color="auto" w:fill="FFFFFF"/>
        </w:rPr>
      </w:pPr>
      <w:r w:rsidRPr="00EE6F09">
        <w:rPr>
          <w:rFonts w:ascii="Calibri" w:hAnsi="Calibri" w:cs="Calibri"/>
          <w:bCs/>
          <w:noProof/>
          <w:sz w:val="26"/>
          <w:szCs w:val="26"/>
          <w:shd w:val="clear" w:color="auto" w:fill="FFFFFF"/>
        </w:rPr>
        <w:t>În condiţiile în care activitatea de evaluare a judecătorilor şi procurorilor începută anterior datei de 18 octombrie 2018, data intrării în vigoare a Legii nr. 242/2018, nu a fost finalizată la toate instanţele şi parchetele, în perioada 01</w:t>
      </w:r>
      <w:r w:rsidR="00175DF7">
        <w:rPr>
          <w:rFonts w:ascii="Calibri" w:hAnsi="Calibri" w:cs="Calibri"/>
          <w:bCs/>
          <w:noProof/>
          <w:sz w:val="26"/>
          <w:szCs w:val="26"/>
          <w:shd w:val="clear" w:color="auto" w:fill="FFFFFF"/>
        </w:rPr>
        <w:t xml:space="preserve"> ianuarie </w:t>
      </w:r>
      <w:r w:rsidRPr="00EE6F09">
        <w:rPr>
          <w:rFonts w:ascii="Calibri" w:hAnsi="Calibri" w:cs="Calibri"/>
          <w:bCs/>
          <w:noProof/>
          <w:sz w:val="26"/>
          <w:szCs w:val="26"/>
          <w:shd w:val="clear" w:color="auto" w:fill="FFFFFF"/>
        </w:rPr>
        <w:t>2024 – 31</w:t>
      </w:r>
      <w:r w:rsidR="00175DF7">
        <w:rPr>
          <w:rFonts w:ascii="Calibri" w:hAnsi="Calibri" w:cs="Calibri"/>
          <w:bCs/>
          <w:noProof/>
          <w:sz w:val="26"/>
          <w:szCs w:val="26"/>
          <w:shd w:val="clear" w:color="auto" w:fill="FFFFFF"/>
        </w:rPr>
        <w:t xml:space="preserve"> octombrie </w:t>
      </w:r>
      <w:r w:rsidRPr="00EE6F09">
        <w:rPr>
          <w:rFonts w:ascii="Calibri" w:hAnsi="Calibri" w:cs="Calibri"/>
          <w:bCs/>
          <w:noProof/>
          <w:sz w:val="26"/>
          <w:szCs w:val="26"/>
          <w:shd w:val="clear" w:color="auto" w:fill="FFFFFF"/>
        </w:rPr>
        <w:t xml:space="preserve">2024, Plenul Consiliului Superior al Magistraturii a emis un număr de 11 hotărâri de modificare a componenţei comisiilor de evaluare a magistraţilor ce erau constituite şi îşi desfăşurau activitatea în conformitate cu vechile reglementări, prin numirea/reînvestirea membrilor în comisiile de evaluare, după verificarea îndeplinirii condițiilor pentru calitatea de membru al comisiilor de evaluare profesională, în acord cu minuta </w:t>
      </w:r>
      <w:r w:rsidRPr="00EE6F09">
        <w:rPr>
          <w:rFonts w:ascii="Calibri" w:hAnsi="Calibri" w:cs="Calibri"/>
          <w:bCs/>
          <w:iCs/>
          <w:noProof/>
          <w:sz w:val="26"/>
          <w:szCs w:val="26"/>
          <w:shd w:val="clear" w:color="auto" w:fill="FFFFFF"/>
        </w:rPr>
        <w:t xml:space="preserve">Comisiei nr. 2 comună – „Resurse umane şi organizare” </w:t>
      </w:r>
      <w:r w:rsidRPr="00EE6F09">
        <w:rPr>
          <w:rFonts w:ascii="Calibri" w:hAnsi="Calibri" w:cs="Calibri"/>
          <w:bCs/>
          <w:noProof/>
          <w:sz w:val="26"/>
          <w:szCs w:val="26"/>
          <w:shd w:val="clear" w:color="auto" w:fill="FFFFFF"/>
        </w:rPr>
        <w:t>constituită în cadrul C</w:t>
      </w:r>
      <w:r w:rsidR="00FD3B8D">
        <w:rPr>
          <w:rFonts w:ascii="Calibri" w:hAnsi="Calibri" w:cs="Calibri"/>
          <w:bCs/>
          <w:noProof/>
          <w:sz w:val="26"/>
          <w:szCs w:val="26"/>
          <w:shd w:val="clear" w:color="auto" w:fill="FFFFFF"/>
        </w:rPr>
        <w:t>.S.M.</w:t>
      </w:r>
      <w:r w:rsidRPr="00EE6F09">
        <w:rPr>
          <w:rFonts w:ascii="Calibri" w:hAnsi="Calibri" w:cs="Calibri"/>
          <w:bCs/>
          <w:noProof/>
          <w:sz w:val="26"/>
          <w:szCs w:val="26"/>
          <w:shd w:val="clear" w:color="auto" w:fill="FFFFFF"/>
        </w:rPr>
        <w:t>, din data de 20 mai 2019</w:t>
      </w:r>
      <w:r w:rsidR="00175DF7">
        <w:rPr>
          <w:rFonts w:ascii="Calibri" w:hAnsi="Calibri" w:cs="Calibri"/>
          <w:bCs/>
          <w:noProof/>
          <w:sz w:val="26"/>
          <w:szCs w:val="26"/>
          <w:shd w:val="clear" w:color="auto" w:fill="FFFFFF"/>
        </w:rPr>
        <w:t>,</w:t>
      </w:r>
      <w:r w:rsidRPr="00EE6F09">
        <w:rPr>
          <w:rFonts w:ascii="Calibri" w:hAnsi="Calibri" w:cs="Calibri"/>
          <w:bCs/>
          <w:noProof/>
          <w:sz w:val="26"/>
          <w:szCs w:val="26"/>
          <w:shd w:val="clear" w:color="auto" w:fill="FFFFFF"/>
        </w:rPr>
        <w:t xml:space="preserve"> şi a dispoziţiilor tranzitorii, în materie, cuprinse în Legea nr. 242/2018 de modificare şi completare a Legii nr. 303/2004 privind statutul judecătorilor şi procurorilor, republicată, cu modificările şi completările ulterioare.</w:t>
      </w:r>
    </w:p>
    <w:p w14:paraId="22013684" w14:textId="5D36B67B" w:rsidR="00D06358" w:rsidRPr="00EE6F09" w:rsidRDefault="00D06358" w:rsidP="00D06358">
      <w:pPr>
        <w:spacing w:line="276" w:lineRule="auto"/>
        <w:ind w:firstLine="720"/>
        <w:jc w:val="both"/>
        <w:rPr>
          <w:rFonts w:ascii="Calibri" w:hAnsi="Calibri" w:cs="Calibri"/>
          <w:bCs/>
          <w:noProof/>
          <w:sz w:val="26"/>
          <w:szCs w:val="26"/>
          <w:shd w:val="clear" w:color="auto" w:fill="FFFFFF"/>
        </w:rPr>
      </w:pPr>
      <w:r w:rsidRPr="00EE6F09">
        <w:rPr>
          <w:rFonts w:ascii="Calibri" w:hAnsi="Calibri" w:cs="Calibri"/>
          <w:bCs/>
          <w:noProof/>
          <w:sz w:val="26"/>
          <w:szCs w:val="26"/>
          <w:shd w:val="clear" w:color="auto" w:fill="FFFFFF"/>
        </w:rPr>
        <w:t>Legea</w:t>
      </w:r>
      <w:r w:rsidR="00921C99">
        <w:rPr>
          <w:rFonts w:ascii="Calibri" w:hAnsi="Calibri" w:cs="Calibri"/>
          <w:bCs/>
          <w:noProof/>
          <w:sz w:val="26"/>
          <w:szCs w:val="26"/>
          <w:shd w:val="clear" w:color="auto" w:fill="FFFFFF"/>
        </w:rPr>
        <w:t xml:space="preserve"> </w:t>
      </w:r>
      <w:r w:rsidRPr="00EE6F09">
        <w:rPr>
          <w:rFonts w:ascii="Calibri" w:hAnsi="Calibri" w:cs="Calibri"/>
          <w:bCs/>
          <w:noProof/>
          <w:sz w:val="26"/>
          <w:szCs w:val="26"/>
          <w:shd w:val="clear" w:color="auto" w:fill="FFFFFF"/>
        </w:rPr>
        <w:t xml:space="preserve">stabilește calificativele cu care este apreciată activitatea judecătorilor şi procurorilor, respectiv „foarte bine”, „bine”, „suficient” și „insuficient”, precum și impactul lor asupra carierei magistratului și asupra calității sistemului judiciar. </w:t>
      </w:r>
    </w:p>
    <w:p w14:paraId="23951D41" w14:textId="62BEED49" w:rsidR="00D06358" w:rsidRPr="00EE6F09" w:rsidRDefault="00D06358" w:rsidP="00D06358">
      <w:pPr>
        <w:spacing w:line="276" w:lineRule="auto"/>
        <w:ind w:firstLine="720"/>
        <w:jc w:val="both"/>
        <w:rPr>
          <w:rFonts w:ascii="Calibri" w:hAnsi="Calibri" w:cs="Calibri"/>
          <w:bCs/>
          <w:noProof/>
          <w:sz w:val="26"/>
          <w:szCs w:val="26"/>
          <w:shd w:val="clear" w:color="auto" w:fill="FFFFFF"/>
        </w:rPr>
      </w:pPr>
      <w:r w:rsidRPr="00EE6F09">
        <w:rPr>
          <w:rFonts w:ascii="Calibri" w:hAnsi="Calibri" w:cs="Calibri"/>
          <w:bCs/>
          <w:noProof/>
          <w:sz w:val="26"/>
          <w:szCs w:val="26"/>
          <w:shd w:val="clear" w:color="auto" w:fill="FFFFFF"/>
        </w:rPr>
        <w:t>Dispoziţiile art. 40 alin. (2) din Legea nr. 303/2004 privind statutul judecătorilor și procurorilor republicată, cu modificările şi completările ulterioare, precum şi ale art. 102 alin. (1) din Legea nr. 303/2022</w:t>
      </w:r>
      <w:r w:rsidR="00F07065">
        <w:rPr>
          <w:rFonts w:ascii="Calibri" w:hAnsi="Calibri" w:cs="Calibri"/>
          <w:bCs/>
          <w:noProof/>
          <w:sz w:val="26"/>
          <w:szCs w:val="26"/>
          <w:shd w:val="clear" w:color="auto" w:fill="FFFFFF"/>
        </w:rPr>
        <w:t xml:space="preserve"> privind statutul judecătorilor şi procurorilor</w:t>
      </w:r>
      <w:r w:rsidRPr="00EE6F09">
        <w:rPr>
          <w:rFonts w:ascii="Calibri" w:hAnsi="Calibri" w:cs="Calibri"/>
          <w:bCs/>
          <w:noProof/>
          <w:sz w:val="26"/>
          <w:szCs w:val="26"/>
          <w:shd w:val="clear" w:color="auto" w:fill="FFFFFF"/>
        </w:rPr>
        <w:t>, cu modificările şi completările ulterioare, prevăd că judecătorii sau procurorii nemulțumiți de calificativul acordat pot face contestație la secția corespunzătoare a Consiliului Superior al Magistraturii, în termen de 30 de zile de la comunicarea raportului de evaluare a activității profesionale.</w:t>
      </w:r>
    </w:p>
    <w:p w14:paraId="2A8FFC0A" w14:textId="0EAD7BB4" w:rsidR="00D06358" w:rsidRPr="00EE6F09" w:rsidRDefault="00D06358" w:rsidP="00D06358">
      <w:pPr>
        <w:spacing w:line="276" w:lineRule="auto"/>
        <w:ind w:firstLine="720"/>
        <w:jc w:val="both"/>
        <w:rPr>
          <w:rFonts w:ascii="Calibri" w:hAnsi="Calibri" w:cs="Calibri"/>
          <w:bCs/>
          <w:noProof/>
          <w:sz w:val="26"/>
          <w:szCs w:val="26"/>
          <w:shd w:val="clear" w:color="auto" w:fill="FFFFFF"/>
        </w:rPr>
      </w:pPr>
      <w:r w:rsidRPr="00EE6F09">
        <w:rPr>
          <w:rFonts w:ascii="Calibri" w:hAnsi="Calibri" w:cs="Calibri"/>
          <w:bCs/>
          <w:noProof/>
          <w:sz w:val="26"/>
          <w:szCs w:val="26"/>
          <w:shd w:val="clear" w:color="auto" w:fill="FFFFFF"/>
        </w:rPr>
        <w:t>Conform prevederilor art. 40 alin. (4) din Legea nr. 303/2004</w:t>
      </w:r>
      <w:r w:rsidR="00F07065">
        <w:rPr>
          <w:rFonts w:ascii="Calibri" w:hAnsi="Calibri" w:cs="Calibri"/>
          <w:bCs/>
          <w:noProof/>
          <w:sz w:val="26"/>
          <w:szCs w:val="26"/>
          <w:shd w:val="clear" w:color="auto" w:fill="FFFFFF"/>
        </w:rPr>
        <w:t xml:space="preserve"> privind statutul judecătorilor şi procurorilor</w:t>
      </w:r>
      <w:r w:rsidRPr="00EE6F09">
        <w:rPr>
          <w:rFonts w:ascii="Calibri" w:hAnsi="Calibri" w:cs="Calibri"/>
          <w:bCs/>
          <w:noProof/>
          <w:sz w:val="26"/>
          <w:szCs w:val="26"/>
          <w:shd w:val="clear" w:color="auto" w:fill="FFFFFF"/>
        </w:rPr>
        <w:t>, hotărârea secției poate fi atacată cu recurs la Secţia de contencios administrativ şi fiscal a curţii de apel, iar potrivit dispoziţiilor art. 102 alin. (8) din Legea nr. 303/2022 privind statutul judecătorilor și procurorilor, hotărârile secţiilor pot fi atacate la Secţia de contencios administrativ şi fiscal a Înaltei Curţi de Casaţie şi Justiţie.</w:t>
      </w:r>
    </w:p>
    <w:p w14:paraId="4DA7959C" w14:textId="35F01943" w:rsidR="009F106D" w:rsidRPr="004A4885" w:rsidRDefault="00D06358" w:rsidP="004A4885">
      <w:pPr>
        <w:spacing w:line="276" w:lineRule="auto"/>
        <w:ind w:firstLine="720"/>
        <w:jc w:val="both"/>
        <w:rPr>
          <w:rFonts w:ascii="Calibri" w:hAnsi="Calibri" w:cs="Calibri"/>
          <w:bCs/>
          <w:noProof/>
          <w:sz w:val="26"/>
          <w:szCs w:val="26"/>
          <w:shd w:val="clear" w:color="auto" w:fill="FFFFFF"/>
        </w:rPr>
        <w:sectPr w:rsidR="009F106D" w:rsidRPr="004A4885" w:rsidSect="00EC1936">
          <w:footerReference w:type="default" r:id="rId19"/>
          <w:pgSz w:w="11906" w:h="16838" w:code="9"/>
          <w:pgMar w:top="567" w:right="851" w:bottom="567" w:left="851" w:header="567" w:footer="284" w:gutter="0"/>
          <w:cols w:space="708"/>
          <w:docGrid w:linePitch="381"/>
        </w:sectPr>
      </w:pPr>
      <w:r w:rsidRPr="00EE6F09">
        <w:rPr>
          <w:rFonts w:ascii="Calibri" w:hAnsi="Calibri" w:cs="Calibri"/>
          <w:bCs/>
          <w:noProof/>
          <w:sz w:val="26"/>
          <w:szCs w:val="26"/>
          <w:shd w:val="clear" w:color="auto" w:fill="FFFFFF"/>
        </w:rPr>
        <w:t>În anul 2025 au fost formulate 5 contestați</w:t>
      </w:r>
      <w:r w:rsidR="00FD3B8D">
        <w:rPr>
          <w:rFonts w:ascii="Calibri" w:hAnsi="Calibri" w:cs="Calibri"/>
          <w:bCs/>
          <w:noProof/>
          <w:sz w:val="26"/>
          <w:szCs w:val="26"/>
          <w:shd w:val="clear" w:color="auto" w:fill="FFFFFF"/>
        </w:rPr>
        <w:t>i</w:t>
      </w:r>
      <w:r w:rsidRPr="00EE6F09">
        <w:rPr>
          <w:rFonts w:ascii="Calibri" w:hAnsi="Calibri" w:cs="Calibri"/>
          <w:bCs/>
          <w:noProof/>
          <w:sz w:val="26"/>
          <w:szCs w:val="26"/>
          <w:shd w:val="clear" w:color="auto" w:fill="FFFFFF"/>
        </w:rPr>
        <w:t xml:space="preserve"> împotriva calificativului obținut la evaluarea profesională, de către magistrații nemulțumiți de calificativul ori punctajul acordat de membrii comisiei de evaluare, dintre acestea 2 contestații au fost soluționate</w:t>
      </w:r>
      <w:r w:rsidR="00F61FF5">
        <w:rPr>
          <w:rFonts w:ascii="Calibri" w:hAnsi="Calibri" w:cs="Calibri"/>
          <w:bCs/>
          <w:noProof/>
          <w:sz w:val="26"/>
          <w:szCs w:val="26"/>
          <w:shd w:val="clear" w:color="auto" w:fill="FFFFFF"/>
        </w:rPr>
        <w:t>,</w:t>
      </w:r>
      <w:r w:rsidRPr="00EE6F09">
        <w:rPr>
          <w:rFonts w:ascii="Calibri" w:hAnsi="Calibri" w:cs="Calibri"/>
          <w:bCs/>
          <w:noProof/>
          <w:sz w:val="26"/>
          <w:szCs w:val="26"/>
          <w:shd w:val="clear" w:color="auto" w:fill="FFFFFF"/>
        </w:rPr>
        <w:t xml:space="preserve"> iar 3 sunt în curs de soluționare. </w:t>
      </w:r>
    </w:p>
    <w:p w14:paraId="42B66AAF" w14:textId="77777777" w:rsidR="002E1B4C" w:rsidRPr="00E557E3" w:rsidRDefault="006C1588" w:rsidP="009E3AD8">
      <w:pPr>
        <w:pStyle w:val="Heading1"/>
        <w:keepNext w:val="0"/>
        <w:keepLines w:val="0"/>
        <w:suppressLineNumbers/>
        <w:suppressAutoHyphens/>
        <w:ind w:firstLine="0"/>
        <w:rPr>
          <w:rStyle w:val="Heading1Char"/>
          <w:rFonts w:cstheme="minorHAnsi"/>
          <w:b/>
          <w:color w:val="auto"/>
          <w:sz w:val="26"/>
          <w:szCs w:val="26"/>
        </w:rPr>
      </w:pPr>
      <w:bookmarkStart w:id="106" w:name="_Toc219287961"/>
      <w:r w:rsidRPr="00E557E3">
        <w:rPr>
          <w:rStyle w:val="Heading1Char"/>
          <w:rFonts w:cstheme="minorHAnsi"/>
          <w:b/>
          <w:color w:val="auto"/>
          <w:sz w:val="26"/>
          <w:szCs w:val="26"/>
        </w:rPr>
        <w:lastRenderedPageBreak/>
        <w:t>CAPITOLUL III</w:t>
      </w:r>
      <w:bookmarkEnd w:id="105"/>
      <w:bookmarkEnd w:id="106"/>
    </w:p>
    <w:p w14:paraId="4FEA452C" w14:textId="761C9CC0" w:rsidR="006C1588" w:rsidRPr="002D2047" w:rsidRDefault="006C1588" w:rsidP="009E3AD8">
      <w:pPr>
        <w:pStyle w:val="Heading1"/>
        <w:keepNext w:val="0"/>
        <w:keepLines w:val="0"/>
        <w:suppressLineNumbers/>
        <w:suppressAutoHyphens/>
        <w:ind w:firstLine="0"/>
        <w:rPr>
          <w:rFonts w:cstheme="minorHAnsi"/>
          <w:color w:val="auto"/>
          <w:sz w:val="26"/>
          <w:szCs w:val="26"/>
        </w:rPr>
      </w:pPr>
      <w:bookmarkStart w:id="107" w:name="_Toc219287962"/>
      <w:r w:rsidRPr="002D2047">
        <w:rPr>
          <w:sz w:val="26"/>
          <w:szCs w:val="26"/>
        </w:rPr>
        <w:t>Activităţi derulate în legătură cu atribuţiile în materie legislativă ale</w:t>
      </w:r>
      <w:r w:rsidRPr="002D2047">
        <w:rPr>
          <w:rFonts w:cstheme="minorHAnsi"/>
          <w:color w:val="auto"/>
          <w:sz w:val="26"/>
          <w:szCs w:val="26"/>
        </w:rPr>
        <w:t xml:space="preserve"> Consiliului Superior al Magistraturii</w:t>
      </w:r>
      <w:bookmarkEnd w:id="107"/>
    </w:p>
    <w:p w14:paraId="696C95A1" w14:textId="5738932D" w:rsidR="006C1588" w:rsidRPr="00E557E3" w:rsidRDefault="006C1588" w:rsidP="009E3AD8">
      <w:pPr>
        <w:pStyle w:val="Heading2"/>
        <w:keepNext w:val="0"/>
        <w:keepLines w:val="0"/>
        <w:suppressLineNumbers/>
        <w:suppressAutoHyphens/>
        <w:rPr>
          <w:rFonts w:cstheme="minorHAnsi"/>
          <w:b w:val="0"/>
          <w:color w:val="auto"/>
          <w:lang w:val="ro-RO"/>
        </w:rPr>
      </w:pPr>
      <w:bookmarkStart w:id="108" w:name="_Toc430867118"/>
      <w:bookmarkStart w:id="109" w:name="_Toc219287963"/>
      <w:r w:rsidRPr="00E557E3">
        <w:rPr>
          <w:rFonts w:cstheme="minorHAnsi"/>
          <w:color w:val="auto"/>
          <w:lang w:val="ro-RO"/>
        </w:rPr>
        <w:t>III.1.</w:t>
      </w:r>
      <w:r w:rsidR="00143852" w:rsidRPr="00E557E3">
        <w:rPr>
          <w:rFonts w:cstheme="minorHAnsi"/>
          <w:color w:val="auto"/>
          <w:lang w:val="ro-RO"/>
        </w:rPr>
        <w:t xml:space="preserve"> </w:t>
      </w:r>
      <w:r w:rsidRPr="00E557E3">
        <w:rPr>
          <w:rFonts w:cstheme="minorHAnsi"/>
          <w:color w:val="auto"/>
          <w:lang w:val="ro-RO"/>
        </w:rPr>
        <w:t>Avizarea unor proiecte de acte normative</w:t>
      </w:r>
      <w:bookmarkEnd w:id="108"/>
      <w:bookmarkEnd w:id="109"/>
      <w:r w:rsidRPr="00E557E3">
        <w:rPr>
          <w:rFonts w:cstheme="minorHAnsi"/>
          <w:color w:val="auto"/>
          <w:lang w:val="ro-RO"/>
        </w:rPr>
        <w:t xml:space="preserve"> </w:t>
      </w:r>
    </w:p>
    <w:p w14:paraId="7842FC13" w14:textId="77777777" w:rsidR="00E557E3" w:rsidRPr="00E557E3" w:rsidRDefault="00E557E3" w:rsidP="009E3AD8">
      <w:pPr>
        <w:keepNext/>
        <w:keepLines/>
        <w:spacing w:line="276" w:lineRule="auto"/>
        <w:ind w:firstLine="708"/>
        <w:jc w:val="both"/>
        <w:rPr>
          <w:rFonts w:asciiTheme="minorHAnsi" w:hAnsiTheme="minorHAnsi" w:cstheme="minorHAnsi"/>
          <w:sz w:val="26"/>
          <w:szCs w:val="26"/>
        </w:rPr>
      </w:pPr>
      <w:r w:rsidRPr="00E557E3">
        <w:rPr>
          <w:rFonts w:asciiTheme="minorHAnsi" w:hAnsiTheme="minorHAnsi" w:cstheme="minorHAnsi"/>
          <w:sz w:val="26"/>
          <w:szCs w:val="26"/>
        </w:rPr>
        <w:t>În anul 2025, în exercitarea atribuțiilor conferite de art. 39 alin. (3) și (4) din Legea nr. 305/2022, Consiliului Superior al Magistraturii i-au fost înaintate spre avizare proiectele mai multor acte normative care privesc activitatea autorității judecătorești.</w:t>
      </w:r>
    </w:p>
    <w:p w14:paraId="3CCD505A" w14:textId="1386CB9B" w:rsidR="00E557E3" w:rsidRDefault="00E557E3" w:rsidP="00FD3B8D">
      <w:pPr>
        <w:keepNext/>
        <w:keepLines/>
        <w:spacing w:line="276" w:lineRule="auto"/>
        <w:ind w:firstLine="708"/>
        <w:jc w:val="both"/>
        <w:rPr>
          <w:rFonts w:asciiTheme="minorHAnsi" w:hAnsiTheme="minorHAnsi" w:cstheme="minorHAnsi"/>
          <w:bCs/>
          <w:color w:val="000000" w:themeColor="text1"/>
          <w:sz w:val="26"/>
          <w:szCs w:val="26"/>
        </w:rPr>
      </w:pPr>
      <w:r w:rsidRPr="00E557E3">
        <w:rPr>
          <w:rFonts w:asciiTheme="minorHAnsi" w:hAnsiTheme="minorHAnsi" w:cstheme="minorHAnsi"/>
          <w:sz w:val="26"/>
          <w:szCs w:val="26"/>
        </w:rPr>
        <w:t xml:space="preserve">Dintre acestea, au fost </w:t>
      </w:r>
      <w:r w:rsidRPr="00955D41">
        <w:rPr>
          <w:rFonts w:asciiTheme="minorHAnsi" w:hAnsiTheme="minorHAnsi" w:cstheme="minorHAnsi"/>
          <w:bCs/>
          <w:sz w:val="26"/>
          <w:szCs w:val="26"/>
        </w:rPr>
        <w:t>avizate favorabil</w:t>
      </w:r>
      <w:bookmarkStart w:id="110" w:name="_Hlk193099595"/>
      <w:r w:rsidR="00FD3B8D">
        <w:rPr>
          <w:rFonts w:asciiTheme="minorHAnsi" w:hAnsiTheme="minorHAnsi" w:cstheme="minorHAnsi"/>
          <w:bCs/>
          <w:sz w:val="26"/>
          <w:szCs w:val="26"/>
        </w:rPr>
        <w:t>,</w:t>
      </w:r>
      <w:r w:rsidRPr="00E557E3">
        <w:rPr>
          <w:rFonts w:asciiTheme="minorHAnsi" w:hAnsiTheme="minorHAnsi" w:cstheme="minorHAnsi"/>
          <w:sz w:val="26"/>
          <w:szCs w:val="26"/>
        </w:rPr>
        <w:t xml:space="preserve"> </w:t>
      </w:r>
      <w:r w:rsidR="00FD3B8D" w:rsidRPr="00E557E3">
        <w:rPr>
          <w:rFonts w:asciiTheme="minorHAnsi" w:hAnsiTheme="minorHAnsi" w:cstheme="minorHAnsi"/>
          <w:color w:val="000000" w:themeColor="text1"/>
          <w:sz w:val="26"/>
          <w:szCs w:val="26"/>
        </w:rPr>
        <w:t>prin</w:t>
      </w:r>
      <w:r w:rsidR="00FD3B8D" w:rsidRPr="00E557E3">
        <w:rPr>
          <w:rFonts w:asciiTheme="minorHAnsi" w:hAnsiTheme="minorHAnsi" w:cstheme="minorHAnsi"/>
          <w:b/>
          <w:color w:val="000000" w:themeColor="text1"/>
          <w:sz w:val="26"/>
          <w:szCs w:val="26"/>
        </w:rPr>
        <w:t xml:space="preserve"> </w:t>
      </w:r>
      <w:r w:rsidR="00FD3B8D" w:rsidRPr="00955D41">
        <w:rPr>
          <w:rFonts w:asciiTheme="minorHAnsi" w:hAnsiTheme="minorHAnsi" w:cstheme="minorHAnsi"/>
          <w:bCs/>
          <w:color w:val="000000" w:themeColor="text1"/>
          <w:sz w:val="26"/>
          <w:szCs w:val="26"/>
        </w:rPr>
        <w:t>Hotărârea Plenului C</w:t>
      </w:r>
      <w:r w:rsidR="00FD3B8D">
        <w:rPr>
          <w:rFonts w:asciiTheme="minorHAnsi" w:hAnsiTheme="minorHAnsi" w:cstheme="minorHAnsi"/>
          <w:bCs/>
          <w:color w:val="000000" w:themeColor="text1"/>
          <w:sz w:val="26"/>
          <w:szCs w:val="26"/>
        </w:rPr>
        <w:t xml:space="preserve">.S.M. </w:t>
      </w:r>
      <w:r w:rsidR="00FD3B8D" w:rsidRPr="00955D41">
        <w:rPr>
          <w:rFonts w:asciiTheme="minorHAnsi" w:hAnsiTheme="minorHAnsi" w:cstheme="minorHAnsi"/>
          <w:bCs/>
          <w:color w:val="000000" w:themeColor="text1"/>
          <w:sz w:val="26"/>
          <w:szCs w:val="26"/>
        </w:rPr>
        <w:t>nr. 37/12.03.2025</w:t>
      </w:r>
      <w:r w:rsidR="00FD3B8D">
        <w:rPr>
          <w:rFonts w:asciiTheme="minorHAnsi" w:hAnsiTheme="minorHAnsi" w:cstheme="minorHAnsi"/>
          <w:bCs/>
          <w:color w:val="000000" w:themeColor="text1"/>
          <w:sz w:val="26"/>
          <w:szCs w:val="26"/>
        </w:rPr>
        <w:t xml:space="preserve">, </w:t>
      </w:r>
      <w:r w:rsidRPr="00E557E3">
        <w:rPr>
          <w:rFonts w:asciiTheme="minorHAnsi" w:hAnsiTheme="minorHAnsi" w:cstheme="minorHAnsi"/>
          <w:color w:val="000000" w:themeColor="text1"/>
          <w:sz w:val="26"/>
          <w:szCs w:val="26"/>
        </w:rPr>
        <w:t>Proiectul de ordin al ministrului justiţiei pentru aprobarea modelului cererilor pentru acordarea asistenţei juridice gratuite şi a sumei necesare punerii în executare a hotărârii judecătoreşti prin care au fost acordate despăgubiri civile victimei infracţiunilor prevăzute în Legea nr. 211/2004 privind unele măsuri pentru asigurarea informării, sprijinirii şi protecţiei victimelor infracţiunilor</w:t>
      </w:r>
      <w:bookmarkEnd w:id="110"/>
      <w:r w:rsidRPr="00E557E3">
        <w:rPr>
          <w:rFonts w:asciiTheme="minorHAnsi" w:hAnsiTheme="minorHAnsi" w:cstheme="minorHAnsi"/>
          <w:color w:val="000000" w:themeColor="text1"/>
          <w:sz w:val="26"/>
          <w:szCs w:val="26"/>
        </w:rPr>
        <w:t xml:space="preserve"> și </w:t>
      </w:r>
      <w:bookmarkStart w:id="111" w:name="_Hlk193099658"/>
      <w:r w:rsidRPr="00E557E3">
        <w:rPr>
          <w:rFonts w:asciiTheme="minorHAnsi" w:hAnsiTheme="minorHAnsi" w:cstheme="minorHAnsi"/>
          <w:color w:val="000000" w:themeColor="text1"/>
          <w:sz w:val="26"/>
          <w:szCs w:val="26"/>
        </w:rPr>
        <w:t>Proiectul de ordin al ministrului justiţiei pentru aprobarea modelului cererilor pentru acordarea compensaţiei financiare şi a avansului din aceasta victimelor infracţiunilor prevăzute în Legea nr. 211/2004 privind unele măsuri pentru asigurarea informării, sprijinirii şi protecţiei victimelor infracţiunilor</w:t>
      </w:r>
      <w:bookmarkEnd w:id="111"/>
      <w:r w:rsidRPr="00955D41">
        <w:rPr>
          <w:rFonts w:asciiTheme="minorHAnsi" w:hAnsiTheme="minorHAnsi" w:cstheme="minorHAnsi"/>
          <w:bCs/>
          <w:color w:val="000000" w:themeColor="text1"/>
          <w:sz w:val="26"/>
          <w:szCs w:val="26"/>
        </w:rPr>
        <w:t>.</w:t>
      </w:r>
    </w:p>
    <w:p w14:paraId="555D2E6F" w14:textId="77777777" w:rsidR="00887C06" w:rsidRPr="00255A74" w:rsidRDefault="00887C06" w:rsidP="00887C06">
      <w:pPr>
        <w:keepNext/>
        <w:keepLines/>
        <w:spacing w:line="276" w:lineRule="auto"/>
        <w:ind w:firstLine="708"/>
        <w:jc w:val="both"/>
        <w:rPr>
          <w:rFonts w:asciiTheme="minorHAnsi" w:hAnsiTheme="minorHAnsi" w:cstheme="minorHAnsi"/>
          <w:bCs/>
          <w:sz w:val="26"/>
          <w:szCs w:val="26"/>
        </w:rPr>
      </w:pPr>
      <w:r w:rsidRPr="00255A74">
        <w:rPr>
          <w:rFonts w:asciiTheme="minorHAnsi" w:hAnsiTheme="minorHAnsi" w:cstheme="minorHAnsi"/>
          <w:bCs/>
          <w:sz w:val="26"/>
          <w:szCs w:val="26"/>
        </w:rPr>
        <w:t>Proiectul de hotărâre a Guvernului privind stabilirea măsurilor speciale de protecţie a magistraţilor, condiţiile şi modul de realizare a acestora, precum şi pentru modificarea Hotărârii Guvernului nr. 719/2005 privind paza sediilor instanţelor judecătoreşti, parchetelor şi Consiliului Superior al Magistraturii, a bunurilor şi valorilor aparţinând acestora, supravegherea accesului şi menţinerea ordinii interioare necesare desfăşurării normale a activităţii în aceste sedii, precum şi protecţia magistraţilor a fost avizat favorabil prin Hotărârea Plenului Consiliului Superior al Magistraturii nr. 147 din 06 noiembrie 2025.</w:t>
      </w:r>
    </w:p>
    <w:p w14:paraId="353DBC85" w14:textId="72CB3229" w:rsidR="00405365" w:rsidRPr="00255A74" w:rsidRDefault="00887C06" w:rsidP="00887C06">
      <w:pPr>
        <w:keepNext/>
        <w:keepLines/>
        <w:spacing w:line="276" w:lineRule="auto"/>
        <w:ind w:firstLine="708"/>
        <w:jc w:val="both"/>
        <w:rPr>
          <w:rFonts w:asciiTheme="minorHAnsi" w:hAnsiTheme="minorHAnsi" w:cstheme="minorHAnsi"/>
          <w:bCs/>
          <w:sz w:val="26"/>
          <w:szCs w:val="26"/>
        </w:rPr>
      </w:pPr>
      <w:r w:rsidRPr="00255A74">
        <w:rPr>
          <w:rFonts w:asciiTheme="minorHAnsi" w:hAnsiTheme="minorHAnsi" w:cstheme="minorHAnsi"/>
          <w:bCs/>
          <w:sz w:val="26"/>
          <w:szCs w:val="26"/>
        </w:rPr>
        <w:t>Proiectul de Hotărâre a Guvernului privind stabilirea ținutei vestimentare a judecătorilor, a magistraților-asistenți și a grefierilor de la Înalta Curte de Casație și Justiție în ședințele de judecată a fost avizat favorabil Hotărârea Plenului Consiliului Superior al Magistraturii nr. 150 din 13 noiembrie 2025.</w:t>
      </w:r>
    </w:p>
    <w:p w14:paraId="5AB80A19" w14:textId="0AE9956A" w:rsidR="00E557E3" w:rsidRDefault="00E557E3" w:rsidP="00955D41">
      <w:pPr>
        <w:keepNext/>
        <w:keepLines/>
        <w:spacing w:line="276" w:lineRule="auto"/>
        <w:ind w:firstLine="708"/>
        <w:jc w:val="both"/>
        <w:rPr>
          <w:rFonts w:asciiTheme="minorHAnsi" w:hAnsiTheme="minorHAnsi" w:cstheme="minorHAnsi"/>
          <w:bCs/>
          <w:color w:val="000000" w:themeColor="text1"/>
          <w:sz w:val="26"/>
          <w:szCs w:val="26"/>
        </w:rPr>
      </w:pPr>
      <w:r w:rsidRPr="00955D41">
        <w:rPr>
          <w:rFonts w:asciiTheme="minorHAnsi" w:hAnsiTheme="minorHAnsi" w:cstheme="minorHAnsi"/>
          <w:bCs/>
          <w:color w:val="000000" w:themeColor="text1"/>
          <w:sz w:val="26"/>
          <w:szCs w:val="26"/>
        </w:rPr>
        <w:t>Propunerea legislativă pentru modificarea şi completarea Legii nr. 303/2022 privind statutul judecătorilor şi procurorilor a fost avizată negativ prin Hotărârea Plenului C</w:t>
      </w:r>
      <w:r w:rsidR="00FD3B8D">
        <w:rPr>
          <w:rFonts w:asciiTheme="minorHAnsi" w:hAnsiTheme="minorHAnsi" w:cstheme="minorHAnsi"/>
          <w:bCs/>
          <w:color w:val="000000" w:themeColor="text1"/>
          <w:sz w:val="26"/>
          <w:szCs w:val="26"/>
        </w:rPr>
        <w:t xml:space="preserve">.S.M. </w:t>
      </w:r>
      <w:r w:rsidRPr="00955D41">
        <w:rPr>
          <w:rFonts w:asciiTheme="minorHAnsi" w:hAnsiTheme="minorHAnsi" w:cstheme="minorHAnsi"/>
          <w:bCs/>
          <w:color w:val="000000" w:themeColor="text1"/>
          <w:sz w:val="26"/>
          <w:szCs w:val="26"/>
        </w:rPr>
        <w:t>nr. 87</w:t>
      </w:r>
      <w:r w:rsidR="00493804" w:rsidRPr="00955D41">
        <w:rPr>
          <w:rFonts w:asciiTheme="minorHAnsi" w:hAnsiTheme="minorHAnsi" w:cstheme="minorHAnsi"/>
          <w:bCs/>
          <w:color w:val="000000" w:themeColor="text1"/>
          <w:sz w:val="26"/>
          <w:szCs w:val="26"/>
        </w:rPr>
        <w:t>/</w:t>
      </w:r>
      <w:r w:rsidRPr="00955D41">
        <w:rPr>
          <w:rFonts w:asciiTheme="minorHAnsi" w:hAnsiTheme="minorHAnsi" w:cstheme="minorHAnsi"/>
          <w:bCs/>
          <w:color w:val="000000" w:themeColor="text1"/>
          <w:sz w:val="26"/>
          <w:szCs w:val="26"/>
        </w:rPr>
        <w:t>17</w:t>
      </w:r>
      <w:r w:rsidR="00493804" w:rsidRPr="00955D41">
        <w:rPr>
          <w:rFonts w:asciiTheme="minorHAnsi" w:hAnsiTheme="minorHAnsi" w:cstheme="minorHAnsi"/>
          <w:bCs/>
          <w:color w:val="000000" w:themeColor="text1"/>
          <w:sz w:val="26"/>
          <w:szCs w:val="26"/>
        </w:rPr>
        <w:t>.06.</w:t>
      </w:r>
      <w:r w:rsidRPr="00955D41">
        <w:rPr>
          <w:rFonts w:asciiTheme="minorHAnsi" w:hAnsiTheme="minorHAnsi" w:cstheme="minorHAnsi"/>
          <w:bCs/>
          <w:color w:val="000000" w:themeColor="text1"/>
          <w:sz w:val="26"/>
          <w:szCs w:val="26"/>
        </w:rPr>
        <w:t>2025</w:t>
      </w:r>
      <w:r w:rsidR="00955D41">
        <w:rPr>
          <w:rFonts w:asciiTheme="minorHAnsi" w:hAnsiTheme="minorHAnsi" w:cstheme="minorHAnsi"/>
          <w:bCs/>
          <w:color w:val="000000" w:themeColor="text1"/>
          <w:sz w:val="26"/>
          <w:szCs w:val="26"/>
        </w:rPr>
        <w:t xml:space="preserve">, iar </w:t>
      </w:r>
      <w:r w:rsidRPr="00955D41">
        <w:rPr>
          <w:rFonts w:asciiTheme="minorHAnsi" w:hAnsiTheme="minorHAnsi" w:cstheme="minorHAnsi"/>
          <w:bCs/>
          <w:color w:val="000000" w:themeColor="text1"/>
          <w:sz w:val="26"/>
          <w:szCs w:val="26"/>
        </w:rPr>
        <w:t>Propunerea legislativă pentru modificarea art. 142 alin. (1) din Legea nr. 303/2022 privind statutul judecătorilor şi procurorilor a fost avizată negativ prin Hotărârea Plenului C</w:t>
      </w:r>
      <w:r w:rsidR="00FD3B8D">
        <w:rPr>
          <w:rFonts w:asciiTheme="minorHAnsi" w:hAnsiTheme="minorHAnsi" w:cstheme="minorHAnsi"/>
          <w:bCs/>
          <w:color w:val="000000" w:themeColor="text1"/>
          <w:sz w:val="26"/>
          <w:szCs w:val="26"/>
        </w:rPr>
        <w:t>.S.M.</w:t>
      </w:r>
      <w:r w:rsidR="000F05F2">
        <w:rPr>
          <w:rFonts w:asciiTheme="minorHAnsi" w:hAnsiTheme="minorHAnsi" w:cstheme="minorHAnsi"/>
          <w:bCs/>
          <w:color w:val="000000" w:themeColor="text1"/>
          <w:sz w:val="26"/>
          <w:szCs w:val="26"/>
        </w:rPr>
        <w:t xml:space="preserve"> </w:t>
      </w:r>
      <w:r w:rsidRPr="00955D41">
        <w:rPr>
          <w:rFonts w:asciiTheme="minorHAnsi" w:hAnsiTheme="minorHAnsi" w:cstheme="minorHAnsi"/>
          <w:bCs/>
          <w:color w:val="000000" w:themeColor="text1"/>
          <w:sz w:val="26"/>
          <w:szCs w:val="26"/>
        </w:rPr>
        <w:t>nr. 88</w:t>
      </w:r>
      <w:r w:rsidR="00493804" w:rsidRPr="00955D41">
        <w:rPr>
          <w:rFonts w:asciiTheme="minorHAnsi" w:hAnsiTheme="minorHAnsi" w:cstheme="minorHAnsi"/>
          <w:bCs/>
          <w:color w:val="000000" w:themeColor="text1"/>
          <w:sz w:val="26"/>
          <w:szCs w:val="26"/>
        </w:rPr>
        <w:t>/</w:t>
      </w:r>
      <w:r w:rsidRPr="00955D41">
        <w:rPr>
          <w:rFonts w:asciiTheme="minorHAnsi" w:hAnsiTheme="minorHAnsi" w:cstheme="minorHAnsi"/>
          <w:bCs/>
          <w:color w:val="000000" w:themeColor="text1"/>
          <w:sz w:val="26"/>
          <w:szCs w:val="26"/>
        </w:rPr>
        <w:t>17</w:t>
      </w:r>
      <w:r w:rsidR="00493804" w:rsidRPr="00955D41">
        <w:rPr>
          <w:rFonts w:asciiTheme="minorHAnsi" w:hAnsiTheme="minorHAnsi" w:cstheme="minorHAnsi"/>
          <w:bCs/>
          <w:color w:val="000000" w:themeColor="text1"/>
          <w:sz w:val="26"/>
          <w:szCs w:val="26"/>
        </w:rPr>
        <w:t>.06.</w:t>
      </w:r>
      <w:r w:rsidRPr="00955D41">
        <w:rPr>
          <w:rFonts w:asciiTheme="minorHAnsi" w:hAnsiTheme="minorHAnsi" w:cstheme="minorHAnsi"/>
          <w:bCs/>
          <w:color w:val="000000" w:themeColor="text1"/>
          <w:sz w:val="26"/>
          <w:szCs w:val="26"/>
        </w:rPr>
        <w:t>2025.</w:t>
      </w:r>
    </w:p>
    <w:p w14:paraId="3E15BEDA" w14:textId="0895BCE4" w:rsidR="004E7188" w:rsidRPr="00255A74" w:rsidRDefault="004E7188" w:rsidP="00955D41">
      <w:pPr>
        <w:keepNext/>
        <w:keepLines/>
        <w:spacing w:line="276" w:lineRule="auto"/>
        <w:ind w:firstLine="708"/>
        <w:jc w:val="both"/>
        <w:rPr>
          <w:rFonts w:asciiTheme="minorHAnsi" w:hAnsiTheme="minorHAnsi" w:cstheme="minorHAnsi"/>
          <w:bCs/>
          <w:sz w:val="26"/>
          <w:szCs w:val="26"/>
        </w:rPr>
      </w:pPr>
      <w:r w:rsidRPr="00255A74">
        <w:rPr>
          <w:rFonts w:asciiTheme="minorHAnsi" w:hAnsiTheme="minorHAnsi" w:cstheme="minorHAnsi"/>
          <w:bCs/>
          <w:sz w:val="26"/>
          <w:szCs w:val="26"/>
        </w:rPr>
        <w:t>Proiectul de Lege pentru modificarea şi completarea Ordonanţei de urgenţă a Guvernului nr. 57/2019 privind Codul administrativ, cu modificările şi completările ulterioare şi unele măsuri aplicabile personalului contractual plătit din fonduri publice a fost avizat negativ prin Hotărârea Plenului Consiliului Superior al Magistraturii nr. 159 din 27 noiembrie 2025.</w:t>
      </w:r>
    </w:p>
    <w:p w14:paraId="65B55801" w14:textId="28E45B0F" w:rsidR="000363DB" w:rsidRPr="00E557E3" w:rsidRDefault="006C1588" w:rsidP="009E3AD8">
      <w:pPr>
        <w:pStyle w:val="Heading2"/>
        <w:keepLines w:val="0"/>
        <w:suppressLineNumbers/>
        <w:suppressAutoHyphens/>
        <w:rPr>
          <w:rFonts w:cstheme="minorHAnsi"/>
          <w:color w:val="auto"/>
          <w:lang w:val="ro-RO"/>
        </w:rPr>
      </w:pPr>
      <w:bookmarkStart w:id="112" w:name="_Toc430867119"/>
      <w:bookmarkStart w:id="113" w:name="_Toc219287964"/>
      <w:r w:rsidRPr="00E557E3">
        <w:rPr>
          <w:rFonts w:cstheme="minorHAnsi"/>
          <w:color w:val="auto"/>
          <w:lang w:val="ro-RO"/>
        </w:rPr>
        <w:t>III.2.</w:t>
      </w:r>
      <w:r w:rsidR="00143852" w:rsidRPr="00E557E3">
        <w:rPr>
          <w:rFonts w:cstheme="minorHAnsi"/>
          <w:color w:val="auto"/>
          <w:lang w:val="ro-RO"/>
        </w:rPr>
        <w:t xml:space="preserve"> </w:t>
      </w:r>
      <w:r w:rsidRPr="00E557E3">
        <w:rPr>
          <w:rFonts w:cstheme="minorHAnsi"/>
          <w:color w:val="auto"/>
          <w:lang w:val="ro-RO"/>
        </w:rPr>
        <w:t>Elaborarea legislaţiei secundare</w:t>
      </w:r>
      <w:bookmarkEnd w:id="112"/>
      <w:bookmarkEnd w:id="113"/>
      <w:r w:rsidRPr="00E557E3">
        <w:rPr>
          <w:rFonts w:cstheme="minorHAnsi"/>
          <w:color w:val="auto"/>
          <w:lang w:val="ro-RO"/>
        </w:rPr>
        <w:t xml:space="preserve"> </w:t>
      </w:r>
      <w:bookmarkStart w:id="114" w:name="_Toc430867120"/>
    </w:p>
    <w:p w14:paraId="58495004" w14:textId="77777777" w:rsidR="00E557E3" w:rsidRPr="00E557E3" w:rsidRDefault="00E557E3" w:rsidP="009E3AD8">
      <w:pPr>
        <w:spacing w:line="276" w:lineRule="auto"/>
        <w:ind w:firstLine="708"/>
        <w:jc w:val="both"/>
        <w:rPr>
          <w:rFonts w:asciiTheme="minorHAnsi" w:hAnsiTheme="minorHAnsi" w:cstheme="minorHAnsi"/>
          <w:color w:val="000000" w:themeColor="text1"/>
          <w:sz w:val="26"/>
          <w:szCs w:val="26"/>
        </w:rPr>
      </w:pPr>
      <w:r w:rsidRPr="00E557E3">
        <w:rPr>
          <w:rFonts w:asciiTheme="minorHAnsi" w:hAnsiTheme="minorHAnsi" w:cstheme="minorHAnsi"/>
          <w:color w:val="000000" w:themeColor="text1"/>
          <w:sz w:val="26"/>
          <w:szCs w:val="26"/>
        </w:rPr>
        <w:t>În anul 2025, în exercitarea atribuțiilor Consiliului Superior al Magistraturii prevăzute de art. 39 alin. (1) din Legea nr. 305/2022, au fost modificate regulamente ce intră în competența de reglementare a Consiliului.</w:t>
      </w:r>
    </w:p>
    <w:p w14:paraId="0F8F94AE" w14:textId="77777777" w:rsidR="00E557E3" w:rsidRPr="00E557E3" w:rsidRDefault="00E557E3" w:rsidP="009E3AD8">
      <w:pPr>
        <w:spacing w:line="276" w:lineRule="auto"/>
        <w:ind w:firstLine="708"/>
        <w:jc w:val="both"/>
        <w:rPr>
          <w:rFonts w:asciiTheme="minorHAnsi" w:hAnsiTheme="minorHAnsi" w:cstheme="minorHAnsi"/>
          <w:color w:val="000000" w:themeColor="text1"/>
          <w:sz w:val="26"/>
          <w:szCs w:val="26"/>
        </w:rPr>
      </w:pPr>
      <w:r w:rsidRPr="00E557E3">
        <w:rPr>
          <w:rFonts w:asciiTheme="minorHAnsi" w:hAnsiTheme="minorHAnsi" w:cstheme="minorHAnsi"/>
          <w:color w:val="000000" w:themeColor="text1"/>
          <w:sz w:val="26"/>
          <w:szCs w:val="26"/>
        </w:rPr>
        <w:lastRenderedPageBreak/>
        <w:t>Dintre hotărârile adoptate de Plenul Consiliului Superior al Magistraturii</w:t>
      </w:r>
      <w:r w:rsidRPr="00E557E3">
        <w:rPr>
          <w:rFonts w:asciiTheme="minorHAnsi" w:hAnsiTheme="minorHAnsi" w:cstheme="minorHAnsi"/>
          <w:b/>
          <w:color w:val="000000" w:themeColor="text1"/>
          <w:sz w:val="26"/>
          <w:szCs w:val="26"/>
        </w:rPr>
        <w:t>,</w:t>
      </w:r>
      <w:r w:rsidRPr="00E557E3">
        <w:rPr>
          <w:rFonts w:asciiTheme="minorHAnsi" w:hAnsiTheme="minorHAnsi" w:cstheme="minorHAnsi"/>
          <w:color w:val="000000" w:themeColor="text1"/>
          <w:sz w:val="26"/>
          <w:szCs w:val="26"/>
        </w:rPr>
        <w:t xml:space="preserve"> menționăm următoarele:</w:t>
      </w:r>
    </w:p>
    <w:p w14:paraId="124787EB" w14:textId="0F56BCE2" w:rsidR="00E557E3" w:rsidRPr="00955D41" w:rsidRDefault="00E557E3" w:rsidP="00281400">
      <w:pPr>
        <w:pStyle w:val="ListParagraph"/>
        <w:numPr>
          <w:ilvl w:val="0"/>
          <w:numId w:val="20"/>
        </w:numPr>
        <w:tabs>
          <w:tab w:val="left" w:pos="993"/>
        </w:tabs>
        <w:spacing w:line="276" w:lineRule="auto"/>
        <w:ind w:left="0" w:firstLine="709"/>
        <w:jc w:val="both"/>
        <w:rPr>
          <w:rFonts w:asciiTheme="minorHAnsi" w:hAnsiTheme="minorHAnsi" w:cstheme="minorHAnsi"/>
          <w:bCs/>
          <w:color w:val="000000" w:themeColor="text1"/>
          <w:sz w:val="26"/>
          <w:szCs w:val="26"/>
        </w:rPr>
      </w:pPr>
      <w:r w:rsidRPr="00955D41">
        <w:rPr>
          <w:rFonts w:asciiTheme="minorHAnsi" w:hAnsiTheme="minorHAnsi" w:cstheme="minorHAnsi"/>
          <w:bCs/>
          <w:color w:val="000000" w:themeColor="text1"/>
          <w:sz w:val="26"/>
          <w:szCs w:val="26"/>
        </w:rPr>
        <w:t>Hotărârea Plenului nr. 13</w:t>
      </w:r>
      <w:r w:rsidR="00A90345" w:rsidRPr="00955D41">
        <w:rPr>
          <w:rFonts w:asciiTheme="minorHAnsi" w:hAnsiTheme="minorHAnsi" w:cstheme="minorHAnsi"/>
          <w:bCs/>
          <w:color w:val="000000" w:themeColor="text1"/>
          <w:sz w:val="26"/>
          <w:szCs w:val="26"/>
        </w:rPr>
        <w:t>/</w:t>
      </w:r>
      <w:r w:rsidRPr="00955D41">
        <w:rPr>
          <w:rFonts w:asciiTheme="minorHAnsi" w:hAnsiTheme="minorHAnsi" w:cstheme="minorHAnsi"/>
          <w:bCs/>
          <w:color w:val="000000" w:themeColor="text1"/>
          <w:sz w:val="26"/>
          <w:szCs w:val="26"/>
        </w:rPr>
        <w:t>18</w:t>
      </w:r>
      <w:r w:rsidR="00A90345" w:rsidRPr="00955D41">
        <w:rPr>
          <w:rFonts w:asciiTheme="minorHAnsi" w:hAnsiTheme="minorHAnsi" w:cstheme="minorHAnsi"/>
          <w:bCs/>
          <w:color w:val="000000" w:themeColor="text1"/>
          <w:sz w:val="26"/>
          <w:szCs w:val="26"/>
        </w:rPr>
        <w:t>.02.</w:t>
      </w:r>
      <w:r w:rsidRPr="00955D41">
        <w:rPr>
          <w:rFonts w:asciiTheme="minorHAnsi" w:hAnsiTheme="minorHAnsi" w:cstheme="minorHAnsi"/>
          <w:bCs/>
          <w:color w:val="000000" w:themeColor="text1"/>
          <w:sz w:val="26"/>
          <w:szCs w:val="26"/>
        </w:rPr>
        <w:t>2025 pentru modificarea şi completarea Regulamentului privind concursul de admitere în magistratură, aprobat prin Hotărârea Plenului C</w:t>
      </w:r>
      <w:r w:rsidR="000F05F2">
        <w:rPr>
          <w:rFonts w:asciiTheme="minorHAnsi" w:hAnsiTheme="minorHAnsi" w:cstheme="minorHAnsi"/>
          <w:bCs/>
          <w:color w:val="000000" w:themeColor="text1"/>
          <w:sz w:val="26"/>
          <w:szCs w:val="26"/>
        </w:rPr>
        <w:t xml:space="preserve">.S.M. </w:t>
      </w:r>
      <w:r w:rsidRPr="00955D41">
        <w:rPr>
          <w:rFonts w:asciiTheme="minorHAnsi" w:hAnsiTheme="minorHAnsi" w:cstheme="minorHAnsi"/>
          <w:bCs/>
          <w:color w:val="000000" w:themeColor="text1"/>
          <w:sz w:val="26"/>
          <w:szCs w:val="26"/>
        </w:rPr>
        <w:t>nr. 115/2023;</w:t>
      </w:r>
    </w:p>
    <w:p w14:paraId="5D35F865" w14:textId="4CD75488" w:rsidR="00E557E3" w:rsidRPr="00955D41" w:rsidRDefault="00E557E3" w:rsidP="00281400">
      <w:pPr>
        <w:pStyle w:val="ListParagraph"/>
        <w:numPr>
          <w:ilvl w:val="0"/>
          <w:numId w:val="20"/>
        </w:numPr>
        <w:tabs>
          <w:tab w:val="left" w:pos="993"/>
        </w:tabs>
        <w:spacing w:line="276" w:lineRule="auto"/>
        <w:ind w:left="0" w:firstLine="709"/>
        <w:jc w:val="both"/>
        <w:rPr>
          <w:rFonts w:asciiTheme="minorHAnsi" w:hAnsiTheme="minorHAnsi" w:cstheme="minorHAnsi"/>
          <w:bCs/>
          <w:color w:val="000000" w:themeColor="text1"/>
          <w:sz w:val="26"/>
          <w:szCs w:val="26"/>
        </w:rPr>
      </w:pPr>
      <w:r w:rsidRPr="00955D41">
        <w:rPr>
          <w:rFonts w:asciiTheme="minorHAnsi" w:hAnsiTheme="minorHAnsi" w:cstheme="minorHAnsi"/>
          <w:bCs/>
          <w:color w:val="000000" w:themeColor="text1"/>
          <w:sz w:val="26"/>
          <w:szCs w:val="26"/>
        </w:rPr>
        <w:t>Hotărârea Plenului nr. 58</w:t>
      </w:r>
      <w:r w:rsidR="00A90345" w:rsidRPr="00955D41">
        <w:rPr>
          <w:rFonts w:asciiTheme="minorHAnsi" w:hAnsiTheme="minorHAnsi" w:cstheme="minorHAnsi"/>
          <w:bCs/>
          <w:color w:val="000000" w:themeColor="text1"/>
          <w:sz w:val="26"/>
          <w:szCs w:val="26"/>
        </w:rPr>
        <w:t>/</w:t>
      </w:r>
      <w:r w:rsidRPr="00955D41">
        <w:rPr>
          <w:rFonts w:asciiTheme="minorHAnsi" w:hAnsiTheme="minorHAnsi" w:cstheme="minorHAnsi"/>
          <w:bCs/>
          <w:color w:val="000000" w:themeColor="text1"/>
          <w:sz w:val="26"/>
          <w:szCs w:val="26"/>
        </w:rPr>
        <w:t>15</w:t>
      </w:r>
      <w:r w:rsidR="00A90345" w:rsidRPr="00955D41">
        <w:rPr>
          <w:rFonts w:asciiTheme="minorHAnsi" w:hAnsiTheme="minorHAnsi" w:cstheme="minorHAnsi"/>
          <w:bCs/>
          <w:color w:val="000000" w:themeColor="text1"/>
          <w:sz w:val="26"/>
          <w:szCs w:val="26"/>
        </w:rPr>
        <w:t>.04.</w:t>
      </w:r>
      <w:r w:rsidRPr="00955D41">
        <w:rPr>
          <w:rFonts w:asciiTheme="minorHAnsi" w:hAnsiTheme="minorHAnsi" w:cstheme="minorHAnsi"/>
          <w:bCs/>
          <w:color w:val="000000" w:themeColor="text1"/>
          <w:sz w:val="26"/>
          <w:szCs w:val="26"/>
        </w:rPr>
        <w:t xml:space="preserve">2025 pentru modificarea şi completarea Regulamentului Institutului Naţional al Magistraturii, aprobat prin Hotărârea Plenului </w:t>
      </w:r>
      <w:r w:rsidR="000F05F2" w:rsidRPr="00955D41">
        <w:rPr>
          <w:rFonts w:asciiTheme="minorHAnsi" w:hAnsiTheme="minorHAnsi" w:cstheme="minorHAnsi"/>
          <w:bCs/>
          <w:color w:val="000000" w:themeColor="text1"/>
          <w:sz w:val="26"/>
          <w:szCs w:val="26"/>
        </w:rPr>
        <w:t>C</w:t>
      </w:r>
      <w:r w:rsidR="000F05F2">
        <w:rPr>
          <w:rFonts w:asciiTheme="minorHAnsi" w:hAnsiTheme="minorHAnsi" w:cstheme="minorHAnsi"/>
          <w:bCs/>
          <w:color w:val="000000" w:themeColor="text1"/>
          <w:sz w:val="26"/>
          <w:szCs w:val="26"/>
        </w:rPr>
        <w:t>.S.M.</w:t>
      </w:r>
      <w:r w:rsidRPr="00955D41">
        <w:rPr>
          <w:rFonts w:asciiTheme="minorHAnsi" w:hAnsiTheme="minorHAnsi" w:cstheme="minorHAnsi"/>
          <w:bCs/>
          <w:color w:val="000000" w:themeColor="text1"/>
          <w:sz w:val="26"/>
          <w:szCs w:val="26"/>
        </w:rPr>
        <w:t xml:space="preserve"> nr. 92/2023;</w:t>
      </w:r>
    </w:p>
    <w:p w14:paraId="7A87131B" w14:textId="68C1CF90" w:rsidR="00E557E3" w:rsidRPr="00E557E3" w:rsidRDefault="00E557E3" w:rsidP="00281400">
      <w:pPr>
        <w:pStyle w:val="ListParagraph"/>
        <w:numPr>
          <w:ilvl w:val="0"/>
          <w:numId w:val="20"/>
        </w:numPr>
        <w:tabs>
          <w:tab w:val="left" w:pos="993"/>
        </w:tabs>
        <w:spacing w:line="276" w:lineRule="auto"/>
        <w:ind w:left="0" w:firstLine="709"/>
        <w:jc w:val="both"/>
        <w:rPr>
          <w:rFonts w:asciiTheme="minorHAnsi" w:hAnsiTheme="minorHAnsi" w:cstheme="minorHAnsi"/>
          <w:color w:val="000000" w:themeColor="text1"/>
          <w:sz w:val="26"/>
          <w:szCs w:val="26"/>
        </w:rPr>
      </w:pPr>
      <w:r w:rsidRPr="00955D41">
        <w:rPr>
          <w:rFonts w:asciiTheme="minorHAnsi" w:hAnsiTheme="minorHAnsi" w:cstheme="minorHAnsi"/>
          <w:bCs/>
          <w:color w:val="000000" w:themeColor="text1"/>
          <w:sz w:val="26"/>
          <w:szCs w:val="26"/>
        </w:rPr>
        <w:t>Hotărârea Plenului nr. 119</w:t>
      </w:r>
      <w:r w:rsidR="00A90345" w:rsidRPr="00955D41">
        <w:rPr>
          <w:rFonts w:asciiTheme="minorHAnsi" w:hAnsiTheme="minorHAnsi" w:cstheme="minorHAnsi"/>
          <w:bCs/>
          <w:color w:val="000000" w:themeColor="text1"/>
          <w:sz w:val="26"/>
          <w:szCs w:val="26"/>
        </w:rPr>
        <w:t>/</w:t>
      </w:r>
      <w:r w:rsidRPr="00955D41">
        <w:rPr>
          <w:rFonts w:asciiTheme="minorHAnsi" w:hAnsiTheme="minorHAnsi" w:cstheme="minorHAnsi"/>
          <w:bCs/>
          <w:color w:val="000000" w:themeColor="text1"/>
          <w:sz w:val="26"/>
          <w:szCs w:val="26"/>
        </w:rPr>
        <w:t>18</w:t>
      </w:r>
      <w:r w:rsidR="00A90345" w:rsidRPr="00955D41">
        <w:rPr>
          <w:rFonts w:asciiTheme="minorHAnsi" w:hAnsiTheme="minorHAnsi" w:cstheme="minorHAnsi"/>
          <w:bCs/>
          <w:color w:val="000000" w:themeColor="text1"/>
          <w:sz w:val="26"/>
          <w:szCs w:val="26"/>
        </w:rPr>
        <w:t>.09.</w:t>
      </w:r>
      <w:r w:rsidRPr="00955D41">
        <w:rPr>
          <w:rFonts w:asciiTheme="minorHAnsi" w:hAnsiTheme="minorHAnsi" w:cstheme="minorHAnsi"/>
          <w:bCs/>
          <w:color w:val="000000" w:themeColor="text1"/>
          <w:sz w:val="26"/>
          <w:szCs w:val="26"/>
        </w:rPr>
        <w:t>2025</w:t>
      </w:r>
      <w:r w:rsidRPr="00E557E3">
        <w:rPr>
          <w:rFonts w:asciiTheme="minorHAnsi" w:hAnsiTheme="minorHAnsi" w:cstheme="minorHAnsi"/>
          <w:b/>
          <w:color w:val="000000" w:themeColor="text1"/>
          <w:sz w:val="26"/>
          <w:szCs w:val="26"/>
        </w:rPr>
        <w:t xml:space="preserve"> </w:t>
      </w:r>
      <w:r w:rsidRPr="00E557E3">
        <w:rPr>
          <w:rFonts w:asciiTheme="minorHAnsi" w:hAnsiTheme="minorHAnsi" w:cstheme="minorHAnsi"/>
          <w:color w:val="000000" w:themeColor="text1"/>
          <w:sz w:val="26"/>
          <w:szCs w:val="26"/>
        </w:rPr>
        <w:t xml:space="preserve">pentru modificarea şi completarea Regulamentului de organizare şi funcţionare a Şcolii Naţionale de Grefieri, aprobat prin Hotărârea Plenului </w:t>
      </w:r>
      <w:r w:rsidR="000F05F2" w:rsidRPr="00955D41">
        <w:rPr>
          <w:rFonts w:asciiTheme="minorHAnsi" w:hAnsiTheme="minorHAnsi" w:cstheme="minorHAnsi"/>
          <w:bCs/>
          <w:color w:val="000000" w:themeColor="text1"/>
          <w:sz w:val="26"/>
          <w:szCs w:val="26"/>
        </w:rPr>
        <w:t>C</w:t>
      </w:r>
      <w:r w:rsidR="000F05F2">
        <w:rPr>
          <w:rFonts w:asciiTheme="minorHAnsi" w:hAnsiTheme="minorHAnsi" w:cstheme="minorHAnsi"/>
          <w:bCs/>
          <w:color w:val="000000" w:themeColor="text1"/>
          <w:sz w:val="26"/>
          <w:szCs w:val="26"/>
        </w:rPr>
        <w:t xml:space="preserve">.S.M. </w:t>
      </w:r>
      <w:r w:rsidRPr="00E557E3">
        <w:rPr>
          <w:rFonts w:asciiTheme="minorHAnsi" w:hAnsiTheme="minorHAnsi" w:cstheme="minorHAnsi"/>
          <w:color w:val="000000" w:themeColor="text1"/>
          <w:sz w:val="26"/>
          <w:szCs w:val="26"/>
        </w:rPr>
        <w:t>nr. 183/2007;</w:t>
      </w:r>
    </w:p>
    <w:p w14:paraId="2AF4D989" w14:textId="001065C0" w:rsidR="00E557E3" w:rsidRDefault="00E557E3" w:rsidP="00281400">
      <w:pPr>
        <w:pStyle w:val="ListParagraph"/>
        <w:numPr>
          <w:ilvl w:val="0"/>
          <w:numId w:val="20"/>
        </w:numPr>
        <w:tabs>
          <w:tab w:val="left" w:pos="993"/>
        </w:tabs>
        <w:spacing w:line="276" w:lineRule="auto"/>
        <w:ind w:left="0" w:firstLine="709"/>
        <w:jc w:val="both"/>
        <w:rPr>
          <w:rFonts w:asciiTheme="minorHAnsi" w:hAnsiTheme="minorHAnsi" w:cstheme="minorHAnsi"/>
          <w:bCs/>
          <w:color w:val="000000" w:themeColor="text1"/>
          <w:sz w:val="26"/>
          <w:szCs w:val="26"/>
        </w:rPr>
      </w:pPr>
      <w:r w:rsidRPr="00955D41">
        <w:rPr>
          <w:rFonts w:asciiTheme="minorHAnsi" w:hAnsiTheme="minorHAnsi" w:cstheme="minorHAnsi"/>
          <w:bCs/>
          <w:color w:val="000000" w:themeColor="text1"/>
          <w:sz w:val="26"/>
          <w:szCs w:val="26"/>
        </w:rPr>
        <w:t>Hotărârea Plenului nr. 120</w:t>
      </w:r>
      <w:r w:rsidR="006D5DB6" w:rsidRPr="00955D41">
        <w:rPr>
          <w:rFonts w:asciiTheme="minorHAnsi" w:hAnsiTheme="minorHAnsi" w:cstheme="minorHAnsi"/>
          <w:bCs/>
          <w:color w:val="000000" w:themeColor="text1"/>
          <w:sz w:val="26"/>
          <w:szCs w:val="26"/>
        </w:rPr>
        <w:t>/</w:t>
      </w:r>
      <w:r w:rsidRPr="00955D41">
        <w:rPr>
          <w:rFonts w:asciiTheme="minorHAnsi" w:hAnsiTheme="minorHAnsi" w:cstheme="minorHAnsi"/>
          <w:bCs/>
          <w:color w:val="000000" w:themeColor="text1"/>
          <w:sz w:val="26"/>
          <w:szCs w:val="26"/>
        </w:rPr>
        <w:t>18</w:t>
      </w:r>
      <w:r w:rsidR="006D5DB6" w:rsidRPr="00955D41">
        <w:rPr>
          <w:rFonts w:asciiTheme="minorHAnsi" w:hAnsiTheme="minorHAnsi" w:cstheme="minorHAnsi"/>
          <w:bCs/>
          <w:color w:val="000000" w:themeColor="text1"/>
          <w:sz w:val="26"/>
          <w:szCs w:val="26"/>
        </w:rPr>
        <w:t>.09.</w:t>
      </w:r>
      <w:r w:rsidRPr="00955D41">
        <w:rPr>
          <w:rFonts w:asciiTheme="minorHAnsi" w:hAnsiTheme="minorHAnsi" w:cstheme="minorHAnsi"/>
          <w:bCs/>
          <w:color w:val="000000" w:themeColor="text1"/>
          <w:sz w:val="26"/>
          <w:szCs w:val="26"/>
        </w:rPr>
        <w:t xml:space="preserve">2025 pentru modificarea şi completarea Statutul personalului de instruire al Şcolii Naţionale de Grefieri, aprobat prin Hotărârea Plenului </w:t>
      </w:r>
      <w:r w:rsidR="000F05F2" w:rsidRPr="00955D41">
        <w:rPr>
          <w:rFonts w:asciiTheme="minorHAnsi" w:hAnsiTheme="minorHAnsi" w:cstheme="minorHAnsi"/>
          <w:bCs/>
          <w:color w:val="000000" w:themeColor="text1"/>
          <w:sz w:val="26"/>
          <w:szCs w:val="26"/>
        </w:rPr>
        <w:t>C</w:t>
      </w:r>
      <w:r w:rsidR="000F05F2">
        <w:rPr>
          <w:rFonts w:asciiTheme="minorHAnsi" w:hAnsiTheme="minorHAnsi" w:cstheme="minorHAnsi"/>
          <w:bCs/>
          <w:color w:val="000000" w:themeColor="text1"/>
          <w:sz w:val="26"/>
          <w:szCs w:val="26"/>
        </w:rPr>
        <w:t xml:space="preserve">.S.M. </w:t>
      </w:r>
      <w:r w:rsidRPr="00955D41">
        <w:rPr>
          <w:rFonts w:asciiTheme="minorHAnsi" w:hAnsiTheme="minorHAnsi" w:cstheme="minorHAnsi"/>
          <w:bCs/>
          <w:color w:val="000000" w:themeColor="text1"/>
          <w:sz w:val="26"/>
          <w:szCs w:val="26"/>
        </w:rPr>
        <w:t>nr. 1388/2016.</w:t>
      </w:r>
    </w:p>
    <w:p w14:paraId="6A2A9738" w14:textId="393C205A" w:rsidR="009335D4" w:rsidRPr="00255A74" w:rsidRDefault="009335D4" w:rsidP="00255A74">
      <w:pPr>
        <w:pStyle w:val="ListParagraph"/>
        <w:numPr>
          <w:ilvl w:val="0"/>
          <w:numId w:val="20"/>
        </w:numPr>
        <w:tabs>
          <w:tab w:val="left" w:pos="851"/>
          <w:tab w:val="left" w:pos="993"/>
        </w:tabs>
        <w:ind w:left="0" w:firstLine="709"/>
        <w:jc w:val="both"/>
        <w:rPr>
          <w:rFonts w:asciiTheme="minorHAnsi" w:hAnsiTheme="minorHAnsi" w:cstheme="minorHAnsi"/>
          <w:bCs/>
          <w:sz w:val="26"/>
          <w:szCs w:val="26"/>
        </w:rPr>
      </w:pPr>
      <w:r w:rsidRPr="00255A74">
        <w:rPr>
          <w:rFonts w:asciiTheme="minorHAnsi" w:hAnsiTheme="minorHAnsi" w:cstheme="minorHAnsi"/>
          <w:bCs/>
          <w:sz w:val="26"/>
          <w:szCs w:val="26"/>
        </w:rPr>
        <w:t>Hotărârea Plenului nr. 160</w:t>
      </w:r>
      <w:r w:rsidR="000C6C00" w:rsidRPr="00255A74">
        <w:rPr>
          <w:rFonts w:asciiTheme="minorHAnsi" w:hAnsiTheme="minorHAnsi" w:cstheme="minorHAnsi"/>
          <w:bCs/>
          <w:sz w:val="26"/>
          <w:szCs w:val="26"/>
        </w:rPr>
        <w:t>/</w:t>
      </w:r>
      <w:r w:rsidRPr="00255A74">
        <w:rPr>
          <w:rFonts w:asciiTheme="minorHAnsi" w:hAnsiTheme="minorHAnsi" w:cstheme="minorHAnsi"/>
          <w:bCs/>
          <w:sz w:val="26"/>
          <w:szCs w:val="26"/>
        </w:rPr>
        <w:t>27.11.2025 pentru aprobarea Regulamentului privind examenul de absolvire a Institutului Naţional al Magistraturii.</w:t>
      </w:r>
    </w:p>
    <w:p w14:paraId="622B3B3F" w14:textId="40FDC75F" w:rsidR="0049168D" w:rsidRPr="00255A74" w:rsidRDefault="00E557E3" w:rsidP="0049168D">
      <w:pPr>
        <w:tabs>
          <w:tab w:val="left" w:pos="993"/>
        </w:tabs>
        <w:spacing w:line="276" w:lineRule="auto"/>
        <w:jc w:val="both"/>
        <w:rPr>
          <w:rFonts w:asciiTheme="minorHAnsi" w:hAnsiTheme="minorHAnsi" w:cstheme="minorHAnsi"/>
          <w:bCs/>
          <w:sz w:val="26"/>
          <w:szCs w:val="26"/>
        </w:rPr>
      </w:pPr>
      <w:r w:rsidRPr="00955D41">
        <w:rPr>
          <w:rFonts w:asciiTheme="minorHAnsi" w:hAnsiTheme="minorHAnsi" w:cstheme="minorHAnsi"/>
          <w:bCs/>
          <w:color w:val="000000" w:themeColor="text1"/>
          <w:sz w:val="26"/>
          <w:szCs w:val="26"/>
        </w:rPr>
        <w:tab/>
        <w:t xml:space="preserve">Dintre hotărârile adoptate de către Secţia pentru judecători a Consiliului Superior al Magistraturii, menționăm </w:t>
      </w:r>
      <w:r w:rsidRPr="00955D41">
        <w:rPr>
          <w:rFonts w:asciiTheme="minorHAnsi" w:hAnsiTheme="minorHAnsi" w:cstheme="minorHAnsi"/>
          <w:bCs/>
          <w:sz w:val="26"/>
          <w:szCs w:val="26"/>
        </w:rPr>
        <w:t>Hotărârea Secției pentru judecători nr. 1505</w:t>
      </w:r>
      <w:r w:rsidR="006D5DB6" w:rsidRPr="00955D41">
        <w:rPr>
          <w:rFonts w:asciiTheme="minorHAnsi" w:hAnsiTheme="minorHAnsi" w:cstheme="minorHAnsi"/>
          <w:bCs/>
          <w:sz w:val="26"/>
          <w:szCs w:val="26"/>
        </w:rPr>
        <w:t>/</w:t>
      </w:r>
      <w:r w:rsidRPr="00955D41">
        <w:rPr>
          <w:rFonts w:asciiTheme="minorHAnsi" w:hAnsiTheme="minorHAnsi" w:cstheme="minorHAnsi"/>
          <w:bCs/>
          <w:sz w:val="26"/>
          <w:szCs w:val="26"/>
        </w:rPr>
        <w:t>17</w:t>
      </w:r>
      <w:r w:rsidR="006D5DB6" w:rsidRPr="00955D41">
        <w:rPr>
          <w:rFonts w:asciiTheme="minorHAnsi" w:hAnsiTheme="minorHAnsi" w:cstheme="minorHAnsi"/>
          <w:bCs/>
          <w:sz w:val="26"/>
          <w:szCs w:val="26"/>
        </w:rPr>
        <w:t>.06.</w:t>
      </w:r>
      <w:r w:rsidRPr="00955D41">
        <w:rPr>
          <w:rFonts w:asciiTheme="minorHAnsi" w:hAnsiTheme="minorHAnsi" w:cstheme="minorHAnsi"/>
          <w:bCs/>
          <w:sz w:val="26"/>
          <w:szCs w:val="26"/>
        </w:rPr>
        <w:t>2025 pentru modificarea şi completarea Regulamentului de ordine interioară al instanţelor judecătoreşti, aprobat prin Hotărârea Secţiei pentru judecători nr. 3243/2022</w:t>
      </w:r>
      <w:r w:rsidR="0049168D">
        <w:rPr>
          <w:rFonts w:asciiTheme="minorHAnsi" w:hAnsiTheme="minorHAnsi" w:cstheme="minorHAnsi"/>
          <w:bCs/>
          <w:sz w:val="26"/>
          <w:szCs w:val="26"/>
        </w:rPr>
        <w:t xml:space="preserve"> </w:t>
      </w:r>
      <w:r w:rsidR="0049168D" w:rsidRPr="00255A74">
        <w:rPr>
          <w:rFonts w:asciiTheme="minorHAnsi" w:hAnsiTheme="minorHAnsi" w:cstheme="minorHAnsi"/>
          <w:bCs/>
          <w:sz w:val="26"/>
          <w:szCs w:val="26"/>
        </w:rPr>
        <w:t>și</w:t>
      </w:r>
      <w:r w:rsidR="00255A74">
        <w:t xml:space="preserve"> </w:t>
      </w:r>
      <w:r w:rsidR="0049168D" w:rsidRPr="00255A74">
        <w:rPr>
          <w:rFonts w:asciiTheme="minorHAnsi" w:hAnsiTheme="minorHAnsi" w:cstheme="minorHAnsi"/>
          <w:bCs/>
          <w:sz w:val="26"/>
          <w:szCs w:val="26"/>
        </w:rPr>
        <w:t>Hotărârea Secției pentru judecători nr. 2745</w:t>
      </w:r>
      <w:r w:rsidR="000C6C00" w:rsidRPr="00255A74">
        <w:rPr>
          <w:rFonts w:asciiTheme="minorHAnsi" w:hAnsiTheme="minorHAnsi" w:cstheme="minorHAnsi"/>
          <w:bCs/>
          <w:sz w:val="26"/>
          <w:szCs w:val="26"/>
        </w:rPr>
        <w:t>/</w:t>
      </w:r>
      <w:r w:rsidR="0049168D" w:rsidRPr="00255A74">
        <w:rPr>
          <w:rFonts w:asciiTheme="minorHAnsi" w:hAnsiTheme="minorHAnsi" w:cstheme="minorHAnsi"/>
          <w:bCs/>
          <w:sz w:val="26"/>
          <w:szCs w:val="26"/>
        </w:rPr>
        <w:t>27</w:t>
      </w:r>
      <w:r w:rsidR="008F0DC5" w:rsidRPr="00255A74">
        <w:rPr>
          <w:rFonts w:asciiTheme="minorHAnsi" w:hAnsiTheme="minorHAnsi" w:cstheme="minorHAnsi"/>
          <w:bCs/>
          <w:sz w:val="26"/>
          <w:szCs w:val="26"/>
        </w:rPr>
        <w:t>.11.</w:t>
      </w:r>
      <w:r w:rsidR="0049168D" w:rsidRPr="00255A74">
        <w:rPr>
          <w:rFonts w:asciiTheme="minorHAnsi" w:hAnsiTheme="minorHAnsi" w:cstheme="minorHAnsi"/>
          <w:bCs/>
          <w:sz w:val="26"/>
          <w:szCs w:val="26"/>
        </w:rPr>
        <w:t>2025 prin care a fost aprobat Regulamentul privind examenul de capacitate al judecătorilor stagiari.</w:t>
      </w:r>
    </w:p>
    <w:p w14:paraId="504BCE46" w14:textId="08851C61" w:rsidR="00E557E3" w:rsidRPr="00255A74" w:rsidRDefault="0049168D" w:rsidP="0049168D">
      <w:pPr>
        <w:tabs>
          <w:tab w:val="left" w:pos="993"/>
        </w:tabs>
        <w:spacing w:line="276" w:lineRule="auto"/>
        <w:jc w:val="both"/>
        <w:rPr>
          <w:rFonts w:asciiTheme="minorHAnsi" w:hAnsiTheme="minorHAnsi" w:cstheme="minorHAnsi"/>
          <w:bCs/>
          <w:sz w:val="26"/>
          <w:szCs w:val="26"/>
        </w:rPr>
      </w:pPr>
      <w:r w:rsidRPr="00255A74">
        <w:rPr>
          <w:rFonts w:asciiTheme="minorHAnsi" w:hAnsiTheme="minorHAnsi" w:cstheme="minorHAnsi"/>
          <w:bCs/>
          <w:sz w:val="26"/>
          <w:szCs w:val="26"/>
        </w:rPr>
        <w:tab/>
        <w:t>Dintre hotărârile adoptate de către Secţia pentru procurori a Consiliului Superior al Magistraturii, menționăm Hotărârea Secției pentru procurori nr. 1040</w:t>
      </w:r>
      <w:r w:rsidR="008F0DC5" w:rsidRPr="00255A74">
        <w:rPr>
          <w:rFonts w:asciiTheme="minorHAnsi" w:hAnsiTheme="minorHAnsi" w:cstheme="minorHAnsi"/>
          <w:bCs/>
          <w:sz w:val="26"/>
          <w:szCs w:val="26"/>
        </w:rPr>
        <w:t>/</w:t>
      </w:r>
      <w:r w:rsidRPr="00255A74">
        <w:rPr>
          <w:rFonts w:asciiTheme="minorHAnsi" w:hAnsiTheme="minorHAnsi" w:cstheme="minorHAnsi"/>
          <w:bCs/>
          <w:sz w:val="26"/>
          <w:szCs w:val="26"/>
        </w:rPr>
        <w:t>27</w:t>
      </w:r>
      <w:r w:rsidR="008F0DC5" w:rsidRPr="00255A74">
        <w:rPr>
          <w:rFonts w:asciiTheme="minorHAnsi" w:hAnsiTheme="minorHAnsi" w:cstheme="minorHAnsi"/>
          <w:bCs/>
          <w:sz w:val="26"/>
          <w:szCs w:val="26"/>
        </w:rPr>
        <w:t>.11.</w:t>
      </w:r>
      <w:r w:rsidRPr="00255A74">
        <w:rPr>
          <w:rFonts w:asciiTheme="minorHAnsi" w:hAnsiTheme="minorHAnsi" w:cstheme="minorHAnsi"/>
          <w:bCs/>
          <w:sz w:val="26"/>
          <w:szCs w:val="26"/>
        </w:rPr>
        <w:t>2025 prin care a fost aprobat Regulamentul privind examenul de capacitate al procurorilor stagiari.</w:t>
      </w:r>
    </w:p>
    <w:p w14:paraId="65A70FDA" w14:textId="4ED35A06" w:rsidR="002D2047" w:rsidRPr="00255A74" w:rsidRDefault="002D2047">
      <w:pPr>
        <w:spacing w:after="160" w:line="259" w:lineRule="auto"/>
        <w:rPr>
          <w:rFonts w:asciiTheme="minorHAnsi" w:hAnsiTheme="minorHAnsi" w:cstheme="minorHAnsi"/>
          <w:sz w:val="26"/>
          <w:szCs w:val="26"/>
        </w:rPr>
      </w:pPr>
      <w:r w:rsidRPr="00255A74">
        <w:rPr>
          <w:rFonts w:asciiTheme="minorHAnsi" w:hAnsiTheme="minorHAnsi" w:cstheme="minorHAnsi"/>
          <w:sz w:val="26"/>
          <w:szCs w:val="26"/>
        </w:rPr>
        <w:br w:type="page"/>
      </w:r>
    </w:p>
    <w:p w14:paraId="241E2F1E" w14:textId="77777777" w:rsidR="00E20E3E" w:rsidRPr="000F0D8B" w:rsidRDefault="00E20E3E" w:rsidP="009E3AD8">
      <w:pPr>
        <w:suppressLineNumbers/>
        <w:suppressAutoHyphens/>
        <w:spacing w:before="240" w:line="276" w:lineRule="auto"/>
        <w:jc w:val="center"/>
        <w:outlineLvl w:val="0"/>
        <w:rPr>
          <w:rFonts w:asciiTheme="minorHAnsi" w:eastAsiaTheme="majorEastAsia" w:hAnsiTheme="minorHAnsi" w:cstheme="minorHAnsi"/>
          <w:b/>
          <w:sz w:val="26"/>
          <w:szCs w:val="26"/>
        </w:rPr>
      </w:pPr>
      <w:bookmarkStart w:id="115" w:name="_Toc183594124"/>
      <w:bookmarkStart w:id="116" w:name="_Toc219287965"/>
      <w:bookmarkEnd w:id="114"/>
      <w:r w:rsidRPr="000F0D8B">
        <w:rPr>
          <w:rFonts w:asciiTheme="minorHAnsi" w:eastAsiaTheme="majorEastAsia" w:hAnsiTheme="minorHAnsi" w:cstheme="minorHAnsi"/>
          <w:b/>
          <w:sz w:val="26"/>
          <w:szCs w:val="26"/>
        </w:rPr>
        <w:lastRenderedPageBreak/>
        <w:t>CAPITOLUL IV</w:t>
      </w:r>
      <w:bookmarkEnd w:id="115"/>
      <w:bookmarkEnd w:id="116"/>
    </w:p>
    <w:p w14:paraId="35026286" w14:textId="77777777" w:rsidR="00E20E3E" w:rsidRPr="002D2047" w:rsidRDefault="00E20E3E" w:rsidP="002D2047">
      <w:pPr>
        <w:pStyle w:val="Heading1"/>
        <w:keepNext w:val="0"/>
        <w:keepLines w:val="0"/>
        <w:suppressLineNumbers/>
        <w:suppressAutoHyphens/>
        <w:ind w:firstLine="0"/>
        <w:rPr>
          <w:sz w:val="26"/>
          <w:szCs w:val="26"/>
        </w:rPr>
      </w:pPr>
      <w:bookmarkStart w:id="117" w:name="_Toc183594125"/>
      <w:bookmarkStart w:id="118" w:name="_Toc219287966"/>
      <w:r w:rsidRPr="002D2047">
        <w:rPr>
          <w:sz w:val="26"/>
          <w:szCs w:val="26"/>
        </w:rPr>
        <w:t>Activităţi derulate în legătură cu atribuţiile în materie disciplinară</w:t>
      </w:r>
      <w:bookmarkEnd w:id="117"/>
      <w:bookmarkEnd w:id="118"/>
    </w:p>
    <w:p w14:paraId="5573CCB7" w14:textId="77777777" w:rsidR="00E20E3E" w:rsidRPr="000B2BEB" w:rsidRDefault="00E20E3E" w:rsidP="000F05F2">
      <w:pPr>
        <w:pStyle w:val="Heading2"/>
        <w:jc w:val="both"/>
        <w:rPr>
          <w:rFonts w:cstheme="minorHAnsi"/>
          <w:color w:val="auto"/>
          <w:lang w:val="ro-RO"/>
        </w:rPr>
      </w:pPr>
      <w:bookmarkStart w:id="119" w:name="_Toc183594126"/>
      <w:bookmarkStart w:id="120" w:name="_Toc219287967"/>
      <w:r w:rsidRPr="000F0D8B">
        <w:rPr>
          <w:rFonts w:cstheme="minorHAnsi"/>
          <w:color w:val="auto"/>
          <w:lang w:val="fr-FR"/>
        </w:rPr>
        <w:t xml:space="preserve">IV.1. </w:t>
      </w:r>
      <w:r w:rsidRPr="000B2BEB">
        <w:rPr>
          <w:rFonts w:cstheme="minorHAnsi"/>
          <w:color w:val="auto"/>
          <w:lang w:val="ro-RO"/>
        </w:rPr>
        <w:t>Activitatea Secţiilor Consiliului Superior al Magistraturii, ca instanţe de judecată în materie disciplinară</w:t>
      </w:r>
      <w:bookmarkEnd w:id="119"/>
      <w:bookmarkEnd w:id="120"/>
    </w:p>
    <w:p w14:paraId="5681755A" w14:textId="77777777" w:rsidR="00E20E3E" w:rsidRPr="000F0D8B" w:rsidRDefault="00E20E3E" w:rsidP="009E3AD8">
      <w:pPr>
        <w:widowControl w:val="0"/>
        <w:autoSpaceDE w:val="0"/>
        <w:autoSpaceDN w:val="0"/>
        <w:adjustRightInd w:val="0"/>
        <w:spacing w:line="276" w:lineRule="auto"/>
        <w:ind w:firstLine="708"/>
        <w:jc w:val="both"/>
        <w:rPr>
          <w:rFonts w:asciiTheme="minorHAnsi" w:eastAsiaTheme="minorHAnsi" w:hAnsiTheme="minorHAnsi" w:cstheme="minorHAnsi"/>
          <w:b/>
          <w:sz w:val="26"/>
          <w:szCs w:val="26"/>
        </w:rPr>
      </w:pPr>
      <w:r w:rsidRPr="000F0D8B">
        <w:rPr>
          <w:rFonts w:asciiTheme="minorHAnsi" w:eastAsiaTheme="minorHAnsi" w:hAnsiTheme="minorHAnsi" w:cstheme="minorHAnsi"/>
          <w:bCs/>
          <w:sz w:val="26"/>
          <w:szCs w:val="26"/>
        </w:rPr>
        <w:t>Potrivit art. 44 din Legea nr. 305/2022 privind Consiliul Superior al Magistraturii, Consiliul îndeplinește, prin secțiile sale, rolul de instanță de judecată în domeniul răspunderii disciplinare a judecătorilor şi a procurorilor, pentru faptele prevăzute de lege ca abateri disciplinare.</w:t>
      </w:r>
    </w:p>
    <w:p w14:paraId="3F7FD49D" w14:textId="77777777" w:rsidR="00E20E3E" w:rsidRPr="000F0D8B" w:rsidRDefault="00E20E3E" w:rsidP="009E3AD8">
      <w:pPr>
        <w:spacing w:line="276" w:lineRule="auto"/>
        <w:ind w:right="48" w:firstLine="709"/>
        <w:jc w:val="both"/>
        <w:rPr>
          <w:rFonts w:asciiTheme="minorHAnsi" w:eastAsiaTheme="minorHAnsi" w:hAnsiTheme="minorHAnsi" w:cstheme="minorHAnsi"/>
          <w:bCs/>
          <w:sz w:val="26"/>
          <w:szCs w:val="26"/>
        </w:rPr>
      </w:pPr>
      <w:r w:rsidRPr="000F0D8B">
        <w:rPr>
          <w:rFonts w:asciiTheme="minorHAnsi" w:eastAsiaTheme="minorHAnsi" w:hAnsiTheme="minorHAnsi" w:cstheme="minorHAnsi"/>
          <w:sz w:val="26"/>
          <w:szCs w:val="26"/>
        </w:rPr>
        <w:t xml:space="preserve">Conform art. 51 </w:t>
      </w:r>
      <w:bookmarkStart w:id="121" w:name="_Hlk147479362"/>
      <w:r w:rsidRPr="000F0D8B">
        <w:rPr>
          <w:rFonts w:asciiTheme="minorHAnsi" w:eastAsiaTheme="minorHAnsi" w:hAnsiTheme="minorHAnsi" w:cstheme="minorHAnsi"/>
          <w:sz w:val="26"/>
          <w:szCs w:val="26"/>
        </w:rPr>
        <w:t xml:space="preserve">din </w:t>
      </w:r>
      <w:r w:rsidRPr="000F0D8B">
        <w:rPr>
          <w:rFonts w:asciiTheme="minorHAnsi" w:eastAsiaTheme="minorHAnsi" w:hAnsiTheme="minorHAnsi" w:cstheme="minorHAnsi"/>
          <w:bCs/>
          <w:sz w:val="26"/>
          <w:szCs w:val="26"/>
        </w:rPr>
        <w:t>Regulamentul de organizare și funcționare a Consiliului Superior al Magistraturii, aprobat prin Hotărârea nr. 122/06.07.2023</w:t>
      </w:r>
      <w:bookmarkEnd w:id="121"/>
      <w:r w:rsidRPr="000F0D8B">
        <w:rPr>
          <w:rFonts w:asciiTheme="minorHAnsi" w:eastAsiaTheme="minorHAnsi" w:hAnsiTheme="minorHAnsi" w:cstheme="minorHAnsi"/>
          <w:bCs/>
          <w:sz w:val="26"/>
          <w:szCs w:val="26"/>
        </w:rPr>
        <w:t>, Consiliul îndeplinește, prin Secția pentru judecători, rolul de instanță de judecată în domeniul răspunderii disciplinare a judecătorilor pentru faptele prevăzute la art. 271 din Legea nr. 303/2022 privind statutul judecătorilor şi procurorilor.</w:t>
      </w:r>
    </w:p>
    <w:p w14:paraId="260C597D" w14:textId="4D0A4979" w:rsidR="00E20E3E" w:rsidRPr="00255A74" w:rsidRDefault="00E20E3E" w:rsidP="009E3AD8">
      <w:pPr>
        <w:spacing w:line="276" w:lineRule="auto"/>
        <w:ind w:right="48" w:firstLine="709"/>
        <w:jc w:val="both"/>
        <w:rPr>
          <w:rFonts w:asciiTheme="minorHAnsi" w:eastAsiaTheme="minorHAnsi" w:hAnsiTheme="minorHAnsi" w:cstheme="minorHAnsi"/>
          <w:bCs/>
          <w:sz w:val="26"/>
          <w:szCs w:val="26"/>
        </w:rPr>
      </w:pPr>
      <w:r w:rsidRPr="00255A74">
        <w:rPr>
          <w:rFonts w:asciiTheme="minorHAnsi" w:eastAsiaTheme="minorHAnsi" w:hAnsiTheme="minorHAnsi" w:cstheme="minorHAnsi"/>
          <w:bCs/>
          <w:sz w:val="26"/>
          <w:szCs w:val="26"/>
        </w:rPr>
        <w:t xml:space="preserve">Până la data de </w:t>
      </w:r>
      <w:r w:rsidR="003A5130" w:rsidRPr="00255A74">
        <w:rPr>
          <w:rFonts w:asciiTheme="minorHAnsi" w:eastAsiaTheme="minorHAnsi" w:hAnsiTheme="minorHAnsi" w:cstheme="minorHAnsi"/>
          <w:bCs/>
          <w:sz w:val="26"/>
          <w:szCs w:val="26"/>
        </w:rPr>
        <w:t>31 decembrie</w:t>
      </w:r>
      <w:r w:rsidRPr="00255A74">
        <w:rPr>
          <w:rFonts w:asciiTheme="minorHAnsi" w:eastAsiaTheme="minorHAnsi" w:hAnsiTheme="minorHAnsi" w:cstheme="minorHAnsi"/>
          <w:bCs/>
          <w:sz w:val="26"/>
          <w:szCs w:val="26"/>
        </w:rPr>
        <w:t xml:space="preserve"> 2025, pe rolul Secției pentru judecători în materie disciplinară s-au înregistrat un număr de </w:t>
      </w:r>
      <w:r w:rsidR="003A5130" w:rsidRPr="00255A74">
        <w:rPr>
          <w:rFonts w:asciiTheme="minorHAnsi" w:eastAsiaTheme="minorHAnsi" w:hAnsiTheme="minorHAnsi" w:cstheme="minorHAnsi"/>
          <w:bCs/>
          <w:sz w:val="26"/>
          <w:szCs w:val="26"/>
        </w:rPr>
        <w:t>15</w:t>
      </w:r>
      <w:r w:rsidRPr="00255A74">
        <w:rPr>
          <w:rFonts w:asciiTheme="minorHAnsi" w:eastAsiaTheme="minorHAnsi" w:hAnsiTheme="minorHAnsi" w:cstheme="minorHAnsi"/>
          <w:bCs/>
          <w:sz w:val="26"/>
          <w:szCs w:val="26"/>
        </w:rPr>
        <w:t xml:space="preserve"> dosare având ca obiect acțiuni disciplinare.</w:t>
      </w:r>
    </w:p>
    <w:p w14:paraId="42D1CAB4" w14:textId="77777777" w:rsidR="00E20E3E" w:rsidRPr="00255A74" w:rsidRDefault="00E20E3E" w:rsidP="009E3AD8">
      <w:pPr>
        <w:spacing w:line="276" w:lineRule="auto"/>
        <w:ind w:right="48" w:firstLine="709"/>
        <w:jc w:val="both"/>
        <w:rPr>
          <w:rFonts w:asciiTheme="minorHAnsi" w:eastAsiaTheme="minorHAnsi" w:hAnsiTheme="minorHAnsi" w:cstheme="minorHAnsi"/>
          <w:bCs/>
          <w:sz w:val="26"/>
          <w:szCs w:val="26"/>
        </w:rPr>
      </w:pPr>
      <w:r w:rsidRPr="00255A74">
        <w:rPr>
          <w:rFonts w:asciiTheme="minorHAnsi" w:eastAsiaTheme="minorHAnsi" w:hAnsiTheme="minorHAnsi" w:cstheme="minorHAnsi"/>
          <w:bCs/>
          <w:sz w:val="26"/>
          <w:szCs w:val="26"/>
        </w:rPr>
        <w:t>Astfel, Secția pentru judecători în materie disciplinară a pronunțat următoarele hotărâri:</w:t>
      </w:r>
    </w:p>
    <w:p w14:paraId="055A415F" w14:textId="37B98D5B" w:rsidR="00E20E3E" w:rsidRPr="00255A74" w:rsidRDefault="00E20E3E" w:rsidP="009E3AD8">
      <w:pPr>
        <w:spacing w:line="276" w:lineRule="auto"/>
        <w:ind w:right="43" w:firstLine="709"/>
        <w:jc w:val="both"/>
        <w:rPr>
          <w:rFonts w:asciiTheme="minorHAnsi" w:eastAsiaTheme="minorHAnsi" w:hAnsiTheme="minorHAnsi" w:cstheme="minorHAnsi"/>
          <w:bCs/>
          <w:sz w:val="26"/>
          <w:szCs w:val="26"/>
        </w:rPr>
      </w:pPr>
      <w:r w:rsidRPr="00255A74">
        <w:rPr>
          <w:rFonts w:asciiTheme="minorHAnsi" w:eastAsiaTheme="minorHAnsi" w:hAnsiTheme="minorHAnsi" w:cstheme="minorHAnsi"/>
          <w:bCs/>
          <w:sz w:val="26"/>
          <w:szCs w:val="26"/>
        </w:rPr>
        <w:t xml:space="preserve">Prin Hotărârea nr. 1J din 5 februarie 2025, pronunțată în dosarul nr. 10/J/2024, cu majoritate, s-a admis acţiunea disciplinară şi s-a aplicat pârâtei sancţiunea disciplinară constând în </w:t>
      </w:r>
      <w:r w:rsidR="00DF3BD3" w:rsidRPr="00255A74">
        <w:rPr>
          <w:rFonts w:asciiTheme="minorHAnsi" w:eastAsiaTheme="minorHAnsi" w:hAnsiTheme="minorHAnsi" w:cstheme="minorHAnsi"/>
          <w:bCs/>
          <w:sz w:val="26"/>
          <w:szCs w:val="26"/>
        </w:rPr>
        <w:t>„</w:t>
      </w:r>
      <w:r w:rsidRPr="00255A74">
        <w:rPr>
          <w:rFonts w:asciiTheme="minorHAnsi" w:eastAsiaTheme="minorHAnsi" w:hAnsiTheme="minorHAnsi" w:cstheme="minorHAnsi"/>
          <w:bCs/>
          <w:sz w:val="26"/>
          <w:szCs w:val="26"/>
        </w:rPr>
        <w:t>avertisment” pentru săvârşirea abaterii disciplinare prevăzute de art.</w:t>
      </w:r>
      <w:r w:rsidR="00DF3BD3" w:rsidRPr="00255A74">
        <w:rPr>
          <w:rFonts w:asciiTheme="minorHAnsi" w:eastAsiaTheme="minorHAnsi" w:hAnsiTheme="minorHAnsi" w:cstheme="minorHAnsi"/>
          <w:bCs/>
          <w:sz w:val="26"/>
          <w:szCs w:val="26"/>
        </w:rPr>
        <w:t xml:space="preserve"> </w:t>
      </w:r>
      <w:r w:rsidRPr="00255A74">
        <w:rPr>
          <w:rFonts w:asciiTheme="minorHAnsi" w:eastAsiaTheme="minorHAnsi" w:hAnsiTheme="minorHAnsi" w:cstheme="minorHAnsi"/>
          <w:bCs/>
          <w:sz w:val="26"/>
          <w:szCs w:val="26"/>
        </w:rPr>
        <w:t>271 lit. b)  din Legea nr. 303/2022 privind statutul judecătorilor şi procurorilor.</w:t>
      </w:r>
      <w:r w:rsidRPr="00255A74">
        <w:rPr>
          <w:rFonts w:asciiTheme="minorHAnsi" w:hAnsiTheme="minorHAnsi" w:cstheme="minorHAnsi"/>
          <w:sz w:val="26"/>
          <w:szCs w:val="26"/>
        </w:rPr>
        <w:t xml:space="preserve"> </w:t>
      </w:r>
      <w:r w:rsidRPr="00255A74">
        <w:rPr>
          <w:rFonts w:asciiTheme="minorHAnsi" w:eastAsiaTheme="minorHAnsi" w:hAnsiTheme="minorHAnsi" w:cstheme="minorHAnsi"/>
          <w:bCs/>
          <w:sz w:val="26"/>
          <w:szCs w:val="26"/>
        </w:rPr>
        <w:t>Hotărârea este definitivă prin nerecurare.</w:t>
      </w:r>
    </w:p>
    <w:p w14:paraId="728A9527" w14:textId="57AEB221" w:rsidR="00E20E3E" w:rsidRPr="00255A74" w:rsidRDefault="00E20E3E" w:rsidP="009E3AD8">
      <w:pPr>
        <w:spacing w:line="276" w:lineRule="auto"/>
        <w:ind w:right="43" w:firstLine="709"/>
        <w:jc w:val="both"/>
        <w:rPr>
          <w:rFonts w:asciiTheme="minorHAnsi" w:eastAsiaTheme="minorHAnsi" w:hAnsiTheme="minorHAnsi" w:cstheme="minorHAnsi"/>
          <w:bCs/>
          <w:sz w:val="26"/>
          <w:szCs w:val="26"/>
        </w:rPr>
      </w:pPr>
      <w:r w:rsidRPr="00255A74">
        <w:rPr>
          <w:rFonts w:asciiTheme="minorHAnsi" w:eastAsiaTheme="minorHAnsi" w:hAnsiTheme="minorHAnsi" w:cstheme="minorHAnsi"/>
          <w:bCs/>
          <w:sz w:val="26"/>
          <w:szCs w:val="26"/>
        </w:rPr>
        <w:t xml:space="preserve">Prin Hotărârea nr. 2J din 28 aprilie 2025, pronunțată în dosarul nr. 1/J/2025, cu majoritate, s-a admis acţiunea disciplinară şi s-a aplicat pârâtei sancțiunea disciplinară constând în </w:t>
      </w:r>
      <w:r w:rsidR="00DF3BD3" w:rsidRPr="00255A74">
        <w:rPr>
          <w:rFonts w:asciiTheme="minorHAnsi" w:eastAsiaTheme="minorHAnsi" w:hAnsiTheme="minorHAnsi" w:cstheme="minorHAnsi"/>
          <w:bCs/>
          <w:sz w:val="26"/>
          <w:szCs w:val="26"/>
        </w:rPr>
        <w:t>„</w:t>
      </w:r>
      <w:r w:rsidRPr="00255A74">
        <w:rPr>
          <w:rFonts w:asciiTheme="minorHAnsi" w:eastAsiaTheme="minorHAnsi" w:hAnsiTheme="minorHAnsi" w:cstheme="minorHAnsi"/>
          <w:bCs/>
          <w:sz w:val="26"/>
          <w:szCs w:val="26"/>
        </w:rPr>
        <w:t xml:space="preserve">diminuarea indemnizației de încadrare lunare brute cu 15% pe o perioadă de 3 luni” </w:t>
      </w:r>
      <w:r w:rsidR="00774516" w:rsidRPr="00255A74">
        <w:rPr>
          <w:rFonts w:asciiTheme="minorHAnsi" w:eastAsiaTheme="minorHAnsi" w:hAnsiTheme="minorHAnsi" w:cstheme="minorHAnsi"/>
          <w:bCs/>
          <w:sz w:val="26"/>
          <w:szCs w:val="26"/>
        </w:rPr>
        <w:t xml:space="preserve">pentru </w:t>
      </w:r>
      <w:r w:rsidRPr="00255A74">
        <w:rPr>
          <w:rFonts w:asciiTheme="minorHAnsi" w:eastAsiaTheme="minorHAnsi" w:hAnsiTheme="minorHAnsi" w:cstheme="minorHAnsi"/>
          <w:bCs/>
          <w:sz w:val="26"/>
          <w:szCs w:val="26"/>
        </w:rPr>
        <w:t>săvârșirea abaterii disciplinare prevăzute de art.</w:t>
      </w:r>
      <w:r w:rsidR="00DF3BD3" w:rsidRPr="00255A74">
        <w:rPr>
          <w:rFonts w:asciiTheme="minorHAnsi" w:eastAsiaTheme="minorHAnsi" w:hAnsiTheme="minorHAnsi" w:cstheme="minorHAnsi"/>
          <w:bCs/>
          <w:sz w:val="26"/>
          <w:szCs w:val="26"/>
        </w:rPr>
        <w:t xml:space="preserve"> </w:t>
      </w:r>
      <w:r w:rsidRPr="00255A74">
        <w:rPr>
          <w:rFonts w:asciiTheme="minorHAnsi" w:eastAsiaTheme="minorHAnsi" w:hAnsiTheme="minorHAnsi" w:cstheme="minorHAnsi"/>
          <w:bCs/>
          <w:sz w:val="26"/>
          <w:szCs w:val="26"/>
        </w:rPr>
        <w:t xml:space="preserve">271 lit. g) teza I  din Legea nr. 303/2022 privind statutul judecătorilor şi procurorilor. </w:t>
      </w:r>
      <w:r w:rsidR="00774516" w:rsidRPr="00255A74">
        <w:rPr>
          <w:rFonts w:asciiTheme="minorHAnsi" w:eastAsiaTheme="minorHAnsi" w:hAnsiTheme="minorHAnsi" w:cstheme="minorHAnsi"/>
          <w:bCs/>
          <w:sz w:val="26"/>
          <w:szCs w:val="26"/>
        </w:rPr>
        <w:t>Prin decizia civilă nr. 162</w:t>
      </w:r>
      <w:r w:rsidR="00CB1177" w:rsidRPr="00255A74">
        <w:rPr>
          <w:rFonts w:asciiTheme="minorHAnsi" w:eastAsiaTheme="minorHAnsi" w:hAnsiTheme="minorHAnsi" w:cstheme="minorHAnsi"/>
          <w:bCs/>
          <w:sz w:val="26"/>
          <w:szCs w:val="26"/>
        </w:rPr>
        <w:t>/</w:t>
      </w:r>
      <w:r w:rsidR="00774516" w:rsidRPr="00255A74">
        <w:rPr>
          <w:rFonts w:asciiTheme="minorHAnsi" w:eastAsiaTheme="minorHAnsi" w:hAnsiTheme="minorHAnsi" w:cstheme="minorHAnsi"/>
          <w:bCs/>
          <w:sz w:val="26"/>
          <w:szCs w:val="26"/>
        </w:rPr>
        <w:t>03.11.2025 pronunțată de Înalta Curte de Casație şi Justiție s-a respins, ca nefondat, recursul declarat de pârâtă.</w:t>
      </w:r>
    </w:p>
    <w:p w14:paraId="4988E97C" w14:textId="016221D6" w:rsidR="00E20E3E" w:rsidRPr="000F0D8B" w:rsidRDefault="00E20E3E" w:rsidP="009E3AD8">
      <w:pPr>
        <w:spacing w:line="276" w:lineRule="auto"/>
        <w:ind w:right="43" w:firstLine="709"/>
        <w:jc w:val="both"/>
        <w:rPr>
          <w:rFonts w:asciiTheme="minorHAnsi" w:eastAsiaTheme="minorHAnsi" w:hAnsiTheme="minorHAnsi" w:cstheme="minorHAnsi"/>
          <w:bCs/>
          <w:sz w:val="26"/>
          <w:szCs w:val="26"/>
        </w:rPr>
      </w:pPr>
      <w:r w:rsidRPr="000F0D8B">
        <w:rPr>
          <w:rFonts w:asciiTheme="minorHAnsi" w:eastAsiaTheme="minorHAnsi" w:hAnsiTheme="minorHAnsi" w:cstheme="minorHAnsi"/>
          <w:bCs/>
          <w:sz w:val="26"/>
          <w:szCs w:val="26"/>
        </w:rPr>
        <w:t>Prin Hotărârea nr. 3J din 20 mai 2025, pronunțată în dosarul nr. 11/J/2024, cu majoritate, s-a admis acţiunea disciplinară şi s-a aplicat pârâtei sancţiunea disciplinară constând în „excluderea din magistratură” pentru săvârşirea abaterilor disciplinare prevăzute de art.</w:t>
      </w:r>
      <w:r w:rsidR="00F83069" w:rsidRPr="000F0D8B">
        <w:rPr>
          <w:rFonts w:asciiTheme="minorHAnsi" w:eastAsiaTheme="minorHAnsi" w:hAnsiTheme="minorHAnsi" w:cstheme="minorHAnsi"/>
          <w:bCs/>
          <w:sz w:val="26"/>
          <w:szCs w:val="26"/>
        </w:rPr>
        <w:t xml:space="preserve"> </w:t>
      </w:r>
      <w:r w:rsidRPr="000F0D8B">
        <w:rPr>
          <w:rFonts w:asciiTheme="minorHAnsi" w:eastAsiaTheme="minorHAnsi" w:hAnsiTheme="minorHAnsi" w:cstheme="minorHAnsi"/>
          <w:bCs/>
          <w:sz w:val="26"/>
          <w:szCs w:val="26"/>
        </w:rPr>
        <w:t>271 lit.</w:t>
      </w:r>
      <w:r w:rsidR="00F83069" w:rsidRPr="000F0D8B">
        <w:rPr>
          <w:rFonts w:asciiTheme="minorHAnsi" w:eastAsiaTheme="minorHAnsi" w:hAnsiTheme="minorHAnsi" w:cstheme="minorHAnsi"/>
          <w:bCs/>
          <w:sz w:val="26"/>
          <w:szCs w:val="26"/>
        </w:rPr>
        <w:t xml:space="preserve"> </w:t>
      </w:r>
      <w:r w:rsidRPr="000F0D8B">
        <w:rPr>
          <w:rFonts w:asciiTheme="minorHAnsi" w:eastAsiaTheme="minorHAnsi" w:hAnsiTheme="minorHAnsi" w:cstheme="minorHAnsi"/>
          <w:bCs/>
          <w:sz w:val="26"/>
          <w:szCs w:val="26"/>
        </w:rPr>
        <w:t>b), lit.</w:t>
      </w:r>
      <w:r w:rsidR="00F83069" w:rsidRPr="000F0D8B">
        <w:rPr>
          <w:rFonts w:asciiTheme="minorHAnsi" w:eastAsiaTheme="minorHAnsi" w:hAnsiTheme="minorHAnsi" w:cstheme="minorHAnsi"/>
          <w:bCs/>
          <w:sz w:val="26"/>
          <w:szCs w:val="26"/>
        </w:rPr>
        <w:t xml:space="preserve"> </w:t>
      </w:r>
      <w:r w:rsidRPr="000F0D8B">
        <w:rPr>
          <w:rFonts w:asciiTheme="minorHAnsi" w:eastAsiaTheme="minorHAnsi" w:hAnsiTheme="minorHAnsi" w:cstheme="minorHAnsi"/>
          <w:bCs/>
          <w:sz w:val="26"/>
          <w:szCs w:val="26"/>
        </w:rPr>
        <w:t>l) și lit. g) teza I din Legea nr. 303/2022 privind statutul judecătorilor şi procurorilor. Hotărârea nu este definitivă.</w:t>
      </w:r>
    </w:p>
    <w:p w14:paraId="24721EAD" w14:textId="575964B2" w:rsidR="00E20E3E" w:rsidRPr="000F0D8B" w:rsidRDefault="00E20E3E" w:rsidP="009E3AD8">
      <w:pPr>
        <w:spacing w:line="276" w:lineRule="auto"/>
        <w:ind w:right="43" w:firstLine="709"/>
        <w:jc w:val="both"/>
        <w:rPr>
          <w:rFonts w:asciiTheme="minorHAnsi" w:eastAsiaTheme="minorHAnsi" w:hAnsiTheme="minorHAnsi" w:cstheme="minorHAnsi"/>
          <w:bCs/>
          <w:sz w:val="26"/>
          <w:szCs w:val="26"/>
        </w:rPr>
      </w:pPr>
      <w:r w:rsidRPr="000F0D8B">
        <w:rPr>
          <w:rFonts w:asciiTheme="minorHAnsi" w:eastAsiaTheme="minorHAnsi" w:hAnsiTheme="minorHAnsi" w:cstheme="minorHAnsi"/>
          <w:bCs/>
          <w:sz w:val="26"/>
          <w:szCs w:val="26"/>
        </w:rPr>
        <w:t xml:space="preserve">Prin Hotărârea nr. 4J din 18 iunie 2025, pronunțată în dosarul nr. 1/J/2024 </w:t>
      </w:r>
      <w:r w:rsidRPr="000F0D8B">
        <w:rPr>
          <w:rFonts w:asciiTheme="minorHAnsi" w:hAnsiTheme="minorHAnsi" w:cstheme="minorHAnsi"/>
          <w:bCs/>
          <w:sz w:val="26"/>
          <w:szCs w:val="26"/>
        </w:rPr>
        <w:t>(casare cu trimitere spre rejudecare)</w:t>
      </w:r>
      <w:r w:rsidRPr="000F0D8B">
        <w:rPr>
          <w:rFonts w:asciiTheme="minorHAnsi" w:eastAsiaTheme="minorHAnsi" w:hAnsiTheme="minorHAnsi" w:cstheme="minorHAnsi"/>
          <w:bCs/>
          <w:sz w:val="26"/>
          <w:szCs w:val="26"/>
        </w:rPr>
        <w:t xml:space="preserve">, cu majoritate, s-a admis acțiunea disciplinară şi s-a aplicat pârâtului sancţiunea disciplinară constând în </w:t>
      </w:r>
      <w:r w:rsidR="00AF4512" w:rsidRPr="000F0D8B">
        <w:rPr>
          <w:rFonts w:asciiTheme="minorHAnsi" w:eastAsiaTheme="minorHAnsi" w:hAnsiTheme="minorHAnsi" w:cstheme="minorHAnsi"/>
          <w:bCs/>
          <w:sz w:val="26"/>
          <w:szCs w:val="26"/>
        </w:rPr>
        <w:t>„</w:t>
      </w:r>
      <w:r w:rsidRPr="000F0D8B">
        <w:rPr>
          <w:rFonts w:asciiTheme="minorHAnsi" w:eastAsiaTheme="minorHAnsi" w:hAnsiTheme="minorHAnsi" w:cstheme="minorHAnsi"/>
          <w:bCs/>
          <w:sz w:val="26"/>
          <w:szCs w:val="26"/>
        </w:rPr>
        <w:t>diminuarea indemnizației de încadrare lunare brute cu 25% pe o perioadă de 1 an”  pentru săvârșirea abaterilor disciplinare prevăzute de art.</w:t>
      </w:r>
      <w:r w:rsidR="00AF4512" w:rsidRPr="000F0D8B">
        <w:rPr>
          <w:rFonts w:asciiTheme="minorHAnsi" w:eastAsiaTheme="minorHAnsi" w:hAnsiTheme="minorHAnsi" w:cstheme="minorHAnsi"/>
          <w:bCs/>
          <w:sz w:val="26"/>
          <w:szCs w:val="26"/>
        </w:rPr>
        <w:t xml:space="preserve"> </w:t>
      </w:r>
      <w:r w:rsidRPr="000F0D8B">
        <w:rPr>
          <w:rFonts w:asciiTheme="minorHAnsi" w:eastAsiaTheme="minorHAnsi" w:hAnsiTheme="minorHAnsi" w:cstheme="minorHAnsi"/>
          <w:bCs/>
          <w:sz w:val="26"/>
          <w:szCs w:val="26"/>
        </w:rPr>
        <w:t xml:space="preserve">271 lit. a) şi lit. m) din Legea nr. 303/2022 privind statutul judecătorilor şi procurorilor. Prin decizia civilă nr. 150 din 20.10.2025, pronunțată de Înalta Curte de Casație şi Justiție s-a admis recursul declarat de pârât, s-a casat hotărârea atacată, şi, în rejudecare, s-a respins acţiunea disciplinară </w:t>
      </w:r>
      <w:r w:rsidR="000B2BEB">
        <w:rPr>
          <w:rFonts w:asciiTheme="minorHAnsi" w:eastAsiaTheme="minorHAnsi" w:hAnsiTheme="minorHAnsi" w:cstheme="minorHAnsi"/>
          <w:bCs/>
          <w:sz w:val="26"/>
          <w:szCs w:val="26"/>
        </w:rPr>
        <w:t xml:space="preserve">exercitată </w:t>
      </w:r>
      <w:r w:rsidRPr="000F0D8B">
        <w:rPr>
          <w:rFonts w:asciiTheme="minorHAnsi" w:eastAsiaTheme="minorHAnsi" w:hAnsiTheme="minorHAnsi" w:cstheme="minorHAnsi"/>
          <w:bCs/>
          <w:sz w:val="26"/>
          <w:szCs w:val="26"/>
        </w:rPr>
        <w:t xml:space="preserve">pentru săvârşirea abaterii disciplinare prevăzute de art. 99 lit. b) din Legea nr. 303/2004 privind statutul judecătorilor şi procurorilor, republicată, cu modificările şi completările ulterioare </w:t>
      </w:r>
      <w:r w:rsidR="007E3BED">
        <w:rPr>
          <w:rFonts w:asciiTheme="minorHAnsi" w:eastAsiaTheme="minorHAnsi" w:hAnsiTheme="minorHAnsi" w:cstheme="minorHAnsi"/>
          <w:bCs/>
          <w:sz w:val="26"/>
          <w:szCs w:val="26"/>
        </w:rPr>
        <w:t>(</w:t>
      </w:r>
      <w:r w:rsidRPr="000F0D8B">
        <w:rPr>
          <w:rFonts w:asciiTheme="minorHAnsi" w:eastAsiaTheme="minorHAnsi" w:hAnsiTheme="minorHAnsi" w:cstheme="minorHAnsi"/>
          <w:bCs/>
          <w:sz w:val="26"/>
          <w:szCs w:val="26"/>
        </w:rPr>
        <w:t>actual art. 271 lit. a) din Legea nr. 303/2022</w:t>
      </w:r>
      <w:r w:rsidR="007E3BED">
        <w:rPr>
          <w:rFonts w:asciiTheme="minorHAnsi" w:eastAsiaTheme="minorHAnsi" w:hAnsiTheme="minorHAnsi" w:cstheme="minorHAnsi"/>
          <w:bCs/>
          <w:sz w:val="26"/>
          <w:szCs w:val="26"/>
        </w:rPr>
        <w:t>)</w:t>
      </w:r>
      <w:r w:rsidRPr="000F0D8B">
        <w:rPr>
          <w:rFonts w:asciiTheme="minorHAnsi" w:eastAsiaTheme="minorHAnsi" w:hAnsiTheme="minorHAnsi" w:cstheme="minorHAnsi"/>
          <w:bCs/>
          <w:sz w:val="26"/>
          <w:szCs w:val="26"/>
        </w:rPr>
        <w:t xml:space="preserve">, ca neîntemeiată. De asemenea, prin aceeaşi hotărâre, s-a admis acţiunea disciplinară exercitată de reclamantă pentru săvârşirea abaterii disciplinare prevăzute de art. 99 lit. n) din Legea nr. 303/2004 privind statutul judecătorilor şi procurorilor, </w:t>
      </w:r>
      <w:r w:rsidRPr="000F0D8B">
        <w:rPr>
          <w:rFonts w:asciiTheme="minorHAnsi" w:eastAsiaTheme="minorHAnsi" w:hAnsiTheme="minorHAnsi" w:cstheme="minorHAnsi"/>
          <w:bCs/>
          <w:sz w:val="26"/>
          <w:szCs w:val="26"/>
        </w:rPr>
        <w:lastRenderedPageBreak/>
        <w:t xml:space="preserve">republicată, cu modificările şi completările ulterioare </w:t>
      </w:r>
      <w:r w:rsidR="007E3BED">
        <w:rPr>
          <w:rFonts w:asciiTheme="minorHAnsi" w:eastAsiaTheme="minorHAnsi" w:hAnsiTheme="minorHAnsi" w:cstheme="minorHAnsi"/>
          <w:bCs/>
          <w:sz w:val="26"/>
          <w:szCs w:val="26"/>
        </w:rPr>
        <w:t>(</w:t>
      </w:r>
      <w:r w:rsidRPr="000F0D8B">
        <w:rPr>
          <w:rFonts w:asciiTheme="minorHAnsi" w:eastAsiaTheme="minorHAnsi" w:hAnsiTheme="minorHAnsi" w:cstheme="minorHAnsi"/>
          <w:bCs/>
          <w:sz w:val="26"/>
          <w:szCs w:val="26"/>
        </w:rPr>
        <w:t>actual art. 271 lit. m) din Legea nr. 303/2022</w:t>
      </w:r>
      <w:r w:rsidR="007E3BED">
        <w:rPr>
          <w:rFonts w:asciiTheme="minorHAnsi" w:eastAsiaTheme="minorHAnsi" w:hAnsiTheme="minorHAnsi" w:cstheme="minorHAnsi"/>
          <w:bCs/>
          <w:sz w:val="26"/>
          <w:szCs w:val="26"/>
        </w:rPr>
        <w:t>)</w:t>
      </w:r>
      <w:r w:rsidRPr="000F0D8B">
        <w:rPr>
          <w:rFonts w:asciiTheme="minorHAnsi" w:eastAsiaTheme="minorHAnsi" w:hAnsiTheme="minorHAnsi" w:cstheme="minorHAnsi"/>
          <w:bCs/>
          <w:sz w:val="26"/>
          <w:szCs w:val="26"/>
        </w:rPr>
        <w:t xml:space="preserve"> şi s-a aplicat pârâtului sancţiunea disciplinară constând în diminuarea indemnizaţiei de încadrare lunare brute cu 25% pe o perioadă de un an pentru săvârşirea abaterii disciplinare prevăzute de art. 99 lit. n) din Legea nr. 303/2004, republicată, </w:t>
      </w:r>
      <w:r w:rsidR="007E3BED">
        <w:rPr>
          <w:rFonts w:asciiTheme="minorHAnsi" w:eastAsiaTheme="minorHAnsi" w:hAnsiTheme="minorHAnsi" w:cstheme="minorHAnsi"/>
          <w:bCs/>
          <w:sz w:val="26"/>
          <w:szCs w:val="26"/>
        </w:rPr>
        <w:t>(</w:t>
      </w:r>
      <w:r w:rsidRPr="000F0D8B">
        <w:rPr>
          <w:rFonts w:asciiTheme="minorHAnsi" w:eastAsiaTheme="minorHAnsi" w:hAnsiTheme="minorHAnsi" w:cstheme="minorHAnsi"/>
          <w:bCs/>
          <w:sz w:val="26"/>
          <w:szCs w:val="26"/>
        </w:rPr>
        <w:t>actual art. 271 lit. m) din Legea nr. 303/2022</w:t>
      </w:r>
      <w:r w:rsidR="007E3BED">
        <w:rPr>
          <w:rFonts w:asciiTheme="minorHAnsi" w:eastAsiaTheme="minorHAnsi" w:hAnsiTheme="minorHAnsi" w:cstheme="minorHAnsi"/>
          <w:bCs/>
          <w:sz w:val="26"/>
          <w:szCs w:val="26"/>
        </w:rPr>
        <w:t>)</w:t>
      </w:r>
      <w:r w:rsidRPr="000F0D8B">
        <w:rPr>
          <w:rFonts w:asciiTheme="minorHAnsi" w:eastAsiaTheme="minorHAnsi" w:hAnsiTheme="minorHAnsi" w:cstheme="minorHAnsi"/>
          <w:bCs/>
          <w:sz w:val="26"/>
          <w:szCs w:val="26"/>
        </w:rPr>
        <w:t>.</w:t>
      </w:r>
    </w:p>
    <w:p w14:paraId="490FAA83" w14:textId="77429C65" w:rsidR="00E20E3E" w:rsidRPr="000F0D8B" w:rsidRDefault="00E20E3E" w:rsidP="009E3AD8">
      <w:pPr>
        <w:spacing w:line="276" w:lineRule="auto"/>
        <w:ind w:right="43" w:firstLine="709"/>
        <w:jc w:val="both"/>
        <w:rPr>
          <w:rFonts w:asciiTheme="minorHAnsi" w:eastAsiaTheme="minorHAnsi" w:hAnsiTheme="minorHAnsi" w:cstheme="minorHAnsi"/>
          <w:bCs/>
          <w:sz w:val="26"/>
          <w:szCs w:val="26"/>
        </w:rPr>
      </w:pPr>
      <w:r w:rsidRPr="000F0D8B">
        <w:rPr>
          <w:rFonts w:asciiTheme="minorHAnsi" w:eastAsiaTheme="minorHAnsi" w:hAnsiTheme="minorHAnsi" w:cstheme="minorHAnsi"/>
          <w:bCs/>
          <w:sz w:val="26"/>
          <w:szCs w:val="26"/>
        </w:rPr>
        <w:t>Prin Hotărârea nr. 5J din 11 iulie 2025 pronunțată, în dosarul nr. 7/J/2024, cu unanimitate, s-a respins acţiunea disciplinară formulată împotriva pârâtei pentru săvârşirea abaterilor disciplinare prevăzute de art. 271 lit. b), lit.</w:t>
      </w:r>
      <w:r w:rsidR="000A3408" w:rsidRPr="000F0D8B">
        <w:rPr>
          <w:rFonts w:asciiTheme="minorHAnsi" w:eastAsiaTheme="minorHAnsi" w:hAnsiTheme="minorHAnsi" w:cstheme="minorHAnsi"/>
          <w:bCs/>
          <w:sz w:val="26"/>
          <w:szCs w:val="26"/>
        </w:rPr>
        <w:t xml:space="preserve"> </w:t>
      </w:r>
      <w:r w:rsidRPr="000F0D8B">
        <w:rPr>
          <w:rFonts w:asciiTheme="minorHAnsi" w:eastAsiaTheme="minorHAnsi" w:hAnsiTheme="minorHAnsi" w:cstheme="minorHAnsi"/>
          <w:bCs/>
          <w:sz w:val="26"/>
          <w:szCs w:val="26"/>
        </w:rPr>
        <w:t>g) teza I, lit.</w:t>
      </w:r>
      <w:r w:rsidR="000A3408" w:rsidRPr="000F0D8B">
        <w:rPr>
          <w:rFonts w:asciiTheme="minorHAnsi" w:eastAsiaTheme="minorHAnsi" w:hAnsiTheme="minorHAnsi" w:cstheme="minorHAnsi"/>
          <w:bCs/>
          <w:sz w:val="26"/>
          <w:szCs w:val="26"/>
        </w:rPr>
        <w:t xml:space="preserve"> </w:t>
      </w:r>
      <w:r w:rsidRPr="000F0D8B">
        <w:rPr>
          <w:rFonts w:asciiTheme="minorHAnsi" w:eastAsiaTheme="minorHAnsi" w:hAnsiTheme="minorHAnsi" w:cstheme="minorHAnsi"/>
          <w:bCs/>
          <w:sz w:val="26"/>
          <w:szCs w:val="26"/>
        </w:rPr>
        <w:t>h) teza a II a și art.</w:t>
      </w:r>
      <w:r w:rsidR="000A3408" w:rsidRPr="000F0D8B">
        <w:rPr>
          <w:rFonts w:asciiTheme="minorHAnsi" w:eastAsiaTheme="minorHAnsi" w:hAnsiTheme="minorHAnsi" w:cstheme="minorHAnsi"/>
          <w:bCs/>
          <w:sz w:val="26"/>
          <w:szCs w:val="26"/>
        </w:rPr>
        <w:t xml:space="preserve"> </w:t>
      </w:r>
      <w:r w:rsidRPr="000F0D8B">
        <w:rPr>
          <w:rFonts w:asciiTheme="minorHAnsi" w:eastAsiaTheme="minorHAnsi" w:hAnsiTheme="minorHAnsi" w:cstheme="minorHAnsi"/>
          <w:bCs/>
          <w:sz w:val="26"/>
          <w:szCs w:val="26"/>
        </w:rPr>
        <w:t>271 lit.</w:t>
      </w:r>
      <w:r w:rsidR="000A3408" w:rsidRPr="000F0D8B">
        <w:rPr>
          <w:rFonts w:asciiTheme="minorHAnsi" w:eastAsiaTheme="minorHAnsi" w:hAnsiTheme="minorHAnsi" w:cstheme="minorHAnsi"/>
          <w:bCs/>
          <w:sz w:val="26"/>
          <w:szCs w:val="26"/>
        </w:rPr>
        <w:t xml:space="preserve"> </w:t>
      </w:r>
      <w:r w:rsidRPr="000F0D8B">
        <w:rPr>
          <w:rFonts w:asciiTheme="minorHAnsi" w:eastAsiaTheme="minorHAnsi" w:hAnsiTheme="minorHAnsi" w:cstheme="minorHAnsi"/>
          <w:bCs/>
          <w:sz w:val="26"/>
          <w:szCs w:val="26"/>
        </w:rPr>
        <w:t>s) teza a II a din Legea nr. 303/2022 privind statutul judecătorilor și procurorilor, ca neîntemeiată, pentru lipsa laturii subiective a abaterilor disciplinare. Hotărârea este definitivă prin nerecurare.</w:t>
      </w:r>
    </w:p>
    <w:p w14:paraId="790D515B" w14:textId="433D3A00" w:rsidR="00E20E3E" w:rsidRDefault="00E20E3E" w:rsidP="009E3AD8">
      <w:pPr>
        <w:spacing w:line="276" w:lineRule="auto"/>
        <w:ind w:right="43" w:firstLine="709"/>
        <w:jc w:val="both"/>
        <w:rPr>
          <w:rFonts w:asciiTheme="minorHAnsi" w:eastAsiaTheme="minorHAnsi" w:hAnsiTheme="minorHAnsi" w:cstheme="minorHAnsi"/>
          <w:bCs/>
          <w:sz w:val="26"/>
          <w:szCs w:val="26"/>
        </w:rPr>
      </w:pPr>
      <w:r w:rsidRPr="000F0D8B">
        <w:rPr>
          <w:rFonts w:asciiTheme="minorHAnsi" w:eastAsiaTheme="minorHAnsi" w:hAnsiTheme="minorHAnsi" w:cstheme="minorHAnsi"/>
          <w:bCs/>
          <w:sz w:val="26"/>
          <w:szCs w:val="26"/>
        </w:rPr>
        <w:t xml:space="preserve">Prin Hotărârea nr. 6J din 11 iulie 2025, pronunțată în dosarul nr. 2/J/2025, cu unanimitate,  s-a admis acțiunea disciplinară şi s-a aplicat pârâtului sancţiunea disciplinară constând în </w:t>
      </w:r>
      <w:r w:rsidR="005A3E2C" w:rsidRPr="000F0D8B">
        <w:rPr>
          <w:rFonts w:asciiTheme="minorHAnsi" w:eastAsiaTheme="minorHAnsi" w:hAnsiTheme="minorHAnsi" w:cstheme="minorHAnsi"/>
          <w:bCs/>
          <w:sz w:val="26"/>
          <w:szCs w:val="26"/>
        </w:rPr>
        <w:t>„</w:t>
      </w:r>
      <w:r w:rsidRPr="000F0D8B">
        <w:rPr>
          <w:rFonts w:asciiTheme="minorHAnsi" w:eastAsiaTheme="minorHAnsi" w:hAnsiTheme="minorHAnsi" w:cstheme="minorHAnsi"/>
          <w:bCs/>
          <w:sz w:val="26"/>
          <w:szCs w:val="26"/>
        </w:rPr>
        <w:t>suspendarea din funcție pe o perioadă de 6 luni” pentru săvârşirea abaterii disciplinare prevăzute de art.</w:t>
      </w:r>
      <w:r w:rsidR="005A3E2C" w:rsidRPr="000F0D8B">
        <w:rPr>
          <w:rFonts w:asciiTheme="minorHAnsi" w:eastAsiaTheme="minorHAnsi" w:hAnsiTheme="minorHAnsi" w:cstheme="minorHAnsi"/>
          <w:bCs/>
          <w:sz w:val="26"/>
          <w:szCs w:val="26"/>
        </w:rPr>
        <w:t xml:space="preserve"> </w:t>
      </w:r>
      <w:r w:rsidRPr="000F0D8B">
        <w:rPr>
          <w:rFonts w:asciiTheme="minorHAnsi" w:eastAsiaTheme="minorHAnsi" w:hAnsiTheme="minorHAnsi" w:cstheme="minorHAnsi"/>
          <w:bCs/>
          <w:sz w:val="26"/>
          <w:szCs w:val="26"/>
        </w:rPr>
        <w:t>271 lit. q) teza I din Legea nr. 303/2022 privind statutul judecătorilor şi procurorilor. Hotărârea nu este definitivă.</w:t>
      </w:r>
    </w:p>
    <w:p w14:paraId="2961CA30" w14:textId="70791422" w:rsidR="00C254B7" w:rsidRPr="00255A74" w:rsidRDefault="00C254B7" w:rsidP="00C254B7">
      <w:pPr>
        <w:spacing w:line="276" w:lineRule="auto"/>
        <w:ind w:right="43" w:firstLine="709"/>
        <w:jc w:val="both"/>
        <w:rPr>
          <w:rFonts w:asciiTheme="minorHAnsi" w:eastAsiaTheme="minorHAnsi" w:hAnsiTheme="minorHAnsi" w:cstheme="minorHAnsi"/>
          <w:bCs/>
          <w:sz w:val="26"/>
          <w:szCs w:val="26"/>
        </w:rPr>
      </w:pPr>
      <w:r w:rsidRPr="00255A74">
        <w:rPr>
          <w:rFonts w:asciiTheme="minorHAnsi" w:eastAsiaTheme="minorHAnsi" w:hAnsiTheme="minorHAnsi" w:cstheme="minorHAnsi"/>
          <w:bCs/>
          <w:sz w:val="26"/>
          <w:szCs w:val="26"/>
        </w:rPr>
        <w:t xml:space="preserve">Prin Hotărârea nr. 7J din 5 noiembrie 2025, pronunțată în dosarul nr. 3/J/2025, cu majoritate, s-a admis acțiunea disciplinară şi s-a aplicat pârâtului sancțiunea disciplinară constând în </w:t>
      </w:r>
      <w:r w:rsidR="00E9407C" w:rsidRPr="00255A74">
        <w:rPr>
          <w:rFonts w:asciiTheme="minorHAnsi" w:eastAsiaTheme="minorHAnsi" w:hAnsiTheme="minorHAnsi" w:cstheme="minorHAnsi"/>
          <w:bCs/>
          <w:sz w:val="26"/>
          <w:szCs w:val="26"/>
        </w:rPr>
        <w:t>„</w:t>
      </w:r>
      <w:r w:rsidRPr="00255A74">
        <w:rPr>
          <w:rFonts w:asciiTheme="minorHAnsi" w:eastAsiaTheme="minorHAnsi" w:hAnsiTheme="minorHAnsi" w:cstheme="minorHAnsi"/>
          <w:bCs/>
          <w:sz w:val="26"/>
          <w:szCs w:val="26"/>
        </w:rPr>
        <w:t>diminuarea indemnizației de încadrare lunare brute cu 20% pe o perioadă de 6 luni” pentru săvârșirea abaterii disciplinare prevăzute de art.271 lit. g) teza I din Legea nr. 303/2022 privind statutul judecătorilor şi procurorilor. Hotărârea este definitivă prin nerecurare.</w:t>
      </w:r>
    </w:p>
    <w:p w14:paraId="279669FB" w14:textId="3CBB008C" w:rsidR="00C254B7" w:rsidRPr="00255A74" w:rsidRDefault="00C254B7" w:rsidP="00C254B7">
      <w:pPr>
        <w:spacing w:line="276" w:lineRule="auto"/>
        <w:ind w:right="43" w:firstLine="709"/>
        <w:jc w:val="both"/>
        <w:rPr>
          <w:rFonts w:asciiTheme="minorHAnsi" w:eastAsiaTheme="minorHAnsi" w:hAnsiTheme="minorHAnsi" w:cstheme="minorHAnsi"/>
          <w:bCs/>
          <w:sz w:val="26"/>
          <w:szCs w:val="26"/>
        </w:rPr>
      </w:pPr>
      <w:r w:rsidRPr="00255A74">
        <w:rPr>
          <w:rFonts w:asciiTheme="minorHAnsi" w:eastAsiaTheme="minorHAnsi" w:hAnsiTheme="minorHAnsi" w:cstheme="minorHAnsi"/>
          <w:bCs/>
          <w:sz w:val="26"/>
          <w:szCs w:val="26"/>
        </w:rPr>
        <w:t xml:space="preserve">Prin Hotărârea nr. 8J din 19 noiembrie 2025, pronunțată în dosarul nr. 5/J/2025, cu majoritate, s-a admis acțiunea disciplinară şi s-a aplicat pârâtei sancţiunea disciplinară constând în </w:t>
      </w:r>
      <w:r w:rsidR="00E9407C" w:rsidRPr="00255A74">
        <w:rPr>
          <w:rFonts w:asciiTheme="minorHAnsi" w:eastAsiaTheme="minorHAnsi" w:hAnsiTheme="minorHAnsi" w:cstheme="minorHAnsi"/>
          <w:bCs/>
          <w:sz w:val="26"/>
          <w:szCs w:val="26"/>
        </w:rPr>
        <w:t>„</w:t>
      </w:r>
      <w:r w:rsidRPr="00255A74">
        <w:rPr>
          <w:rFonts w:asciiTheme="minorHAnsi" w:eastAsiaTheme="minorHAnsi" w:hAnsiTheme="minorHAnsi" w:cstheme="minorHAnsi"/>
          <w:bCs/>
          <w:sz w:val="26"/>
          <w:szCs w:val="26"/>
        </w:rPr>
        <w:t>avertisment” pentru săvârşirea abaterii disciplinare prevăzute de art.271 lit. l) din Legea nr. 303/2022 privind statutul judecătorilor şi procurorilor. Hotărârea nu este definitivă.</w:t>
      </w:r>
    </w:p>
    <w:p w14:paraId="506C9428" w14:textId="37C2BF76" w:rsidR="00C254B7" w:rsidRPr="00255A74" w:rsidRDefault="00C254B7" w:rsidP="00C254B7">
      <w:pPr>
        <w:spacing w:line="276" w:lineRule="auto"/>
        <w:ind w:right="43" w:firstLine="709"/>
        <w:jc w:val="both"/>
        <w:rPr>
          <w:rFonts w:asciiTheme="minorHAnsi" w:eastAsiaTheme="minorHAnsi" w:hAnsiTheme="minorHAnsi" w:cstheme="minorHAnsi"/>
          <w:bCs/>
          <w:sz w:val="26"/>
          <w:szCs w:val="26"/>
        </w:rPr>
      </w:pPr>
      <w:r w:rsidRPr="00255A74">
        <w:rPr>
          <w:rFonts w:asciiTheme="minorHAnsi" w:eastAsiaTheme="minorHAnsi" w:hAnsiTheme="minorHAnsi" w:cstheme="minorHAnsi"/>
          <w:bCs/>
          <w:sz w:val="26"/>
          <w:szCs w:val="26"/>
        </w:rPr>
        <w:t xml:space="preserve">Prin Hotărârea nr. 9J din 19 noiembrie 2025, pronunțată în dosarul nr. 6/J/2025, cu majoritate, s-a admis acțiunea disciplinară şi s-a aplicat pârâtei sancţiunea disciplinară constând în </w:t>
      </w:r>
      <w:r w:rsidR="00E9407C" w:rsidRPr="00255A74">
        <w:rPr>
          <w:rFonts w:asciiTheme="minorHAnsi" w:eastAsiaTheme="minorHAnsi" w:hAnsiTheme="minorHAnsi" w:cstheme="minorHAnsi"/>
          <w:bCs/>
          <w:sz w:val="26"/>
          <w:szCs w:val="26"/>
        </w:rPr>
        <w:t>„</w:t>
      </w:r>
      <w:r w:rsidRPr="00255A74">
        <w:rPr>
          <w:rFonts w:asciiTheme="minorHAnsi" w:eastAsiaTheme="minorHAnsi" w:hAnsiTheme="minorHAnsi" w:cstheme="minorHAnsi"/>
          <w:bCs/>
          <w:sz w:val="26"/>
          <w:szCs w:val="26"/>
        </w:rPr>
        <w:t>avertisment” pentru săvârşirea abaterii disciplinare prevăzute de art.271 lit. q) teza I din Legea nr. 303/2022 privind statutul judecătorilor şi procurorilor. Hotărârea este definitivă prin nerecurare.</w:t>
      </w:r>
    </w:p>
    <w:p w14:paraId="707C916E" w14:textId="77777777" w:rsidR="00C254B7" w:rsidRPr="00255A74" w:rsidRDefault="00C254B7" w:rsidP="00C254B7">
      <w:pPr>
        <w:spacing w:line="276" w:lineRule="auto"/>
        <w:ind w:right="43" w:firstLine="709"/>
        <w:jc w:val="both"/>
        <w:rPr>
          <w:rFonts w:asciiTheme="minorHAnsi" w:eastAsiaTheme="minorHAnsi" w:hAnsiTheme="minorHAnsi" w:cstheme="minorHAnsi"/>
          <w:bCs/>
          <w:sz w:val="26"/>
          <w:szCs w:val="26"/>
        </w:rPr>
      </w:pPr>
      <w:r w:rsidRPr="00255A74">
        <w:rPr>
          <w:rFonts w:asciiTheme="minorHAnsi" w:eastAsiaTheme="minorHAnsi" w:hAnsiTheme="minorHAnsi" w:cstheme="minorHAnsi"/>
          <w:bCs/>
          <w:sz w:val="26"/>
          <w:szCs w:val="26"/>
        </w:rPr>
        <w:t>Prin Hotărârea nr. 10J din 3 decembrie 2025, pronunțată în dosarul nr. 7/J/2025, s-a respins acțiunea disciplinară exercitată pentru săvârșirea abaterii disciplinare prevăzute de art. 271 lit. q) teza I din Legea nr. 303/2022 privind statutul judecătorilor şi procurorilor, ca neîntemeiată. Hotărârea nu este definitivă.</w:t>
      </w:r>
    </w:p>
    <w:p w14:paraId="75E40D10" w14:textId="77777777" w:rsidR="00C254B7" w:rsidRPr="00255A74" w:rsidRDefault="00C254B7" w:rsidP="00C254B7">
      <w:pPr>
        <w:spacing w:line="276" w:lineRule="auto"/>
        <w:ind w:right="43" w:firstLine="709"/>
        <w:jc w:val="both"/>
        <w:rPr>
          <w:rFonts w:asciiTheme="minorHAnsi" w:eastAsiaTheme="minorHAnsi" w:hAnsiTheme="minorHAnsi" w:cstheme="minorHAnsi"/>
          <w:bCs/>
          <w:sz w:val="26"/>
          <w:szCs w:val="26"/>
        </w:rPr>
      </w:pPr>
      <w:r w:rsidRPr="00255A74">
        <w:rPr>
          <w:rFonts w:asciiTheme="minorHAnsi" w:eastAsiaTheme="minorHAnsi" w:hAnsiTheme="minorHAnsi" w:cstheme="minorHAnsi"/>
          <w:bCs/>
          <w:sz w:val="26"/>
          <w:szCs w:val="26"/>
        </w:rPr>
        <w:t>Prin Hotărârea nr. 11J din 3 decembrie 2025, pronunțată în dosarul nr. 4/J/2025, s-a respins acțiunea disciplinară exercitată pentru săvârșirea abaterii disciplinare prevăzute de art. 271 lit. q) teza I din Legea nr. 303/2022 privind statutul judecătorilor şi procurorilor, ca neîntemeiată. Hotărârea nu este definitivă.</w:t>
      </w:r>
    </w:p>
    <w:p w14:paraId="48D6126D" w14:textId="77777777" w:rsidR="00C254B7" w:rsidRPr="00255A74" w:rsidRDefault="00C254B7" w:rsidP="00C254B7">
      <w:pPr>
        <w:spacing w:line="276" w:lineRule="auto"/>
        <w:ind w:right="43" w:firstLine="709"/>
        <w:jc w:val="both"/>
        <w:rPr>
          <w:rFonts w:asciiTheme="minorHAnsi" w:eastAsiaTheme="minorHAnsi" w:hAnsiTheme="minorHAnsi" w:cstheme="minorHAnsi"/>
          <w:bCs/>
          <w:sz w:val="26"/>
          <w:szCs w:val="26"/>
        </w:rPr>
      </w:pPr>
      <w:r w:rsidRPr="00255A74">
        <w:rPr>
          <w:rFonts w:asciiTheme="minorHAnsi" w:eastAsiaTheme="minorHAnsi" w:hAnsiTheme="minorHAnsi" w:cstheme="minorHAnsi"/>
          <w:bCs/>
          <w:sz w:val="26"/>
          <w:szCs w:val="26"/>
        </w:rPr>
        <w:t xml:space="preserve">Astfel, până la data de 31 decembrie 2025, Secția pentru judecători în materie disciplinară a pronunțat un număr de 11 hotărâri, după cum urmează: </w:t>
      </w:r>
    </w:p>
    <w:p w14:paraId="578DC3ED" w14:textId="77777777" w:rsidR="00C254B7" w:rsidRPr="00255A74" w:rsidRDefault="00C254B7" w:rsidP="00C254B7">
      <w:pPr>
        <w:spacing w:line="276" w:lineRule="auto"/>
        <w:ind w:right="43" w:firstLine="709"/>
        <w:jc w:val="both"/>
        <w:rPr>
          <w:rFonts w:asciiTheme="minorHAnsi" w:eastAsiaTheme="minorHAnsi" w:hAnsiTheme="minorHAnsi" w:cstheme="minorHAnsi"/>
          <w:bCs/>
          <w:sz w:val="26"/>
          <w:szCs w:val="26"/>
        </w:rPr>
      </w:pPr>
      <w:r w:rsidRPr="00255A74">
        <w:rPr>
          <w:rFonts w:asciiTheme="minorHAnsi" w:eastAsiaTheme="minorHAnsi" w:hAnsiTheme="minorHAnsi" w:cstheme="minorHAnsi"/>
          <w:bCs/>
          <w:sz w:val="26"/>
          <w:szCs w:val="26"/>
        </w:rPr>
        <w:t>- 8 acțiuni disciplinare admise (4 hotărâri definitive, 4 hotărâri nedefinitive);</w:t>
      </w:r>
    </w:p>
    <w:p w14:paraId="74A23D40" w14:textId="77777777" w:rsidR="00C254B7" w:rsidRPr="00255A74" w:rsidRDefault="00C254B7" w:rsidP="00C254B7">
      <w:pPr>
        <w:spacing w:line="276" w:lineRule="auto"/>
        <w:ind w:right="43" w:firstLine="709"/>
        <w:jc w:val="both"/>
        <w:rPr>
          <w:rFonts w:asciiTheme="minorHAnsi" w:eastAsiaTheme="minorHAnsi" w:hAnsiTheme="minorHAnsi" w:cstheme="minorHAnsi"/>
          <w:bCs/>
          <w:sz w:val="26"/>
          <w:szCs w:val="26"/>
        </w:rPr>
      </w:pPr>
      <w:r w:rsidRPr="00255A74">
        <w:rPr>
          <w:rFonts w:asciiTheme="minorHAnsi" w:eastAsiaTheme="minorHAnsi" w:hAnsiTheme="minorHAnsi" w:cstheme="minorHAnsi"/>
          <w:bCs/>
          <w:sz w:val="26"/>
          <w:szCs w:val="26"/>
        </w:rPr>
        <w:t>- 3 acțiuni disciplinare respinse (o hotărâre definitivă, 2 hotărâri nedefinitive).</w:t>
      </w:r>
    </w:p>
    <w:p w14:paraId="0F14BE82" w14:textId="77777777" w:rsidR="00C254B7" w:rsidRPr="00255A74" w:rsidRDefault="00C254B7" w:rsidP="00C254B7">
      <w:pPr>
        <w:spacing w:line="276" w:lineRule="auto"/>
        <w:ind w:right="43" w:firstLine="709"/>
        <w:jc w:val="both"/>
        <w:rPr>
          <w:rFonts w:asciiTheme="minorHAnsi" w:eastAsiaTheme="minorHAnsi" w:hAnsiTheme="minorHAnsi" w:cstheme="minorHAnsi"/>
          <w:bCs/>
          <w:sz w:val="26"/>
          <w:szCs w:val="26"/>
        </w:rPr>
      </w:pPr>
      <w:r w:rsidRPr="00255A74">
        <w:rPr>
          <w:rFonts w:asciiTheme="minorHAnsi" w:eastAsiaTheme="minorHAnsi" w:hAnsiTheme="minorHAnsi" w:cstheme="minorHAnsi"/>
          <w:bCs/>
          <w:sz w:val="26"/>
          <w:szCs w:val="26"/>
        </w:rPr>
        <w:t>Prin încheierea din data de 19 noiembrie 2025, Secţia pentru judecători în materie disciplinară a dispus suspendarea judecăţii dosarului nr. 8/J/2025.</w:t>
      </w:r>
    </w:p>
    <w:p w14:paraId="1EE6D750" w14:textId="29DD3740" w:rsidR="00C254B7" w:rsidRPr="00255A74" w:rsidRDefault="00C254B7" w:rsidP="00C254B7">
      <w:pPr>
        <w:spacing w:line="276" w:lineRule="auto"/>
        <w:ind w:right="43" w:firstLine="709"/>
        <w:jc w:val="both"/>
        <w:rPr>
          <w:rFonts w:asciiTheme="minorHAnsi" w:eastAsiaTheme="minorHAnsi" w:hAnsiTheme="minorHAnsi" w:cstheme="minorHAnsi"/>
          <w:bCs/>
          <w:sz w:val="26"/>
          <w:szCs w:val="26"/>
        </w:rPr>
      </w:pPr>
      <w:r w:rsidRPr="00255A74">
        <w:rPr>
          <w:rFonts w:asciiTheme="minorHAnsi" w:eastAsiaTheme="minorHAnsi" w:hAnsiTheme="minorHAnsi" w:cstheme="minorHAnsi"/>
          <w:bCs/>
          <w:sz w:val="26"/>
          <w:szCs w:val="26"/>
        </w:rPr>
        <w:lastRenderedPageBreak/>
        <w:t>La data de 31 decembrie 2025, pe rolul Secției pentru judecători în materie disciplinară se află un număr de 7 dosare în vederea soluționării.</w:t>
      </w:r>
    </w:p>
    <w:p w14:paraId="10C020F5" w14:textId="20081528" w:rsidR="00E20E3E" w:rsidRPr="00255A74" w:rsidRDefault="00E20E3E" w:rsidP="009E3AD8">
      <w:pPr>
        <w:spacing w:line="276" w:lineRule="auto"/>
        <w:ind w:right="43" w:firstLine="709"/>
        <w:jc w:val="both"/>
        <w:rPr>
          <w:rFonts w:asciiTheme="minorHAnsi" w:eastAsiaTheme="minorHAnsi" w:hAnsiTheme="minorHAnsi" w:cstheme="minorHAnsi"/>
          <w:bCs/>
          <w:sz w:val="26"/>
          <w:szCs w:val="26"/>
        </w:rPr>
      </w:pPr>
      <w:r w:rsidRPr="00255A74">
        <w:rPr>
          <w:rFonts w:asciiTheme="minorHAnsi" w:eastAsiaTheme="minorHAnsi" w:hAnsiTheme="minorHAnsi" w:cstheme="minorHAnsi"/>
          <w:bCs/>
          <w:sz w:val="26"/>
          <w:szCs w:val="26"/>
        </w:rPr>
        <w:t>Stocul dosarelor Secției pentru judecători în materie disciplinară la data de 01</w:t>
      </w:r>
      <w:r w:rsidR="001D1FD1" w:rsidRPr="00255A74">
        <w:rPr>
          <w:rFonts w:asciiTheme="minorHAnsi" w:eastAsiaTheme="minorHAnsi" w:hAnsiTheme="minorHAnsi" w:cstheme="minorHAnsi"/>
          <w:bCs/>
          <w:sz w:val="26"/>
          <w:szCs w:val="26"/>
        </w:rPr>
        <w:t xml:space="preserve"> ianuarie </w:t>
      </w:r>
      <w:r w:rsidRPr="00255A74">
        <w:rPr>
          <w:rFonts w:asciiTheme="minorHAnsi" w:eastAsiaTheme="minorHAnsi" w:hAnsiTheme="minorHAnsi" w:cstheme="minorHAnsi"/>
          <w:bCs/>
          <w:sz w:val="26"/>
          <w:szCs w:val="26"/>
        </w:rPr>
        <w:t>2025: 3 dosare înregistrate în anul 2024 şi un dosar suspendat din anul 2019. Total stoc: 4 dosare.</w:t>
      </w:r>
    </w:p>
    <w:p w14:paraId="35BD1113" w14:textId="466EBC0E" w:rsidR="00E20E3E" w:rsidRPr="00255A74" w:rsidRDefault="00E20E3E" w:rsidP="009E3AD8">
      <w:pPr>
        <w:spacing w:line="276" w:lineRule="auto"/>
        <w:ind w:right="43" w:firstLine="709"/>
        <w:jc w:val="both"/>
        <w:rPr>
          <w:rFonts w:asciiTheme="minorHAnsi" w:eastAsiaTheme="minorHAnsi" w:hAnsiTheme="minorHAnsi" w:cstheme="minorHAnsi"/>
          <w:bCs/>
          <w:sz w:val="26"/>
          <w:szCs w:val="26"/>
        </w:rPr>
      </w:pPr>
      <w:r w:rsidRPr="00255A74">
        <w:rPr>
          <w:rFonts w:asciiTheme="minorHAnsi" w:eastAsiaTheme="minorHAnsi" w:hAnsiTheme="minorHAnsi" w:cstheme="minorHAnsi"/>
          <w:bCs/>
          <w:sz w:val="26"/>
          <w:szCs w:val="26"/>
        </w:rPr>
        <w:t>În plus, dosarul nr. 1/J/2024 (</w:t>
      </w:r>
      <w:r w:rsidR="00DC647C" w:rsidRPr="00255A74">
        <w:rPr>
          <w:rFonts w:asciiTheme="minorHAnsi" w:eastAsiaTheme="minorHAnsi" w:hAnsiTheme="minorHAnsi" w:cstheme="minorHAnsi"/>
          <w:bCs/>
          <w:sz w:val="26"/>
          <w:szCs w:val="26"/>
        </w:rPr>
        <w:t>H</w:t>
      </w:r>
      <w:r w:rsidRPr="00255A74">
        <w:rPr>
          <w:rFonts w:asciiTheme="minorHAnsi" w:eastAsiaTheme="minorHAnsi" w:hAnsiTheme="minorHAnsi" w:cstheme="minorHAnsi"/>
          <w:bCs/>
          <w:sz w:val="26"/>
          <w:szCs w:val="26"/>
        </w:rPr>
        <w:t xml:space="preserve">otărârea nr. 9J/05.06.2024) – casare cu trimitere spre rejudecare – a fost soluţionat prin </w:t>
      </w:r>
      <w:r w:rsidR="00DC647C" w:rsidRPr="00255A74">
        <w:rPr>
          <w:rFonts w:asciiTheme="minorHAnsi" w:eastAsiaTheme="minorHAnsi" w:hAnsiTheme="minorHAnsi" w:cstheme="minorHAnsi"/>
          <w:bCs/>
          <w:sz w:val="26"/>
          <w:szCs w:val="26"/>
        </w:rPr>
        <w:t>H</w:t>
      </w:r>
      <w:r w:rsidRPr="00255A74">
        <w:rPr>
          <w:rFonts w:asciiTheme="minorHAnsi" w:eastAsiaTheme="minorHAnsi" w:hAnsiTheme="minorHAnsi" w:cstheme="minorHAnsi"/>
          <w:bCs/>
          <w:sz w:val="26"/>
          <w:szCs w:val="26"/>
        </w:rPr>
        <w:t>otărârea nr. 4J/18.06.2025 a Secției pentru judecători în materie disciplinară.</w:t>
      </w:r>
    </w:p>
    <w:p w14:paraId="3144D6FA" w14:textId="77777777" w:rsidR="00E20E3E" w:rsidRPr="00255A74" w:rsidRDefault="00E20E3E" w:rsidP="009E3AD8">
      <w:pPr>
        <w:spacing w:line="276" w:lineRule="auto"/>
        <w:ind w:right="43" w:firstLine="709"/>
        <w:jc w:val="both"/>
        <w:rPr>
          <w:rFonts w:asciiTheme="minorHAnsi" w:eastAsiaTheme="minorHAnsi" w:hAnsiTheme="minorHAnsi" w:cstheme="minorHAnsi"/>
          <w:bCs/>
          <w:sz w:val="26"/>
          <w:szCs w:val="26"/>
        </w:rPr>
      </w:pPr>
      <w:r w:rsidRPr="00255A74">
        <w:rPr>
          <w:rFonts w:asciiTheme="minorHAnsi" w:eastAsiaTheme="minorHAnsi" w:hAnsiTheme="minorHAnsi" w:cstheme="minorHAnsi"/>
          <w:bCs/>
          <w:sz w:val="26"/>
          <w:szCs w:val="26"/>
        </w:rPr>
        <w:t>Potrivit art. 65 alin. (1) din Regulamentul de organizare și funcționare a Consiliului Superior al Magistraturii, aprobat prin Hotărârea nr. 122/06.07.2023, Consiliul îndeplinește, prin Secția pentru procurori, rolul de instanță de judecată în domeniul răspunderii disciplinare a procurorilor pentru faptele prevăzute la art. 271 din Legea nr. 303/2022.</w:t>
      </w:r>
    </w:p>
    <w:p w14:paraId="38F7FCD4" w14:textId="2FCE05F3" w:rsidR="00E20E3E" w:rsidRPr="000F0D8B" w:rsidRDefault="00E20E3E" w:rsidP="009E3AD8">
      <w:pPr>
        <w:spacing w:line="276" w:lineRule="auto"/>
        <w:ind w:right="43" w:firstLine="709"/>
        <w:jc w:val="both"/>
        <w:rPr>
          <w:rFonts w:asciiTheme="minorHAnsi" w:eastAsiaTheme="minorHAnsi" w:hAnsiTheme="minorHAnsi" w:cstheme="minorHAnsi"/>
          <w:bCs/>
          <w:sz w:val="26"/>
          <w:szCs w:val="26"/>
        </w:rPr>
      </w:pPr>
      <w:r w:rsidRPr="00255A74">
        <w:rPr>
          <w:rFonts w:asciiTheme="minorHAnsi" w:eastAsiaTheme="minorHAnsi" w:hAnsiTheme="minorHAnsi" w:cstheme="minorHAnsi"/>
          <w:bCs/>
          <w:sz w:val="26"/>
          <w:szCs w:val="26"/>
        </w:rPr>
        <w:t xml:space="preserve">Până la data de </w:t>
      </w:r>
      <w:r w:rsidR="00BC1F2C" w:rsidRPr="00255A74">
        <w:rPr>
          <w:rFonts w:asciiTheme="minorHAnsi" w:eastAsiaTheme="minorHAnsi" w:hAnsiTheme="minorHAnsi" w:cstheme="minorHAnsi"/>
          <w:bCs/>
          <w:sz w:val="26"/>
          <w:szCs w:val="26"/>
        </w:rPr>
        <w:t>31 decembrie</w:t>
      </w:r>
      <w:r w:rsidRPr="00255A74">
        <w:rPr>
          <w:rFonts w:asciiTheme="minorHAnsi" w:eastAsiaTheme="minorHAnsi" w:hAnsiTheme="minorHAnsi" w:cstheme="minorHAnsi"/>
          <w:bCs/>
          <w:sz w:val="26"/>
          <w:szCs w:val="26"/>
        </w:rPr>
        <w:t xml:space="preserve"> 2025, pe rolul Secției pentru procurori în materie disciplinară s-au înregistrat </w:t>
      </w:r>
      <w:r w:rsidR="00BC1F2C" w:rsidRPr="00255A74">
        <w:rPr>
          <w:rFonts w:asciiTheme="minorHAnsi" w:eastAsiaTheme="minorHAnsi" w:hAnsiTheme="minorHAnsi" w:cstheme="minorHAnsi"/>
          <w:bCs/>
          <w:sz w:val="26"/>
          <w:szCs w:val="26"/>
        </w:rPr>
        <w:t>8</w:t>
      </w:r>
      <w:r w:rsidRPr="00255A74">
        <w:rPr>
          <w:rFonts w:asciiTheme="minorHAnsi" w:eastAsiaTheme="minorHAnsi" w:hAnsiTheme="minorHAnsi" w:cstheme="minorHAnsi"/>
          <w:bCs/>
          <w:sz w:val="26"/>
          <w:szCs w:val="26"/>
        </w:rPr>
        <w:t xml:space="preserve"> dosare având ca obiect acțiune disciplinară</w:t>
      </w:r>
      <w:r w:rsidRPr="000F0D8B">
        <w:rPr>
          <w:rFonts w:asciiTheme="minorHAnsi" w:eastAsiaTheme="minorHAnsi" w:hAnsiTheme="minorHAnsi" w:cstheme="minorHAnsi"/>
          <w:bCs/>
          <w:sz w:val="26"/>
          <w:szCs w:val="26"/>
        </w:rPr>
        <w:t>.</w:t>
      </w:r>
    </w:p>
    <w:p w14:paraId="1CAB19D9" w14:textId="77777777" w:rsidR="00E20E3E" w:rsidRPr="000F0D8B" w:rsidRDefault="00E20E3E" w:rsidP="009E3AD8">
      <w:pPr>
        <w:spacing w:line="276" w:lineRule="auto"/>
        <w:ind w:right="43" w:firstLine="709"/>
        <w:jc w:val="both"/>
        <w:rPr>
          <w:rFonts w:asciiTheme="minorHAnsi" w:eastAsiaTheme="minorHAnsi" w:hAnsiTheme="minorHAnsi" w:cstheme="minorHAnsi"/>
          <w:bCs/>
          <w:sz w:val="26"/>
          <w:szCs w:val="26"/>
        </w:rPr>
      </w:pPr>
      <w:r w:rsidRPr="000F0D8B">
        <w:rPr>
          <w:rFonts w:asciiTheme="minorHAnsi" w:eastAsiaTheme="minorHAnsi" w:hAnsiTheme="minorHAnsi" w:cstheme="minorHAnsi"/>
          <w:bCs/>
          <w:sz w:val="26"/>
          <w:szCs w:val="26"/>
        </w:rPr>
        <w:t>Astfel, Secția pentru procurori în materie disciplinară a pronunțat următoarele hotărâri:</w:t>
      </w:r>
    </w:p>
    <w:p w14:paraId="6B0B6296" w14:textId="77777777" w:rsidR="00E20E3E" w:rsidRPr="000F0D8B" w:rsidRDefault="00E20E3E" w:rsidP="009E3AD8">
      <w:pPr>
        <w:spacing w:line="276" w:lineRule="auto"/>
        <w:ind w:right="43" w:firstLine="709"/>
        <w:jc w:val="both"/>
        <w:rPr>
          <w:rFonts w:asciiTheme="minorHAnsi" w:eastAsiaTheme="minorHAnsi" w:hAnsiTheme="minorHAnsi" w:cstheme="minorHAnsi"/>
          <w:bCs/>
          <w:sz w:val="26"/>
          <w:szCs w:val="26"/>
        </w:rPr>
      </w:pPr>
      <w:r w:rsidRPr="000F0D8B">
        <w:rPr>
          <w:rFonts w:asciiTheme="minorHAnsi" w:hAnsiTheme="minorHAnsi" w:cstheme="minorHAnsi"/>
          <w:bCs/>
          <w:sz w:val="26"/>
          <w:szCs w:val="26"/>
        </w:rPr>
        <w:t>Prin Hotărârea nr. 1P din 22 ianuarie 2025, pronunțată în dosarul nr. 12/P/2019, s-a respins acțiunea disciplinară având ca obiect săvârșirea abaterii disciplinare prevăzută de art. 99 lit. a) din Legea nr. 303/2004</w:t>
      </w:r>
      <w:r w:rsidRPr="000F0D8B">
        <w:rPr>
          <w:rFonts w:asciiTheme="minorHAnsi" w:hAnsiTheme="minorHAnsi" w:cstheme="minorHAnsi"/>
          <w:sz w:val="26"/>
          <w:szCs w:val="26"/>
        </w:rPr>
        <w:t xml:space="preserve"> </w:t>
      </w:r>
      <w:r w:rsidRPr="000F0D8B">
        <w:rPr>
          <w:rFonts w:asciiTheme="minorHAnsi" w:hAnsiTheme="minorHAnsi" w:cstheme="minorHAnsi"/>
          <w:bCs/>
          <w:sz w:val="26"/>
          <w:szCs w:val="26"/>
        </w:rPr>
        <w:t>privind statutul judecătorilor şi procurorilor, ca neîntemeiată. Prin decizia civilă nr. 110 din 02.06.2025 pronunțată de Înalta Curte de Casație şi Justiție s-a respins recursul declarat de reclamantă, ca nefondat.</w:t>
      </w:r>
    </w:p>
    <w:p w14:paraId="2ED1FCA5" w14:textId="77777777" w:rsidR="00E20E3E" w:rsidRPr="000F0D8B" w:rsidRDefault="00E20E3E" w:rsidP="009E3AD8">
      <w:pPr>
        <w:spacing w:line="276" w:lineRule="auto"/>
        <w:ind w:right="43" w:firstLine="709"/>
        <w:jc w:val="both"/>
        <w:rPr>
          <w:rFonts w:asciiTheme="minorHAnsi" w:eastAsiaTheme="minorHAnsi" w:hAnsiTheme="minorHAnsi" w:cstheme="minorHAnsi"/>
          <w:bCs/>
          <w:sz w:val="26"/>
          <w:szCs w:val="26"/>
        </w:rPr>
      </w:pPr>
      <w:r w:rsidRPr="000F0D8B">
        <w:rPr>
          <w:rFonts w:asciiTheme="minorHAnsi" w:hAnsiTheme="minorHAnsi" w:cstheme="minorHAnsi"/>
          <w:bCs/>
          <w:sz w:val="26"/>
          <w:szCs w:val="26"/>
        </w:rPr>
        <w:t>Prin Hotărârea nr. 2P din 2 aprilie 2025, pronunțată în dosarul nr. 15/P/2019, s-a respins acțiunea disciplinară având ca obiect săvârșirea abaterilor disciplinare prevăzute de art. 99 lit. a) și t) teza I din Legea nr. 303/2004</w:t>
      </w:r>
      <w:r w:rsidRPr="000F0D8B">
        <w:rPr>
          <w:rFonts w:asciiTheme="minorHAnsi" w:hAnsiTheme="minorHAnsi" w:cstheme="minorHAnsi"/>
          <w:sz w:val="26"/>
          <w:szCs w:val="26"/>
        </w:rPr>
        <w:t xml:space="preserve"> </w:t>
      </w:r>
      <w:r w:rsidRPr="000F0D8B">
        <w:rPr>
          <w:rFonts w:asciiTheme="minorHAnsi" w:hAnsiTheme="minorHAnsi" w:cstheme="minorHAnsi"/>
          <w:bCs/>
          <w:sz w:val="26"/>
          <w:szCs w:val="26"/>
        </w:rPr>
        <w:t>privind statutul judecătorilor şi procurorilor, ca neîntemeiată. Hotărârea nu este definitivă.</w:t>
      </w:r>
    </w:p>
    <w:p w14:paraId="48D60C00" w14:textId="77777777" w:rsidR="00E20E3E" w:rsidRPr="000F0D8B" w:rsidRDefault="00E20E3E" w:rsidP="009E3AD8">
      <w:pPr>
        <w:spacing w:line="276" w:lineRule="auto"/>
        <w:ind w:right="43" w:firstLine="709"/>
        <w:jc w:val="both"/>
        <w:rPr>
          <w:rFonts w:asciiTheme="minorHAnsi" w:eastAsiaTheme="minorHAnsi" w:hAnsiTheme="minorHAnsi" w:cstheme="minorHAnsi"/>
          <w:bCs/>
          <w:sz w:val="26"/>
          <w:szCs w:val="26"/>
        </w:rPr>
      </w:pPr>
      <w:r w:rsidRPr="000F0D8B">
        <w:rPr>
          <w:rFonts w:asciiTheme="minorHAnsi" w:hAnsiTheme="minorHAnsi" w:cstheme="minorHAnsi"/>
          <w:bCs/>
          <w:sz w:val="26"/>
          <w:szCs w:val="26"/>
        </w:rPr>
        <w:t>Prin Hotărârea nr. 3P din 16 aprilie 2025, pronunțată în dosarul nr. 4/P/2018, s-a respins acțiunea disciplinară având ca obiect săvârșirea abaterilor disciplinare prevăzute de art. 99 lit. t) teza I, lit. j) și lit. t) teza a II-a din Legea nr. 303/2004</w:t>
      </w:r>
      <w:r w:rsidRPr="000F0D8B">
        <w:rPr>
          <w:rFonts w:asciiTheme="minorHAnsi" w:hAnsiTheme="minorHAnsi" w:cstheme="minorHAnsi"/>
          <w:sz w:val="26"/>
          <w:szCs w:val="26"/>
        </w:rPr>
        <w:t xml:space="preserve"> </w:t>
      </w:r>
      <w:r w:rsidRPr="000F0D8B">
        <w:rPr>
          <w:rFonts w:asciiTheme="minorHAnsi" w:hAnsiTheme="minorHAnsi" w:cstheme="minorHAnsi"/>
          <w:bCs/>
          <w:sz w:val="26"/>
          <w:szCs w:val="26"/>
        </w:rPr>
        <w:t>privind statutul judecătorilor şi procurorilor, ca neîntemeiată. Hotărârea nu este definitivă.</w:t>
      </w:r>
    </w:p>
    <w:p w14:paraId="56972F78" w14:textId="77777777" w:rsidR="00E20E3E" w:rsidRPr="000F0D8B" w:rsidRDefault="00E20E3E" w:rsidP="009E3AD8">
      <w:pPr>
        <w:spacing w:line="276" w:lineRule="auto"/>
        <w:ind w:right="43" w:firstLine="709"/>
        <w:jc w:val="both"/>
        <w:rPr>
          <w:rFonts w:asciiTheme="minorHAnsi" w:eastAsiaTheme="minorHAnsi" w:hAnsiTheme="minorHAnsi" w:cstheme="minorHAnsi"/>
          <w:bCs/>
          <w:sz w:val="26"/>
          <w:szCs w:val="26"/>
        </w:rPr>
      </w:pPr>
      <w:r w:rsidRPr="000F0D8B">
        <w:rPr>
          <w:rFonts w:asciiTheme="minorHAnsi" w:hAnsiTheme="minorHAnsi" w:cstheme="minorHAnsi"/>
          <w:bCs/>
          <w:sz w:val="26"/>
          <w:szCs w:val="26"/>
        </w:rPr>
        <w:t>Prin Hotărârea nr. 4P din 14 mai 2025, pronunțată în dosarul nr. 4/P/2025, s-a admis propunerea formulată și în temeiul art. 52 alin. (1) din Legea nr. 305/2022 s-a dispus suspendarea din funcție până la finalizarea, în mod definitiv, a procedurii disciplinare. Hotărârea este definitivă prin nedeclararea căii de atac.</w:t>
      </w:r>
    </w:p>
    <w:p w14:paraId="0104F5C6" w14:textId="4296E514" w:rsidR="00E20E3E" w:rsidRPr="000F0D8B" w:rsidRDefault="00E20E3E" w:rsidP="009E3AD8">
      <w:pPr>
        <w:spacing w:line="276" w:lineRule="auto"/>
        <w:ind w:right="43" w:firstLine="709"/>
        <w:jc w:val="both"/>
        <w:rPr>
          <w:rFonts w:asciiTheme="minorHAnsi" w:hAnsiTheme="minorHAnsi" w:cstheme="minorHAnsi"/>
          <w:bCs/>
          <w:sz w:val="26"/>
          <w:szCs w:val="26"/>
        </w:rPr>
      </w:pPr>
      <w:r w:rsidRPr="000F0D8B">
        <w:rPr>
          <w:rFonts w:asciiTheme="minorHAnsi" w:hAnsiTheme="minorHAnsi" w:cstheme="minorHAnsi"/>
          <w:bCs/>
          <w:sz w:val="26"/>
          <w:szCs w:val="26"/>
        </w:rPr>
        <w:t>Prin Hotărârea nr. 5P din 14 mai 2025, pronunțată în dosarul nr. 1/P/2021, cu majoritate, s-a admis, în parte, acțiunea disciplinară și s-a aplicat pârâtului sancțiunea disciplinară constând în „avertisment” pentru săvârșirea abaterilor disciplinare prevăzute de art. 99 lit. j) și m) teza I din Legea nr. 303/2022</w:t>
      </w:r>
      <w:r w:rsidRPr="000F0D8B">
        <w:rPr>
          <w:rFonts w:asciiTheme="minorHAnsi" w:hAnsiTheme="minorHAnsi" w:cstheme="minorHAnsi"/>
          <w:sz w:val="26"/>
          <w:szCs w:val="26"/>
        </w:rPr>
        <w:t xml:space="preserve"> </w:t>
      </w:r>
      <w:r w:rsidRPr="000F0D8B">
        <w:rPr>
          <w:rFonts w:asciiTheme="minorHAnsi" w:hAnsiTheme="minorHAnsi" w:cstheme="minorHAnsi"/>
          <w:bCs/>
          <w:sz w:val="26"/>
          <w:szCs w:val="26"/>
        </w:rPr>
        <w:t>privind statutul judecătorilor şi procurorilor. De asemenea, prin aceeaşi hotărâre, cu unanimitate, s-a respins acțiunea disciplinară având ca obiect săvârșirea abaterii disciplinare prevăzută de art. 99 lit. a) din Legea nr. 303/2004, ca neîntemeiată.</w:t>
      </w:r>
      <w:r w:rsidR="001F1C5B" w:rsidRPr="001F1C5B">
        <w:rPr>
          <w:rFonts w:asciiTheme="minorHAnsi" w:hAnsiTheme="minorHAnsi" w:cstheme="minorHAnsi"/>
          <w:bCs/>
          <w:sz w:val="26"/>
          <w:szCs w:val="26"/>
        </w:rPr>
        <w:t xml:space="preserve"> Prin decizia civilă nr. 188 din 24.11.2025 pronunțată de Înalta Curte de Casație şi Justiție s-a respins recursul declarat de pârât, ca nefondat.</w:t>
      </w:r>
    </w:p>
    <w:p w14:paraId="365564FA" w14:textId="0B9C0310" w:rsidR="00E20E3E" w:rsidRPr="000F0D8B" w:rsidRDefault="00E20E3E" w:rsidP="009E3AD8">
      <w:pPr>
        <w:spacing w:line="276" w:lineRule="auto"/>
        <w:ind w:right="43" w:firstLine="709"/>
        <w:jc w:val="both"/>
        <w:rPr>
          <w:rFonts w:asciiTheme="minorHAnsi" w:eastAsiaTheme="minorHAnsi" w:hAnsiTheme="minorHAnsi" w:cstheme="minorHAnsi"/>
          <w:bCs/>
          <w:sz w:val="26"/>
          <w:szCs w:val="26"/>
        </w:rPr>
      </w:pPr>
      <w:r w:rsidRPr="000F0D8B">
        <w:rPr>
          <w:rFonts w:asciiTheme="minorHAnsi" w:hAnsiTheme="minorHAnsi" w:cstheme="minorHAnsi"/>
          <w:bCs/>
          <w:sz w:val="26"/>
          <w:szCs w:val="26"/>
        </w:rPr>
        <w:t>Prin Hotărârea nr. 6P din 11 iunie 2025, pronunțată în dosarul nr. 11/P/2021, s-a admis acțiunea disciplinară și s-a aplicat pârâtului sancțiunea disciplinară constând în „excluderea din magistratură” pentru săvârșirea abaterilor disciplinare prevăzute de art. 99 lit. a), i), n) și t) teza I din Legea nr. 303/2004</w:t>
      </w:r>
      <w:r w:rsidRPr="000F0D8B">
        <w:rPr>
          <w:rFonts w:asciiTheme="minorHAnsi" w:hAnsiTheme="minorHAnsi" w:cstheme="minorHAnsi"/>
          <w:sz w:val="26"/>
          <w:szCs w:val="26"/>
        </w:rPr>
        <w:t xml:space="preserve"> </w:t>
      </w:r>
      <w:r w:rsidRPr="000F0D8B">
        <w:rPr>
          <w:rFonts w:asciiTheme="minorHAnsi" w:hAnsiTheme="minorHAnsi" w:cstheme="minorHAnsi"/>
          <w:bCs/>
          <w:sz w:val="26"/>
          <w:szCs w:val="26"/>
        </w:rPr>
        <w:t>privind statutul judecătorilor şi procurorilor.</w:t>
      </w:r>
      <w:r w:rsidR="004F6E43" w:rsidRPr="004F6E43">
        <w:t xml:space="preserve"> </w:t>
      </w:r>
      <w:r w:rsidR="004F6E43" w:rsidRPr="004F6E43">
        <w:rPr>
          <w:rFonts w:asciiTheme="minorHAnsi" w:hAnsiTheme="minorHAnsi" w:cstheme="minorHAnsi"/>
          <w:bCs/>
          <w:sz w:val="26"/>
          <w:szCs w:val="26"/>
        </w:rPr>
        <w:t xml:space="preserve">Prin decizia civilă nr. 187 din </w:t>
      </w:r>
      <w:r w:rsidR="004F6E43" w:rsidRPr="004F6E43">
        <w:rPr>
          <w:rFonts w:asciiTheme="minorHAnsi" w:hAnsiTheme="minorHAnsi" w:cstheme="minorHAnsi"/>
          <w:bCs/>
          <w:sz w:val="26"/>
          <w:szCs w:val="26"/>
        </w:rPr>
        <w:lastRenderedPageBreak/>
        <w:t>19.11.2025 pronunțată de Înalta Curte de Casație şi Justiție s-a respins recursul declarat de pârât, ca nefondat.</w:t>
      </w:r>
    </w:p>
    <w:p w14:paraId="050F9F92" w14:textId="77777777" w:rsidR="00E20E3E" w:rsidRPr="000F0D8B" w:rsidRDefault="00E20E3E" w:rsidP="009E3AD8">
      <w:pPr>
        <w:spacing w:line="276" w:lineRule="auto"/>
        <w:ind w:right="43" w:firstLine="709"/>
        <w:jc w:val="both"/>
        <w:rPr>
          <w:rFonts w:asciiTheme="minorHAnsi" w:eastAsiaTheme="minorHAnsi" w:hAnsiTheme="minorHAnsi" w:cstheme="minorHAnsi"/>
          <w:bCs/>
          <w:sz w:val="26"/>
          <w:szCs w:val="26"/>
        </w:rPr>
      </w:pPr>
      <w:r w:rsidRPr="000F0D8B">
        <w:rPr>
          <w:rFonts w:asciiTheme="minorHAnsi" w:hAnsiTheme="minorHAnsi" w:cstheme="minorHAnsi"/>
          <w:bCs/>
          <w:sz w:val="26"/>
          <w:szCs w:val="26"/>
        </w:rPr>
        <w:t>Prin Hotărârea nr. 7P din 11 iunie 2025, pronunțată în dosarul nr. 11/P/2023, cu majoritate, s-a admis acțiunea disciplinară și s-a aplicat pârâtului sancțiunea disciplinară constând în „diminuarea indemnizației de încadrare brute lunare cu 10% pe o perioadă de 3 luni” pentru săvârșirea abaterii disciplinare prevăzută de art. 271 lit. f) din Legea nr. 303/2022</w:t>
      </w:r>
      <w:r w:rsidRPr="000F0D8B">
        <w:rPr>
          <w:rFonts w:asciiTheme="minorHAnsi" w:hAnsiTheme="minorHAnsi" w:cstheme="minorHAnsi"/>
          <w:sz w:val="26"/>
          <w:szCs w:val="26"/>
        </w:rPr>
        <w:t xml:space="preserve"> </w:t>
      </w:r>
      <w:r w:rsidRPr="000F0D8B">
        <w:rPr>
          <w:rFonts w:asciiTheme="minorHAnsi" w:hAnsiTheme="minorHAnsi" w:cstheme="minorHAnsi"/>
          <w:bCs/>
          <w:sz w:val="26"/>
          <w:szCs w:val="26"/>
        </w:rPr>
        <w:t>privind statutul judecătorilor şi procurorilor. Hotărârea nu este definitivă.</w:t>
      </w:r>
    </w:p>
    <w:p w14:paraId="2BB3E222" w14:textId="23359BDB" w:rsidR="004F6E43" w:rsidRPr="00255A74" w:rsidRDefault="00E20E3E" w:rsidP="004F6E43">
      <w:pPr>
        <w:spacing w:line="276" w:lineRule="auto"/>
        <w:ind w:right="43" w:firstLine="709"/>
        <w:jc w:val="both"/>
        <w:rPr>
          <w:rFonts w:asciiTheme="minorHAnsi" w:hAnsiTheme="minorHAnsi" w:cstheme="minorHAnsi"/>
          <w:bCs/>
          <w:sz w:val="26"/>
          <w:szCs w:val="26"/>
        </w:rPr>
      </w:pPr>
      <w:r w:rsidRPr="000F0D8B">
        <w:rPr>
          <w:rFonts w:asciiTheme="minorHAnsi" w:hAnsiTheme="minorHAnsi" w:cstheme="minorHAnsi"/>
          <w:bCs/>
          <w:sz w:val="26"/>
          <w:szCs w:val="26"/>
        </w:rPr>
        <w:t>Prin Hotărârea nr. 8P din 25 iunie 2025, pronunțată în dosarul nr. 1/P/2023 (casare cu trimitere spre rejudecare), s-a admis acțiunea disciplinară și s-a aplicat pârâtului sancțiunea disciplinară constând în „diminuarea indemnizației de încadrare brute lunare cu 10% pe o perioadă de 3 luni” pentru săvârșirea abaterii disciplinare prevăzută de art. 99 lit. a) din Legea nr. 303/2004</w:t>
      </w:r>
      <w:r w:rsidRPr="000F0D8B">
        <w:rPr>
          <w:rFonts w:asciiTheme="minorHAnsi" w:hAnsiTheme="minorHAnsi" w:cstheme="minorHAnsi"/>
          <w:sz w:val="26"/>
          <w:szCs w:val="26"/>
        </w:rPr>
        <w:t xml:space="preserve"> </w:t>
      </w:r>
      <w:r w:rsidRPr="000F0D8B">
        <w:rPr>
          <w:rFonts w:asciiTheme="minorHAnsi" w:hAnsiTheme="minorHAnsi" w:cstheme="minorHAnsi"/>
          <w:bCs/>
          <w:sz w:val="26"/>
          <w:szCs w:val="26"/>
        </w:rPr>
        <w:t xml:space="preserve">privind statutul judecătorilor şi procurorilor. </w:t>
      </w:r>
      <w:r w:rsidR="004F6E43" w:rsidRPr="00255A74">
        <w:rPr>
          <w:rFonts w:asciiTheme="minorHAnsi" w:hAnsiTheme="minorHAnsi" w:cstheme="minorHAnsi"/>
          <w:bCs/>
          <w:sz w:val="26"/>
          <w:szCs w:val="26"/>
        </w:rPr>
        <w:t>Prin decizia civilă nr. 178</w:t>
      </w:r>
      <w:r w:rsidR="00E0693B" w:rsidRPr="00255A74">
        <w:rPr>
          <w:rFonts w:asciiTheme="minorHAnsi" w:hAnsiTheme="minorHAnsi" w:cstheme="minorHAnsi"/>
          <w:bCs/>
          <w:sz w:val="26"/>
          <w:szCs w:val="26"/>
        </w:rPr>
        <w:t>/</w:t>
      </w:r>
      <w:r w:rsidR="004F6E43" w:rsidRPr="00255A74">
        <w:rPr>
          <w:rFonts w:asciiTheme="minorHAnsi" w:hAnsiTheme="minorHAnsi" w:cstheme="minorHAnsi"/>
          <w:bCs/>
          <w:sz w:val="26"/>
          <w:szCs w:val="26"/>
        </w:rPr>
        <w:t>10.11.2025 pronunțată de Înalta Curte de Casație şi Justiție s-a respins recursul declarat de pârât, ca nefondat.</w:t>
      </w:r>
    </w:p>
    <w:p w14:paraId="2EF6F4F7" w14:textId="508221D0" w:rsidR="004F6E43" w:rsidRPr="00255A74" w:rsidRDefault="004F6E43" w:rsidP="004F6E43">
      <w:pPr>
        <w:spacing w:line="276" w:lineRule="auto"/>
        <w:ind w:right="43" w:firstLine="709"/>
        <w:jc w:val="both"/>
        <w:rPr>
          <w:rFonts w:asciiTheme="minorHAnsi" w:eastAsiaTheme="minorHAnsi" w:hAnsiTheme="minorHAnsi" w:cstheme="minorHAnsi"/>
          <w:bCs/>
          <w:sz w:val="26"/>
          <w:szCs w:val="26"/>
        </w:rPr>
      </w:pPr>
      <w:r w:rsidRPr="00255A74">
        <w:rPr>
          <w:rFonts w:asciiTheme="minorHAnsi" w:hAnsiTheme="minorHAnsi" w:cstheme="minorHAnsi"/>
          <w:bCs/>
          <w:sz w:val="26"/>
          <w:szCs w:val="26"/>
        </w:rPr>
        <w:t>Prin Hotărârea nr. 9P din 17 decembrie 2025 pronunțată, în dosarul nr. 2/P/2025, cu unanimitate, s-au respins acţiunile disciplinare conexate formulate împotriva pârâtului pentru săvârşirea abaterilor disciplinare prevăzute de art. 271 lit. a), lit.</w:t>
      </w:r>
      <w:r w:rsidR="00E0693B" w:rsidRPr="00255A74">
        <w:rPr>
          <w:rFonts w:asciiTheme="minorHAnsi" w:hAnsiTheme="minorHAnsi" w:cstheme="minorHAnsi"/>
          <w:bCs/>
          <w:sz w:val="26"/>
          <w:szCs w:val="26"/>
        </w:rPr>
        <w:t xml:space="preserve"> </w:t>
      </w:r>
      <w:r w:rsidRPr="00255A74">
        <w:rPr>
          <w:rFonts w:asciiTheme="minorHAnsi" w:hAnsiTheme="minorHAnsi" w:cstheme="minorHAnsi"/>
          <w:bCs/>
          <w:sz w:val="26"/>
          <w:szCs w:val="26"/>
        </w:rPr>
        <w:t>b), lit.</w:t>
      </w:r>
      <w:r w:rsidR="00E0693B" w:rsidRPr="00255A74">
        <w:rPr>
          <w:rFonts w:asciiTheme="minorHAnsi" w:hAnsiTheme="minorHAnsi" w:cstheme="minorHAnsi"/>
          <w:bCs/>
          <w:sz w:val="26"/>
          <w:szCs w:val="26"/>
        </w:rPr>
        <w:t xml:space="preserve"> </w:t>
      </w:r>
      <w:r w:rsidRPr="00255A74">
        <w:rPr>
          <w:rFonts w:asciiTheme="minorHAnsi" w:hAnsiTheme="minorHAnsi" w:cstheme="minorHAnsi"/>
          <w:bCs/>
          <w:sz w:val="26"/>
          <w:szCs w:val="26"/>
        </w:rPr>
        <w:t>h), lit. l), lit. m), lit. o) și art.</w:t>
      </w:r>
      <w:r w:rsidR="00E0693B" w:rsidRPr="00255A74">
        <w:rPr>
          <w:rFonts w:asciiTheme="minorHAnsi" w:hAnsiTheme="minorHAnsi" w:cstheme="minorHAnsi"/>
          <w:bCs/>
          <w:sz w:val="26"/>
          <w:szCs w:val="26"/>
        </w:rPr>
        <w:t xml:space="preserve"> </w:t>
      </w:r>
      <w:r w:rsidRPr="00255A74">
        <w:rPr>
          <w:rFonts w:asciiTheme="minorHAnsi" w:hAnsiTheme="minorHAnsi" w:cstheme="minorHAnsi"/>
          <w:bCs/>
          <w:sz w:val="26"/>
          <w:szCs w:val="26"/>
        </w:rPr>
        <w:t>271 lit.</w:t>
      </w:r>
      <w:r w:rsidR="00E0693B" w:rsidRPr="00255A74">
        <w:rPr>
          <w:rFonts w:asciiTheme="minorHAnsi" w:hAnsiTheme="minorHAnsi" w:cstheme="minorHAnsi"/>
          <w:bCs/>
          <w:sz w:val="26"/>
          <w:szCs w:val="26"/>
        </w:rPr>
        <w:t xml:space="preserve"> </w:t>
      </w:r>
      <w:r w:rsidRPr="00255A74">
        <w:rPr>
          <w:rFonts w:asciiTheme="minorHAnsi" w:hAnsiTheme="minorHAnsi" w:cstheme="minorHAnsi"/>
          <w:bCs/>
          <w:sz w:val="26"/>
          <w:szCs w:val="26"/>
        </w:rPr>
        <w:t>s) din Legea nr. 303/2022 privind statutul judecătorilor și procurorilor, ca neîntemeiate. Hotărârea nu este definitivă.</w:t>
      </w:r>
    </w:p>
    <w:p w14:paraId="53206D90" w14:textId="77777777" w:rsidR="004F6E43" w:rsidRPr="00255A74" w:rsidRDefault="004F6E43" w:rsidP="004F6E43">
      <w:pPr>
        <w:spacing w:line="276" w:lineRule="auto"/>
        <w:ind w:right="43" w:firstLine="709"/>
        <w:jc w:val="both"/>
        <w:rPr>
          <w:rFonts w:asciiTheme="minorHAnsi" w:eastAsiaTheme="minorHAnsi" w:hAnsiTheme="minorHAnsi" w:cstheme="minorHAnsi"/>
          <w:bCs/>
          <w:sz w:val="26"/>
          <w:szCs w:val="26"/>
        </w:rPr>
      </w:pPr>
      <w:r w:rsidRPr="00255A74">
        <w:rPr>
          <w:rFonts w:asciiTheme="minorHAnsi" w:eastAsiaTheme="minorHAnsi" w:hAnsiTheme="minorHAnsi" w:cstheme="minorHAnsi"/>
          <w:bCs/>
          <w:sz w:val="26"/>
          <w:szCs w:val="26"/>
        </w:rPr>
        <w:t>Astfel, până la data de 31 decembrie 2025, Secția pentru procurori în materie disciplinară a pronunțat un număr de 9 hotărâri, după cum urmează:</w:t>
      </w:r>
    </w:p>
    <w:p w14:paraId="1E18123E" w14:textId="77777777" w:rsidR="004F6E43" w:rsidRPr="00255A74" w:rsidRDefault="004F6E43" w:rsidP="004F6E43">
      <w:pPr>
        <w:spacing w:line="276" w:lineRule="auto"/>
        <w:ind w:right="43" w:firstLine="709"/>
        <w:jc w:val="both"/>
        <w:rPr>
          <w:rFonts w:asciiTheme="minorHAnsi" w:hAnsiTheme="minorHAnsi" w:cstheme="minorHAnsi"/>
          <w:bCs/>
          <w:sz w:val="26"/>
          <w:szCs w:val="26"/>
        </w:rPr>
      </w:pPr>
      <w:r w:rsidRPr="00255A74">
        <w:rPr>
          <w:rFonts w:asciiTheme="minorHAnsi" w:hAnsiTheme="minorHAnsi" w:cstheme="minorHAnsi"/>
          <w:bCs/>
          <w:sz w:val="26"/>
          <w:szCs w:val="26"/>
        </w:rPr>
        <w:t>- 3 acţiuni admise (2 hotărâri definitive și o hotărâre nedefinitivă);</w:t>
      </w:r>
    </w:p>
    <w:p w14:paraId="1C80A1B4" w14:textId="77777777" w:rsidR="004F6E43" w:rsidRPr="00255A74" w:rsidRDefault="004F6E43" w:rsidP="004F6E43">
      <w:pPr>
        <w:spacing w:line="276" w:lineRule="auto"/>
        <w:ind w:right="43" w:firstLine="709"/>
        <w:jc w:val="both"/>
        <w:rPr>
          <w:rFonts w:asciiTheme="minorHAnsi" w:hAnsiTheme="minorHAnsi" w:cstheme="minorHAnsi"/>
          <w:bCs/>
          <w:sz w:val="26"/>
          <w:szCs w:val="26"/>
        </w:rPr>
      </w:pPr>
      <w:r w:rsidRPr="00255A74">
        <w:rPr>
          <w:rFonts w:asciiTheme="minorHAnsi" w:hAnsiTheme="minorHAnsi" w:cstheme="minorHAnsi"/>
          <w:bCs/>
          <w:sz w:val="26"/>
          <w:szCs w:val="26"/>
        </w:rPr>
        <w:t>- o acţiune admisă în parte (hotârârea este definitivă);</w:t>
      </w:r>
    </w:p>
    <w:p w14:paraId="0DC82D51" w14:textId="77777777" w:rsidR="004F6E43" w:rsidRPr="00255A74" w:rsidRDefault="004F6E43" w:rsidP="004F6E43">
      <w:pPr>
        <w:spacing w:line="276" w:lineRule="auto"/>
        <w:ind w:right="43" w:firstLine="709"/>
        <w:jc w:val="both"/>
        <w:rPr>
          <w:rFonts w:asciiTheme="minorHAnsi" w:hAnsiTheme="minorHAnsi" w:cstheme="minorHAnsi"/>
          <w:bCs/>
          <w:sz w:val="26"/>
          <w:szCs w:val="26"/>
        </w:rPr>
      </w:pPr>
      <w:r w:rsidRPr="00255A74">
        <w:rPr>
          <w:rFonts w:asciiTheme="minorHAnsi" w:hAnsiTheme="minorHAnsi" w:cstheme="minorHAnsi"/>
          <w:bCs/>
          <w:sz w:val="26"/>
          <w:szCs w:val="26"/>
        </w:rPr>
        <w:t>- 4 acțiuni disciplinare respinse (o hotărâre definitivă și 3 hotărâri nedefinitive);</w:t>
      </w:r>
    </w:p>
    <w:p w14:paraId="2B8B5EEF" w14:textId="77777777" w:rsidR="00E20E3E" w:rsidRPr="000F0D8B" w:rsidRDefault="00E20E3E" w:rsidP="009E3AD8">
      <w:pPr>
        <w:spacing w:line="276" w:lineRule="auto"/>
        <w:ind w:right="43" w:firstLine="709"/>
        <w:jc w:val="both"/>
        <w:rPr>
          <w:rFonts w:asciiTheme="minorHAnsi" w:hAnsiTheme="minorHAnsi" w:cstheme="minorHAnsi"/>
          <w:bCs/>
          <w:sz w:val="26"/>
          <w:szCs w:val="26"/>
        </w:rPr>
      </w:pPr>
      <w:r w:rsidRPr="000F0D8B">
        <w:rPr>
          <w:rFonts w:asciiTheme="minorHAnsi" w:hAnsiTheme="minorHAnsi" w:cstheme="minorHAnsi"/>
          <w:bCs/>
          <w:sz w:val="26"/>
          <w:szCs w:val="26"/>
        </w:rPr>
        <w:t>- într-un dosar s-a admis propunerea formulată și în temeiul art. 52 alin. (1) din Legea nr. 305/2022 s-a dispus suspendarea din funcție până la finalizarea în mod definitiv a procedurii disciplinare.</w:t>
      </w:r>
    </w:p>
    <w:p w14:paraId="1CC5BF22" w14:textId="2C1A5C17" w:rsidR="00E20E3E" w:rsidRPr="00255A74" w:rsidRDefault="00E20E3E" w:rsidP="009E3AD8">
      <w:pPr>
        <w:spacing w:line="276" w:lineRule="auto"/>
        <w:ind w:right="43" w:firstLine="709"/>
        <w:jc w:val="both"/>
        <w:rPr>
          <w:rFonts w:asciiTheme="minorHAnsi" w:eastAsiaTheme="minorHAnsi" w:hAnsiTheme="minorHAnsi" w:cstheme="minorHAnsi"/>
          <w:bCs/>
          <w:sz w:val="26"/>
          <w:szCs w:val="26"/>
        </w:rPr>
      </w:pPr>
      <w:r w:rsidRPr="00255A74">
        <w:rPr>
          <w:rFonts w:asciiTheme="minorHAnsi" w:eastAsiaTheme="minorHAnsi" w:hAnsiTheme="minorHAnsi" w:cstheme="minorHAnsi"/>
          <w:bCs/>
          <w:sz w:val="26"/>
          <w:szCs w:val="26"/>
        </w:rPr>
        <w:t xml:space="preserve">De asemenea, până la data de </w:t>
      </w:r>
      <w:r w:rsidR="00CA7BF9" w:rsidRPr="00255A74">
        <w:rPr>
          <w:rFonts w:asciiTheme="minorHAnsi" w:eastAsiaTheme="minorHAnsi" w:hAnsiTheme="minorHAnsi" w:cstheme="minorHAnsi"/>
          <w:bCs/>
          <w:sz w:val="26"/>
          <w:szCs w:val="26"/>
        </w:rPr>
        <w:t>31 decembrie</w:t>
      </w:r>
      <w:r w:rsidRPr="00255A74">
        <w:rPr>
          <w:rFonts w:asciiTheme="minorHAnsi" w:eastAsiaTheme="minorHAnsi" w:hAnsiTheme="minorHAnsi" w:cstheme="minorHAnsi"/>
          <w:bCs/>
          <w:sz w:val="26"/>
          <w:szCs w:val="26"/>
        </w:rPr>
        <w:t xml:space="preserve"> 2025, Secţia pentru procurori în materie disciplinară a repus pe rol, din oficiu, un dosar (după soluționarea definitivă a dosarului nr. 911/P/2022 (2015/321/P/2019) al Parchetul de pe lângă Înalta Curte de Casație și Justiți</w:t>
      </w:r>
      <w:r w:rsidR="003022CD" w:rsidRPr="00255A74">
        <w:rPr>
          <w:rFonts w:asciiTheme="minorHAnsi" w:eastAsiaTheme="minorHAnsi" w:hAnsiTheme="minorHAnsi" w:cstheme="minorHAnsi"/>
          <w:bCs/>
          <w:sz w:val="26"/>
          <w:szCs w:val="26"/>
        </w:rPr>
        <w:t>e</w:t>
      </w:r>
      <w:r w:rsidRPr="00255A74">
        <w:rPr>
          <w:rFonts w:asciiTheme="minorHAnsi" w:eastAsiaTheme="minorHAnsi" w:hAnsiTheme="minorHAnsi" w:cstheme="minorHAnsi"/>
          <w:bCs/>
          <w:sz w:val="26"/>
          <w:szCs w:val="26"/>
        </w:rPr>
        <w:t xml:space="preserve"> – Secția de urmărire penală, prin încheierea penală nr. 171 din data de 19 decembrie 2024 pronunțată de către Judecătoria Baia de Aramă în dosarul nr. 1701/1/2024).</w:t>
      </w:r>
    </w:p>
    <w:p w14:paraId="694239B1" w14:textId="77777777" w:rsidR="00E20E3E" w:rsidRPr="00255A74" w:rsidRDefault="00E20E3E" w:rsidP="009E3AD8">
      <w:pPr>
        <w:spacing w:line="276" w:lineRule="auto"/>
        <w:ind w:right="43" w:firstLine="709"/>
        <w:jc w:val="both"/>
        <w:rPr>
          <w:rFonts w:asciiTheme="minorHAnsi" w:eastAsiaTheme="minorHAnsi" w:hAnsiTheme="minorHAnsi" w:cstheme="minorHAnsi"/>
          <w:bCs/>
          <w:sz w:val="26"/>
          <w:szCs w:val="26"/>
        </w:rPr>
      </w:pPr>
      <w:r w:rsidRPr="00255A74">
        <w:rPr>
          <w:rFonts w:asciiTheme="minorHAnsi" w:eastAsiaTheme="minorHAnsi" w:hAnsiTheme="minorHAnsi" w:cstheme="minorHAnsi"/>
          <w:bCs/>
          <w:sz w:val="26"/>
          <w:szCs w:val="26"/>
        </w:rPr>
        <w:t>Facem mențiunea că în două cauze a fost admisă excepția conexității, respectiv dosarele nr. 5/P/2025 şi nr. 6/P/2025 la dosarul nr. 2/P/2025.</w:t>
      </w:r>
    </w:p>
    <w:p w14:paraId="2CAC19F0" w14:textId="6D34CC02" w:rsidR="00E20E3E" w:rsidRPr="00255A74" w:rsidRDefault="00E20E3E" w:rsidP="009E3AD8">
      <w:pPr>
        <w:spacing w:line="276" w:lineRule="auto"/>
        <w:ind w:right="43" w:firstLine="709"/>
        <w:jc w:val="both"/>
        <w:rPr>
          <w:rFonts w:asciiTheme="minorHAnsi" w:eastAsiaTheme="minorHAnsi" w:hAnsiTheme="minorHAnsi" w:cstheme="minorHAnsi"/>
          <w:bCs/>
          <w:sz w:val="26"/>
          <w:szCs w:val="26"/>
        </w:rPr>
      </w:pPr>
      <w:r w:rsidRPr="00255A74">
        <w:rPr>
          <w:rFonts w:asciiTheme="minorHAnsi" w:eastAsiaTheme="minorHAnsi" w:hAnsiTheme="minorHAnsi" w:cstheme="minorHAnsi"/>
          <w:bCs/>
          <w:sz w:val="26"/>
          <w:szCs w:val="26"/>
        </w:rPr>
        <w:t xml:space="preserve">La data de </w:t>
      </w:r>
      <w:r w:rsidR="00CA7BF9" w:rsidRPr="00255A74">
        <w:rPr>
          <w:rFonts w:asciiTheme="minorHAnsi" w:eastAsiaTheme="minorHAnsi" w:hAnsiTheme="minorHAnsi" w:cstheme="minorHAnsi"/>
          <w:bCs/>
          <w:sz w:val="26"/>
          <w:szCs w:val="26"/>
        </w:rPr>
        <w:t>31 decembrie</w:t>
      </w:r>
      <w:r w:rsidRPr="00255A74">
        <w:rPr>
          <w:rFonts w:asciiTheme="minorHAnsi" w:eastAsiaTheme="minorHAnsi" w:hAnsiTheme="minorHAnsi" w:cstheme="minorHAnsi"/>
          <w:bCs/>
          <w:sz w:val="26"/>
          <w:szCs w:val="26"/>
        </w:rPr>
        <w:t xml:space="preserve"> 2025, pe rolul Secției pentru procurori în materie disciplinară se află un număr de </w:t>
      </w:r>
      <w:r w:rsidR="00CA7BF9" w:rsidRPr="00255A74">
        <w:rPr>
          <w:rFonts w:asciiTheme="minorHAnsi" w:eastAsiaTheme="minorHAnsi" w:hAnsiTheme="minorHAnsi" w:cstheme="minorHAnsi"/>
          <w:bCs/>
          <w:sz w:val="26"/>
          <w:szCs w:val="26"/>
        </w:rPr>
        <w:t>5</w:t>
      </w:r>
      <w:r w:rsidRPr="00255A74">
        <w:rPr>
          <w:rFonts w:asciiTheme="minorHAnsi" w:eastAsiaTheme="minorHAnsi" w:hAnsiTheme="minorHAnsi" w:cstheme="minorHAnsi"/>
          <w:bCs/>
          <w:sz w:val="26"/>
          <w:szCs w:val="26"/>
        </w:rPr>
        <w:t xml:space="preserve"> dosare în vederea soluționării.</w:t>
      </w:r>
    </w:p>
    <w:p w14:paraId="616BCF79" w14:textId="4F99A9F4" w:rsidR="00E20E3E" w:rsidRPr="000F0D8B" w:rsidRDefault="00E20E3E" w:rsidP="009E3AD8">
      <w:pPr>
        <w:spacing w:line="276" w:lineRule="auto"/>
        <w:ind w:right="43" w:firstLine="709"/>
        <w:jc w:val="both"/>
        <w:rPr>
          <w:rFonts w:asciiTheme="minorHAnsi" w:eastAsiaTheme="minorHAnsi" w:hAnsiTheme="minorHAnsi" w:cstheme="minorHAnsi"/>
          <w:bCs/>
          <w:sz w:val="26"/>
          <w:szCs w:val="26"/>
        </w:rPr>
      </w:pPr>
      <w:r w:rsidRPr="000F0D8B">
        <w:rPr>
          <w:rFonts w:asciiTheme="minorHAnsi" w:hAnsiTheme="minorHAnsi" w:cstheme="minorHAnsi"/>
          <w:bCs/>
          <w:sz w:val="26"/>
          <w:szCs w:val="26"/>
        </w:rPr>
        <w:t>În plus, dosarul nr. 1/P/2023 - casare cu trimitere spre rejudecare</w:t>
      </w:r>
      <w:r w:rsidR="00127151">
        <w:rPr>
          <w:rFonts w:asciiTheme="minorHAnsi" w:hAnsiTheme="minorHAnsi" w:cstheme="minorHAnsi"/>
          <w:bCs/>
          <w:sz w:val="26"/>
          <w:szCs w:val="26"/>
        </w:rPr>
        <w:t xml:space="preserve"> - </w:t>
      </w:r>
      <w:r w:rsidRPr="000F0D8B">
        <w:rPr>
          <w:rFonts w:asciiTheme="minorHAnsi" w:hAnsiTheme="minorHAnsi" w:cstheme="minorHAnsi"/>
          <w:bCs/>
          <w:sz w:val="26"/>
          <w:szCs w:val="26"/>
        </w:rPr>
        <w:t xml:space="preserve">a fost soluționat prin </w:t>
      </w:r>
      <w:r w:rsidR="001A29F5" w:rsidRPr="000F0D8B">
        <w:rPr>
          <w:rFonts w:asciiTheme="minorHAnsi" w:hAnsiTheme="minorHAnsi" w:cstheme="minorHAnsi"/>
          <w:bCs/>
          <w:sz w:val="26"/>
          <w:szCs w:val="26"/>
        </w:rPr>
        <w:t>H</w:t>
      </w:r>
      <w:r w:rsidRPr="000F0D8B">
        <w:rPr>
          <w:rFonts w:asciiTheme="minorHAnsi" w:hAnsiTheme="minorHAnsi" w:cstheme="minorHAnsi"/>
          <w:bCs/>
          <w:sz w:val="26"/>
          <w:szCs w:val="26"/>
        </w:rPr>
        <w:t>otărârea nr. 8P/25.06.2025 a Secţi</w:t>
      </w:r>
      <w:r w:rsidR="001A29F5" w:rsidRPr="000F0D8B">
        <w:rPr>
          <w:rFonts w:asciiTheme="minorHAnsi" w:hAnsiTheme="minorHAnsi" w:cstheme="minorHAnsi"/>
          <w:bCs/>
          <w:sz w:val="26"/>
          <w:szCs w:val="26"/>
        </w:rPr>
        <w:t>ei</w:t>
      </w:r>
      <w:r w:rsidRPr="000F0D8B">
        <w:rPr>
          <w:rFonts w:asciiTheme="minorHAnsi" w:hAnsiTheme="minorHAnsi" w:cstheme="minorHAnsi"/>
          <w:bCs/>
          <w:sz w:val="26"/>
          <w:szCs w:val="26"/>
        </w:rPr>
        <w:t xml:space="preserve"> pentru procurori în materie disciplinară.</w:t>
      </w:r>
    </w:p>
    <w:p w14:paraId="00033325" w14:textId="3A1A28E9" w:rsidR="00E20E3E" w:rsidRPr="000F0D8B" w:rsidRDefault="00E20E3E" w:rsidP="009E3AD8">
      <w:pPr>
        <w:spacing w:line="276" w:lineRule="auto"/>
        <w:ind w:right="43" w:firstLine="709"/>
        <w:jc w:val="both"/>
        <w:rPr>
          <w:rFonts w:asciiTheme="minorHAnsi" w:hAnsiTheme="minorHAnsi" w:cstheme="minorHAnsi"/>
          <w:bCs/>
          <w:sz w:val="26"/>
          <w:szCs w:val="26"/>
        </w:rPr>
      </w:pPr>
      <w:r w:rsidRPr="000F0D8B">
        <w:rPr>
          <w:rFonts w:asciiTheme="minorHAnsi" w:eastAsiaTheme="minorHAnsi" w:hAnsiTheme="minorHAnsi" w:cstheme="minorHAnsi"/>
          <w:bCs/>
          <w:sz w:val="26"/>
          <w:szCs w:val="26"/>
        </w:rPr>
        <w:t>Stocul dosarelor Secției pentru procurori în materie disciplinară la data de 01</w:t>
      </w:r>
      <w:r w:rsidR="001A29F5" w:rsidRPr="000F0D8B">
        <w:rPr>
          <w:rFonts w:asciiTheme="minorHAnsi" w:eastAsiaTheme="minorHAnsi" w:hAnsiTheme="minorHAnsi" w:cstheme="minorHAnsi"/>
          <w:bCs/>
          <w:sz w:val="26"/>
          <w:szCs w:val="26"/>
        </w:rPr>
        <w:t xml:space="preserve"> ianuarie </w:t>
      </w:r>
      <w:r w:rsidRPr="000F0D8B">
        <w:rPr>
          <w:rFonts w:asciiTheme="minorHAnsi" w:eastAsiaTheme="minorHAnsi" w:hAnsiTheme="minorHAnsi" w:cstheme="minorHAnsi"/>
          <w:bCs/>
          <w:sz w:val="26"/>
          <w:szCs w:val="26"/>
        </w:rPr>
        <w:t>2025: 1 dosar înregistrat în anul 2018 + 1 dosar înregistrat în anul 2019 + 2 dosare înregistrate în anul 2021 + 2 dosare înregistrate în anul 2023 + 4 dosare suspendate (1 dosare din anul 2018 + 2 dosare din anul 2019 + 1 dosar din anul 2021). Total în stoc: 10 dosare.</w:t>
      </w:r>
    </w:p>
    <w:p w14:paraId="0740B36B" w14:textId="0C82C068" w:rsidR="002D2047" w:rsidRDefault="002D2047">
      <w:pPr>
        <w:spacing w:after="160" w:line="259" w:lineRule="auto"/>
        <w:rPr>
          <w:rFonts w:asciiTheme="minorHAnsi" w:hAnsiTheme="minorHAnsi" w:cstheme="minorHAnsi"/>
          <w:sz w:val="26"/>
          <w:szCs w:val="26"/>
        </w:rPr>
      </w:pPr>
      <w:r>
        <w:rPr>
          <w:rFonts w:asciiTheme="minorHAnsi" w:hAnsiTheme="minorHAnsi" w:cstheme="minorHAnsi"/>
          <w:sz w:val="26"/>
          <w:szCs w:val="26"/>
        </w:rPr>
        <w:br w:type="page"/>
      </w:r>
    </w:p>
    <w:p w14:paraId="541F4EA2" w14:textId="4142DCA7" w:rsidR="00D92C14" w:rsidRDefault="006C1588" w:rsidP="009E3AD8">
      <w:pPr>
        <w:pStyle w:val="Heading1"/>
        <w:keepNext w:val="0"/>
        <w:keepLines w:val="0"/>
        <w:suppressLineNumbers/>
        <w:suppressAutoHyphens/>
        <w:spacing w:before="0" w:after="0"/>
        <w:ind w:firstLine="0"/>
        <w:rPr>
          <w:rFonts w:cstheme="minorHAnsi"/>
          <w:color w:val="auto"/>
          <w:sz w:val="26"/>
          <w:szCs w:val="26"/>
        </w:rPr>
      </w:pPr>
      <w:bookmarkStart w:id="122" w:name="_Toc219287968"/>
      <w:bookmarkStart w:id="123" w:name="_Toc430867124"/>
      <w:r w:rsidRPr="000F0D8B">
        <w:rPr>
          <w:rFonts w:cstheme="minorHAnsi"/>
          <w:color w:val="auto"/>
          <w:sz w:val="26"/>
          <w:szCs w:val="26"/>
        </w:rPr>
        <w:lastRenderedPageBreak/>
        <w:t>CAPITOLUL V</w:t>
      </w:r>
      <w:bookmarkEnd w:id="122"/>
    </w:p>
    <w:p w14:paraId="4914916A" w14:textId="73FD3DE4" w:rsidR="006C1588" w:rsidRPr="002D2047" w:rsidRDefault="006C1588" w:rsidP="002D2047">
      <w:pPr>
        <w:pStyle w:val="Heading1"/>
        <w:keepNext w:val="0"/>
        <w:keepLines w:val="0"/>
        <w:suppressLineNumbers/>
        <w:suppressAutoHyphens/>
        <w:ind w:firstLine="0"/>
        <w:rPr>
          <w:sz w:val="26"/>
          <w:szCs w:val="26"/>
        </w:rPr>
      </w:pPr>
      <w:bookmarkStart w:id="124" w:name="_Toc219287969"/>
      <w:r w:rsidRPr="002D2047">
        <w:rPr>
          <w:sz w:val="26"/>
          <w:szCs w:val="26"/>
        </w:rPr>
        <w:t>Bugetul Consiliului Superior al Magistraturii</w:t>
      </w:r>
      <w:bookmarkEnd w:id="123"/>
      <w:bookmarkEnd w:id="124"/>
      <w:r w:rsidRPr="002D2047">
        <w:rPr>
          <w:sz w:val="26"/>
          <w:szCs w:val="26"/>
        </w:rPr>
        <w:t xml:space="preserve"> </w:t>
      </w:r>
    </w:p>
    <w:p w14:paraId="0E9D0A8B" w14:textId="2B21A35C" w:rsidR="00552E31" w:rsidRPr="00C02503" w:rsidRDefault="002C206D" w:rsidP="009E3AD8">
      <w:pPr>
        <w:pStyle w:val="Heading2"/>
        <w:keepNext w:val="0"/>
        <w:keepLines w:val="0"/>
        <w:suppressLineNumbers/>
        <w:suppressAutoHyphens/>
        <w:spacing w:before="0" w:after="0"/>
        <w:rPr>
          <w:rFonts w:cstheme="minorHAnsi"/>
          <w:color w:val="auto"/>
          <w:lang w:val="ro-RO"/>
        </w:rPr>
      </w:pPr>
      <w:bookmarkStart w:id="125" w:name="_Toc430867125"/>
      <w:bookmarkStart w:id="126" w:name="_Toc219287970"/>
      <w:r w:rsidRPr="000F0D8B">
        <w:rPr>
          <w:rFonts w:cstheme="minorHAnsi"/>
          <w:color w:val="auto"/>
          <w:lang w:val="ro-RO"/>
        </w:rPr>
        <w:t>V.1. Dinamica bugetului 202</w:t>
      </w:r>
      <w:r w:rsidR="000516FC" w:rsidRPr="000F0D8B">
        <w:rPr>
          <w:rFonts w:cstheme="minorHAnsi"/>
          <w:color w:val="auto"/>
          <w:lang w:val="ro-RO"/>
        </w:rPr>
        <w:t>4</w:t>
      </w:r>
      <w:r w:rsidRPr="000F0D8B">
        <w:rPr>
          <w:rFonts w:cstheme="minorHAnsi"/>
          <w:color w:val="auto"/>
          <w:lang w:val="ro-RO"/>
        </w:rPr>
        <w:t xml:space="preserve"> - 202</w:t>
      </w:r>
      <w:r w:rsidR="000516FC" w:rsidRPr="000F0D8B">
        <w:rPr>
          <w:rFonts w:cstheme="minorHAnsi"/>
          <w:color w:val="auto"/>
          <w:lang w:val="ro-RO"/>
        </w:rPr>
        <w:t>5</w:t>
      </w:r>
      <w:r w:rsidRPr="000F0D8B">
        <w:rPr>
          <w:rFonts w:cstheme="minorHAnsi"/>
          <w:color w:val="auto"/>
          <w:lang w:val="ro-RO"/>
        </w:rPr>
        <w:t xml:space="preserve"> şi perspectiva pentru anul 20</w:t>
      </w:r>
      <w:bookmarkEnd w:id="125"/>
      <w:r w:rsidRPr="000F0D8B">
        <w:rPr>
          <w:rFonts w:cstheme="minorHAnsi"/>
          <w:color w:val="auto"/>
          <w:lang w:val="ro-RO"/>
        </w:rPr>
        <w:t>2</w:t>
      </w:r>
      <w:r w:rsidR="000516FC" w:rsidRPr="000F0D8B">
        <w:rPr>
          <w:rFonts w:cstheme="minorHAnsi"/>
          <w:color w:val="auto"/>
          <w:lang w:val="ro-RO"/>
        </w:rPr>
        <w:t>6</w:t>
      </w:r>
      <w:bookmarkEnd w:id="126"/>
    </w:p>
    <w:p w14:paraId="24535E11" w14:textId="77777777" w:rsidR="00F95196" w:rsidRPr="00F95196" w:rsidRDefault="00F95196" w:rsidP="009E3AD8">
      <w:pPr>
        <w:spacing w:line="276" w:lineRule="auto"/>
        <w:ind w:right="48" w:firstLine="709"/>
        <w:jc w:val="both"/>
        <w:rPr>
          <w:rFonts w:ascii="Calibri" w:hAnsi="Calibri" w:cs="Calibri"/>
          <w:sz w:val="26"/>
          <w:szCs w:val="26"/>
        </w:rPr>
      </w:pPr>
      <w:r w:rsidRPr="00F95196">
        <w:rPr>
          <w:rFonts w:ascii="Calibri" w:hAnsi="Calibri" w:cs="Calibri"/>
          <w:sz w:val="26"/>
          <w:szCs w:val="26"/>
        </w:rPr>
        <w:t xml:space="preserve">Politica bugetară pe anul 2025 a susţinut, în mare măsură, activitatea desfăşurată de Consiliul Superior al Magistraturii şi de instituţiile aflate în coordonarea Consiliului, stabilindu-se o finanţare corespunzătoare prin estimarea bugetului pentru fiecare obiectiv în parte. </w:t>
      </w:r>
    </w:p>
    <w:p w14:paraId="2D4C6774" w14:textId="279BAD25" w:rsidR="00F95196" w:rsidRPr="00F95196" w:rsidRDefault="00F95196" w:rsidP="009E3AD8">
      <w:pPr>
        <w:spacing w:line="276" w:lineRule="auto"/>
        <w:ind w:right="48" w:firstLine="709"/>
        <w:jc w:val="both"/>
        <w:rPr>
          <w:rFonts w:ascii="Calibri" w:hAnsi="Calibri" w:cs="Calibri"/>
          <w:sz w:val="26"/>
          <w:szCs w:val="26"/>
        </w:rPr>
      </w:pPr>
      <w:r w:rsidRPr="00F95196">
        <w:rPr>
          <w:rFonts w:ascii="Calibri" w:hAnsi="Calibri" w:cs="Calibri"/>
          <w:sz w:val="26"/>
          <w:szCs w:val="26"/>
        </w:rPr>
        <w:t>Astfel, programul de cheltuieli potrivit bugetului de stat acordat pentru întreaga activitate desfăşurată de Consiliul Superior al Magistraturii, precum şi în perspectiva anului 202</w:t>
      </w:r>
      <w:r w:rsidR="000F3CD1">
        <w:rPr>
          <w:rFonts w:ascii="Calibri" w:hAnsi="Calibri" w:cs="Calibri"/>
          <w:sz w:val="26"/>
          <w:szCs w:val="26"/>
        </w:rPr>
        <w:t>6</w:t>
      </w:r>
      <w:r w:rsidRPr="00F95196">
        <w:rPr>
          <w:rFonts w:ascii="Calibri" w:hAnsi="Calibri" w:cs="Calibri"/>
          <w:sz w:val="26"/>
          <w:szCs w:val="26"/>
        </w:rPr>
        <w:t>, în dinamică, este următorul:</w:t>
      </w:r>
    </w:p>
    <w:p w14:paraId="6729863C" w14:textId="3913F15E" w:rsidR="00F95196" w:rsidRPr="00F95196" w:rsidRDefault="00F95196" w:rsidP="009E3AD8">
      <w:pPr>
        <w:spacing w:line="276" w:lineRule="auto"/>
        <w:jc w:val="both"/>
        <w:rPr>
          <w:rFonts w:ascii="Calibri" w:hAnsi="Calibri" w:cs="Calibri"/>
          <w:b/>
          <w:sz w:val="26"/>
          <w:szCs w:val="26"/>
        </w:rPr>
      </w:pPr>
      <w:r w:rsidRPr="00F95196">
        <w:rPr>
          <w:rFonts w:ascii="Calibri" w:hAnsi="Calibri" w:cs="Calibri"/>
          <w:b/>
          <w:sz w:val="26"/>
          <w:szCs w:val="26"/>
        </w:rPr>
        <w:t>Dinamica bugetului total al C.S.M. în anii 202</w:t>
      </w:r>
      <w:r w:rsidR="00164DB3">
        <w:rPr>
          <w:rFonts w:ascii="Calibri" w:hAnsi="Calibri" w:cs="Calibri"/>
          <w:b/>
          <w:sz w:val="26"/>
          <w:szCs w:val="26"/>
        </w:rPr>
        <w:t>4</w:t>
      </w:r>
      <w:r w:rsidR="002D4973">
        <w:rPr>
          <w:rFonts w:ascii="Calibri" w:hAnsi="Calibri" w:cs="Calibri"/>
          <w:b/>
          <w:sz w:val="26"/>
          <w:szCs w:val="26"/>
        </w:rPr>
        <w:t xml:space="preserve"> </w:t>
      </w:r>
      <w:r w:rsidRPr="00F95196">
        <w:rPr>
          <w:rFonts w:ascii="Calibri" w:hAnsi="Calibri" w:cs="Calibri"/>
          <w:b/>
          <w:sz w:val="26"/>
          <w:szCs w:val="26"/>
        </w:rPr>
        <w:t>-</w:t>
      </w:r>
      <w:r w:rsidR="002D4973">
        <w:rPr>
          <w:rFonts w:ascii="Calibri" w:hAnsi="Calibri" w:cs="Calibri"/>
          <w:b/>
          <w:sz w:val="26"/>
          <w:szCs w:val="26"/>
        </w:rPr>
        <w:t xml:space="preserve"> </w:t>
      </w:r>
      <w:r w:rsidRPr="00F95196">
        <w:rPr>
          <w:rFonts w:ascii="Calibri" w:hAnsi="Calibri" w:cs="Calibri"/>
          <w:b/>
          <w:sz w:val="26"/>
          <w:szCs w:val="26"/>
        </w:rPr>
        <w:t>202</w:t>
      </w:r>
      <w:r w:rsidR="00164DB3">
        <w:rPr>
          <w:rFonts w:ascii="Calibri" w:hAnsi="Calibri" w:cs="Calibri"/>
          <w:b/>
          <w:sz w:val="26"/>
          <w:szCs w:val="26"/>
        </w:rPr>
        <w:t>5</w:t>
      </w:r>
      <w:r w:rsidRPr="00F95196">
        <w:rPr>
          <w:rFonts w:ascii="Calibri" w:hAnsi="Calibri" w:cs="Calibri"/>
          <w:b/>
          <w:sz w:val="26"/>
          <w:szCs w:val="26"/>
        </w:rPr>
        <w:t xml:space="preserve"> şi perspectiva anului 202</w:t>
      </w:r>
      <w:r w:rsidR="00164DB3">
        <w:rPr>
          <w:rFonts w:ascii="Calibri" w:hAnsi="Calibri" w:cs="Calibri"/>
          <w:b/>
          <w:sz w:val="26"/>
          <w:szCs w:val="26"/>
        </w:rPr>
        <w:t>6</w:t>
      </w:r>
      <w:r w:rsidRPr="00F95196">
        <w:rPr>
          <w:rFonts w:ascii="Calibri" w:hAnsi="Calibri" w:cs="Calibri"/>
          <w:b/>
          <w:sz w:val="26"/>
          <w:szCs w:val="26"/>
        </w:rPr>
        <w:t>:</w:t>
      </w:r>
    </w:p>
    <w:p w14:paraId="3F0F955F" w14:textId="585C31BC" w:rsidR="00F95196" w:rsidRPr="00F95196" w:rsidRDefault="00F95196" w:rsidP="009E3AD8">
      <w:pPr>
        <w:spacing w:line="276" w:lineRule="auto"/>
        <w:jc w:val="both"/>
        <w:rPr>
          <w:rFonts w:ascii="Calibri" w:hAnsi="Calibri" w:cs="Calibri"/>
          <w:b/>
          <w:sz w:val="26"/>
          <w:szCs w:val="26"/>
        </w:rPr>
      </w:pPr>
      <w:r w:rsidRPr="00F95196">
        <w:rPr>
          <w:rFonts w:ascii="Calibri" w:hAnsi="Calibri" w:cs="Calibri"/>
          <w:b/>
          <w:sz w:val="26"/>
          <w:szCs w:val="26"/>
        </w:rPr>
        <w:tab/>
      </w:r>
      <w:r w:rsidRPr="00F95196">
        <w:rPr>
          <w:rFonts w:ascii="Calibri" w:hAnsi="Calibri" w:cs="Calibri"/>
          <w:b/>
          <w:sz w:val="26"/>
          <w:szCs w:val="26"/>
        </w:rPr>
        <w:tab/>
      </w:r>
      <w:r w:rsidRPr="00F95196">
        <w:rPr>
          <w:rFonts w:ascii="Calibri" w:hAnsi="Calibri" w:cs="Calibri"/>
          <w:b/>
          <w:sz w:val="26"/>
          <w:szCs w:val="26"/>
        </w:rPr>
        <w:tab/>
      </w:r>
      <w:r w:rsidRPr="00F95196">
        <w:rPr>
          <w:rFonts w:ascii="Calibri" w:hAnsi="Calibri" w:cs="Calibri"/>
          <w:b/>
          <w:sz w:val="26"/>
          <w:szCs w:val="26"/>
        </w:rPr>
        <w:tab/>
      </w:r>
      <w:r w:rsidRPr="00F95196">
        <w:rPr>
          <w:rFonts w:ascii="Calibri" w:hAnsi="Calibri" w:cs="Calibri"/>
          <w:b/>
          <w:sz w:val="26"/>
          <w:szCs w:val="26"/>
        </w:rPr>
        <w:tab/>
      </w:r>
      <w:r w:rsidRPr="00F95196">
        <w:rPr>
          <w:rFonts w:ascii="Calibri" w:hAnsi="Calibri" w:cs="Calibri"/>
          <w:b/>
          <w:sz w:val="26"/>
          <w:szCs w:val="26"/>
        </w:rPr>
        <w:tab/>
      </w:r>
      <w:r w:rsidRPr="00F95196">
        <w:rPr>
          <w:rFonts w:ascii="Calibri" w:hAnsi="Calibri" w:cs="Calibri"/>
          <w:b/>
          <w:sz w:val="26"/>
          <w:szCs w:val="26"/>
        </w:rPr>
        <w:tab/>
      </w:r>
      <w:r w:rsidRPr="00F95196">
        <w:rPr>
          <w:rFonts w:ascii="Calibri" w:hAnsi="Calibri" w:cs="Calibri"/>
          <w:b/>
          <w:sz w:val="26"/>
          <w:szCs w:val="26"/>
        </w:rPr>
        <w:tab/>
      </w:r>
      <w:r w:rsidRPr="00F95196">
        <w:rPr>
          <w:rFonts w:ascii="Calibri" w:hAnsi="Calibri" w:cs="Calibri"/>
          <w:b/>
          <w:sz w:val="26"/>
          <w:szCs w:val="26"/>
        </w:rPr>
        <w:tab/>
      </w:r>
      <w:r w:rsidRPr="00F95196">
        <w:rPr>
          <w:rFonts w:ascii="Calibri" w:hAnsi="Calibri" w:cs="Calibri"/>
          <w:b/>
          <w:sz w:val="26"/>
          <w:szCs w:val="26"/>
        </w:rPr>
        <w:tab/>
      </w:r>
      <w:r w:rsidRPr="00F95196">
        <w:rPr>
          <w:rFonts w:ascii="Calibri" w:hAnsi="Calibri" w:cs="Calibri"/>
          <w:b/>
          <w:sz w:val="26"/>
          <w:szCs w:val="26"/>
        </w:rPr>
        <w:tab/>
      </w:r>
      <w:r w:rsidR="006610BD">
        <w:rPr>
          <w:rFonts w:ascii="Calibri" w:hAnsi="Calibri" w:cs="Calibri"/>
          <w:b/>
          <w:sz w:val="26"/>
          <w:szCs w:val="26"/>
        </w:rPr>
        <w:t xml:space="preserve">     </w:t>
      </w:r>
      <w:r w:rsidRPr="00F95196">
        <w:rPr>
          <w:rFonts w:ascii="Calibri" w:hAnsi="Calibri" w:cs="Calibri"/>
          <w:b/>
          <w:sz w:val="26"/>
          <w:szCs w:val="26"/>
        </w:rPr>
        <w:tab/>
      </w:r>
      <w:r w:rsidR="006610BD">
        <w:rPr>
          <w:rFonts w:ascii="Calibri" w:hAnsi="Calibri" w:cs="Calibri"/>
          <w:b/>
          <w:sz w:val="26"/>
          <w:szCs w:val="26"/>
        </w:rPr>
        <w:t xml:space="preserve"> </w:t>
      </w:r>
      <w:r w:rsidRPr="00F95196">
        <w:rPr>
          <w:rFonts w:ascii="Calibri" w:hAnsi="Calibri" w:cs="Calibri"/>
          <w:b/>
          <w:sz w:val="26"/>
          <w:szCs w:val="26"/>
        </w:rPr>
        <w:t>mii lei/mii euro</w:t>
      </w:r>
    </w:p>
    <w:tbl>
      <w:tblPr>
        <w:tblW w:w="10763" w:type="dxa"/>
        <w:tblLook w:val="04A0" w:firstRow="1" w:lastRow="0" w:firstColumn="1" w:lastColumn="0" w:noHBand="0" w:noVBand="1"/>
      </w:tblPr>
      <w:tblGrid>
        <w:gridCol w:w="567"/>
        <w:gridCol w:w="1739"/>
        <w:gridCol w:w="1360"/>
        <w:gridCol w:w="1239"/>
        <w:gridCol w:w="1199"/>
        <w:gridCol w:w="1299"/>
        <w:gridCol w:w="1092"/>
        <w:gridCol w:w="1246"/>
        <w:gridCol w:w="1022"/>
      </w:tblGrid>
      <w:tr w:rsidR="00F95196" w:rsidRPr="00F95196" w14:paraId="4FCF4AA1" w14:textId="77777777" w:rsidTr="00BE6FF5">
        <w:trPr>
          <w:trHeight w:val="405"/>
        </w:trPr>
        <w:tc>
          <w:tcPr>
            <w:tcW w:w="56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3E234BA" w14:textId="77777777" w:rsidR="00F95196" w:rsidRPr="00F95196" w:rsidRDefault="00F95196" w:rsidP="009E3AD8">
            <w:pPr>
              <w:spacing w:line="276" w:lineRule="auto"/>
              <w:jc w:val="center"/>
              <w:rPr>
                <w:rFonts w:ascii="Calibri Light" w:hAnsi="Calibri Light" w:cs="Calibri Light"/>
                <w:color w:val="000000"/>
                <w:sz w:val="26"/>
                <w:szCs w:val="26"/>
                <w:lang w:val="en-US"/>
              </w:rPr>
            </w:pPr>
            <w:r w:rsidRPr="00F95196">
              <w:rPr>
                <w:rFonts w:ascii="Calibri Light" w:hAnsi="Calibri Light" w:cs="Calibri Light"/>
                <w:color w:val="000000"/>
                <w:sz w:val="26"/>
                <w:szCs w:val="26"/>
                <w:lang w:val="en-US"/>
              </w:rPr>
              <w:t xml:space="preserve">Nr. </w:t>
            </w:r>
            <w:proofErr w:type="spellStart"/>
            <w:r w:rsidRPr="00F95196">
              <w:rPr>
                <w:rFonts w:ascii="Calibri Light" w:hAnsi="Calibri Light" w:cs="Calibri Light"/>
                <w:color w:val="000000"/>
                <w:sz w:val="26"/>
                <w:szCs w:val="26"/>
                <w:lang w:val="en-US"/>
              </w:rPr>
              <w:t>crt</w:t>
            </w:r>
            <w:proofErr w:type="spellEnd"/>
            <w:r w:rsidRPr="00F95196">
              <w:rPr>
                <w:rFonts w:ascii="Calibri Light" w:hAnsi="Calibri Light" w:cs="Calibri Light"/>
                <w:color w:val="000000"/>
                <w:sz w:val="26"/>
                <w:szCs w:val="26"/>
                <w:lang w:val="en-US"/>
              </w:rPr>
              <w:t>.</w:t>
            </w:r>
          </w:p>
        </w:tc>
        <w:tc>
          <w:tcPr>
            <w:tcW w:w="173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80DADE5" w14:textId="77777777" w:rsidR="00F95196" w:rsidRPr="00F95196" w:rsidRDefault="00F95196" w:rsidP="009E3AD8">
            <w:pPr>
              <w:spacing w:line="276" w:lineRule="auto"/>
              <w:jc w:val="center"/>
              <w:rPr>
                <w:rFonts w:ascii="Calibri Light" w:hAnsi="Calibri Light" w:cs="Calibri Light"/>
                <w:color w:val="000000"/>
                <w:sz w:val="26"/>
                <w:szCs w:val="26"/>
                <w:lang w:val="en-US"/>
              </w:rPr>
            </w:pPr>
            <w:r w:rsidRPr="00F95196">
              <w:rPr>
                <w:rFonts w:ascii="Calibri Light" w:hAnsi="Calibri Light" w:cs="Calibri Light"/>
                <w:color w:val="000000"/>
                <w:sz w:val="26"/>
                <w:szCs w:val="26"/>
                <w:lang w:val="en-US"/>
              </w:rPr>
              <w:t xml:space="preserve">BUGET C.S.M. total </w:t>
            </w:r>
          </w:p>
        </w:tc>
        <w:tc>
          <w:tcPr>
            <w:tcW w:w="1360" w:type="dxa"/>
            <w:tcBorders>
              <w:top w:val="single" w:sz="8" w:space="0" w:color="auto"/>
              <w:left w:val="nil"/>
              <w:bottom w:val="nil"/>
              <w:right w:val="nil"/>
            </w:tcBorders>
            <w:shd w:val="clear" w:color="000000" w:fill="D9D9D9"/>
            <w:vAlign w:val="center"/>
            <w:hideMark/>
          </w:tcPr>
          <w:p w14:paraId="2FD4FA5E" w14:textId="77777777" w:rsidR="00F95196" w:rsidRPr="00F95196" w:rsidRDefault="00F95196" w:rsidP="009E3AD8">
            <w:pPr>
              <w:spacing w:line="276" w:lineRule="auto"/>
              <w:jc w:val="center"/>
              <w:rPr>
                <w:rFonts w:ascii="Calibri Light" w:hAnsi="Calibri Light" w:cs="Calibri Light"/>
                <w:color w:val="000000"/>
                <w:sz w:val="26"/>
                <w:szCs w:val="26"/>
                <w:lang w:val="en-US"/>
              </w:rPr>
            </w:pPr>
            <w:proofErr w:type="spellStart"/>
            <w:r w:rsidRPr="00F95196">
              <w:rPr>
                <w:rFonts w:ascii="Calibri Light" w:hAnsi="Calibri Light" w:cs="Calibri Light"/>
                <w:color w:val="000000"/>
                <w:sz w:val="26"/>
                <w:szCs w:val="26"/>
                <w:lang w:val="en-US"/>
              </w:rPr>
              <w:t>Credite</w:t>
            </w:r>
            <w:proofErr w:type="spellEnd"/>
          </w:p>
        </w:tc>
        <w:tc>
          <w:tcPr>
            <w:tcW w:w="2438"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1895A944" w14:textId="77777777" w:rsidR="00F95196" w:rsidRPr="00F95196" w:rsidRDefault="00F95196" w:rsidP="009E3AD8">
            <w:pPr>
              <w:spacing w:line="276" w:lineRule="auto"/>
              <w:jc w:val="center"/>
              <w:rPr>
                <w:rFonts w:ascii="Calibri Light" w:hAnsi="Calibri Light" w:cs="Calibri Light"/>
                <w:color w:val="000000"/>
                <w:sz w:val="26"/>
                <w:szCs w:val="26"/>
                <w:lang w:val="en-US"/>
              </w:rPr>
            </w:pPr>
            <w:r w:rsidRPr="00F95196">
              <w:rPr>
                <w:rFonts w:ascii="Calibri Light" w:hAnsi="Calibri Light" w:cs="Calibri Light"/>
                <w:color w:val="000000"/>
                <w:sz w:val="26"/>
                <w:szCs w:val="26"/>
                <w:lang w:val="en-US"/>
              </w:rPr>
              <w:t>2024</w:t>
            </w:r>
          </w:p>
        </w:tc>
        <w:tc>
          <w:tcPr>
            <w:tcW w:w="2391" w:type="dxa"/>
            <w:gridSpan w:val="2"/>
            <w:tcBorders>
              <w:top w:val="single" w:sz="8" w:space="0" w:color="auto"/>
              <w:left w:val="nil"/>
              <w:bottom w:val="single" w:sz="8" w:space="0" w:color="auto"/>
              <w:right w:val="single" w:sz="8" w:space="0" w:color="000000"/>
            </w:tcBorders>
            <w:shd w:val="clear" w:color="000000" w:fill="D9D9D9"/>
            <w:vAlign w:val="center"/>
            <w:hideMark/>
          </w:tcPr>
          <w:p w14:paraId="408B4343" w14:textId="77777777" w:rsidR="00F95196" w:rsidRPr="00F95196" w:rsidRDefault="00F95196" w:rsidP="009E3AD8">
            <w:pPr>
              <w:spacing w:line="276" w:lineRule="auto"/>
              <w:jc w:val="center"/>
              <w:rPr>
                <w:rFonts w:ascii="Calibri Light" w:hAnsi="Calibri Light" w:cs="Calibri Light"/>
                <w:color w:val="000000"/>
                <w:sz w:val="26"/>
                <w:szCs w:val="26"/>
                <w:lang w:val="en-US"/>
              </w:rPr>
            </w:pPr>
            <w:r w:rsidRPr="00F95196">
              <w:rPr>
                <w:rFonts w:ascii="Calibri Light" w:hAnsi="Calibri Light" w:cs="Calibri Light"/>
                <w:color w:val="000000"/>
                <w:sz w:val="26"/>
                <w:szCs w:val="26"/>
                <w:lang w:val="en-US"/>
              </w:rPr>
              <w:t>2025</w:t>
            </w:r>
          </w:p>
        </w:tc>
        <w:tc>
          <w:tcPr>
            <w:tcW w:w="2268" w:type="dxa"/>
            <w:gridSpan w:val="2"/>
            <w:tcBorders>
              <w:top w:val="single" w:sz="8" w:space="0" w:color="auto"/>
              <w:left w:val="nil"/>
              <w:bottom w:val="single" w:sz="8" w:space="0" w:color="auto"/>
              <w:right w:val="single" w:sz="8" w:space="0" w:color="000000"/>
            </w:tcBorders>
            <w:shd w:val="clear" w:color="000000" w:fill="D9D9D9"/>
            <w:vAlign w:val="center"/>
            <w:hideMark/>
          </w:tcPr>
          <w:p w14:paraId="39A0259A" w14:textId="77777777" w:rsidR="00F95196" w:rsidRPr="00F95196" w:rsidRDefault="00F95196" w:rsidP="009E3AD8">
            <w:pPr>
              <w:spacing w:line="276" w:lineRule="auto"/>
              <w:jc w:val="center"/>
              <w:rPr>
                <w:rFonts w:ascii="Calibri Light" w:hAnsi="Calibri Light" w:cs="Calibri Light"/>
                <w:color w:val="000000"/>
                <w:sz w:val="26"/>
                <w:szCs w:val="26"/>
                <w:lang w:val="en-US"/>
              </w:rPr>
            </w:pPr>
            <w:r w:rsidRPr="00F95196">
              <w:rPr>
                <w:rFonts w:ascii="Calibri Light" w:hAnsi="Calibri Light" w:cs="Calibri Light"/>
                <w:color w:val="000000"/>
                <w:sz w:val="26"/>
                <w:szCs w:val="26"/>
                <w:lang w:val="en-US"/>
              </w:rPr>
              <w:t>2026</w:t>
            </w:r>
          </w:p>
        </w:tc>
      </w:tr>
      <w:tr w:rsidR="00F95196" w:rsidRPr="00F95196" w14:paraId="4C785596" w14:textId="77777777" w:rsidTr="00BE6FF5">
        <w:trPr>
          <w:trHeight w:val="360"/>
        </w:trPr>
        <w:tc>
          <w:tcPr>
            <w:tcW w:w="567" w:type="dxa"/>
            <w:vMerge/>
            <w:tcBorders>
              <w:top w:val="single" w:sz="8" w:space="0" w:color="auto"/>
              <w:left w:val="single" w:sz="8" w:space="0" w:color="auto"/>
              <w:bottom w:val="single" w:sz="8" w:space="0" w:color="000000"/>
              <w:right w:val="single" w:sz="8" w:space="0" w:color="auto"/>
            </w:tcBorders>
            <w:vAlign w:val="center"/>
            <w:hideMark/>
          </w:tcPr>
          <w:p w14:paraId="5E6ED97A" w14:textId="77777777" w:rsidR="00F95196" w:rsidRPr="00F95196" w:rsidRDefault="00F95196" w:rsidP="009E3AD8">
            <w:pPr>
              <w:spacing w:line="276" w:lineRule="auto"/>
              <w:rPr>
                <w:rFonts w:ascii="Calibri Light" w:hAnsi="Calibri Light" w:cs="Calibri Light"/>
                <w:color w:val="000000"/>
                <w:sz w:val="26"/>
                <w:szCs w:val="26"/>
                <w:lang w:val="en-US"/>
              </w:rPr>
            </w:pPr>
          </w:p>
        </w:tc>
        <w:tc>
          <w:tcPr>
            <w:tcW w:w="1739" w:type="dxa"/>
            <w:vMerge/>
            <w:tcBorders>
              <w:top w:val="single" w:sz="8" w:space="0" w:color="auto"/>
              <w:left w:val="single" w:sz="8" w:space="0" w:color="auto"/>
              <w:bottom w:val="single" w:sz="8" w:space="0" w:color="000000"/>
              <w:right w:val="single" w:sz="8" w:space="0" w:color="auto"/>
            </w:tcBorders>
            <w:vAlign w:val="center"/>
            <w:hideMark/>
          </w:tcPr>
          <w:p w14:paraId="5D9A191A" w14:textId="77777777" w:rsidR="00F95196" w:rsidRPr="00F95196" w:rsidRDefault="00F95196" w:rsidP="009E3AD8">
            <w:pPr>
              <w:spacing w:line="276" w:lineRule="auto"/>
              <w:rPr>
                <w:rFonts w:ascii="Calibri Light" w:hAnsi="Calibri Light" w:cs="Calibri Light"/>
                <w:color w:val="000000"/>
                <w:sz w:val="26"/>
                <w:szCs w:val="26"/>
                <w:lang w:val="en-US"/>
              </w:rPr>
            </w:pPr>
          </w:p>
        </w:tc>
        <w:tc>
          <w:tcPr>
            <w:tcW w:w="1360" w:type="dxa"/>
            <w:tcBorders>
              <w:top w:val="nil"/>
              <w:left w:val="nil"/>
              <w:bottom w:val="single" w:sz="8" w:space="0" w:color="auto"/>
              <w:right w:val="single" w:sz="8" w:space="0" w:color="auto"/>
            </w:tcBorders>
            <w:shd w:val="clear" w:color="000000" w:fill="D9D9D9"/>
            <w:vAlign w:val="center"/>
            <w:hideMark/>
          </w:tcPr>
          <w:p w14:paraId="7BC1D6FA" w14:textId="77777777" w:rsidR="00F95196" w:rsidRPr="00F95196" w:rsidRDefault="00F95196" w:rsidP="009E3AD8">
            <w:pPr>
              <w:spacing w:line="276" w:lineRule="auto"/>
              <w:jc w:val="center"/>
              <w:rPr>
                <w:rFonts w:ascii="Calibri Light" w:hAnsi="Calibri Light" w:cs="Calibri Light"/>
                <w:color w:val="000000"/>
                <w:sz w:val="26"/>
                <w:szCs w:val="26"/>
                <w:lang w:val="en-US"/>
              </w:rPr>
            </w:pPr>
            <w:r w:rsidRPr="00F95196">
              <w:rPr>
                <w:rFonts w:ascii="Calibri Light" w:hAnsi="Calibri Light" w:cs="Calibri Light"/>
                <w:color w:val="000000"/>
                <w:sz w:val="26"/>
                <w:szCs w:val="26"/>
                <w:lang w:val="en-US"/>
              </w:rPr>
              <w:t> </w:t>
            </w:r>
          </w:p>
        </w:tc>
        <w:tc>
          <w:tcPr>
            <w:tcW w:w="1239" w:type="dxa"/>
            <w:tcBorders>
              <w:top w:val="nil"/>
              <w:left w:val="nil"/>
              <w:bottom w:val="single" w:sz="8" w:space="0" w:color="auto"/>
              <w:right w:val="single" w:sz="8" w:space="0" w:color="auto"/>
            </w:tcBorders>
            <w:shd w:val="clear" w:color="000000" w:fill="D9D9D9"/>
            <w:vAlign w:val="center"/>
            <w:hideMark/>
          </w:tcPr>
          <w:p w14:paraId="56614189" w14:textId="77777777" w:rsidR="00F95196" w:rsidRPr="00F95196" w:rsidRDefault="00F95196" w:rsidP="009E3AD8">
            <w:pPr>
              <w:spacing w:line="276" w:lineRule="auto"/>
              <w:jc w:val="center"/>
              <w:rPr>
                <w:rFonts w:ascii="Calibri Light" w:hAnsi="Calibri Light" w:cs="Calibri Light"/>
                <w:color w:val="000000"/>
                <w:sz w:val="26"/>
                <w:szCs w:val="26"/>
                <w:lang w:val="en-US"/>
              </w:rPr>
            </w:pPr>
            <w:r w:rsidRPr="00F95196">
              <w:rPr>
                <w:rFonts w:ascii="Calibri Light" w:hAnsi="Calibri Light" w:cs="Calibri Light"/>
                <w:color w:val="000000"/>
                <w:sz w:val="26"/>
                <w:szCs w:val="26"/>
                <w:lang w:val="en-US"/>
              </w:rPr>
              <w:t>LEI</w:t>
            </w:r>
          </w:p>
        </w:tc>
        <w:tc>
          <w:tcPr>
            <w:tcW w:w="1199" w:type="dxa"/>
            <w:tcBorders>
              <w:top w:val="nil"/>
              <w:left w:val="nil"/>
              <w:bottom w:val="single" w:sz="8" w:space="0" w:color="auto"/>
              <w:right w:val="single" w:sz="8" w:space="0" w:color="auto"/>
            </w:tcBorders>
            <w:shd w:val="clear" w:color="000000" w:fill="D9D9D9"/>
            <w:vAlign w:val="center"/>
            <w:hideMark/>
          </w:tcPr>
          <w:p w14:paraId="6C1C0367" w14:textId="77777777" w:rsidR="00F95196" w:rsidRPr="00F95196" w:rsidRDefault="00F95196" w:rsidP="009E3AD8">
            <w:pPr>
              <w:spacing w:line="276" w:lineRule="auto"/>
              <w:jc w:val="center"/>
              <w:rPr>
                <w:rFonts w:ascii="Calibri Light" w:hAnsi="Calibri Light" w:cs="Calibri Light"/>
                <w:color w:val="000000"/>
                <w:sz w:val="26"/>
                <w:szCs w:val="26"/>
                <w:lang w:val="en-US"/>
              </w:rPr>
            </w:pPr>
            <w:r w:rsidRPr="00F95196">
              <w:rPr>
                <w:rFonts w:ascii="Calibri Light" w:hAnsi="Calibri Light" w:cs="Calibri Light"/>
                <w:color w:val="000000"/>
                <w:sz w:val="26"/>
                <w:szCs w:val="26"/>
                <w:lang w:val="en-US"/>
              </w:rPr>
              <w:t>EURO</w:t>
            </w:r>
          </w:p>
        </w:tc>
        <w:tc>
          <w:tcPr>
            <w:tcW w:w="1299" w:type="dxa"/>
            <w:tcBorders>
              <w:top w:val="nil"/>
              <w:left w:val="nil"/>
              <w:bottom w:val="single" w:sz="8" w:space="0" w:color="auto"/>
              <w:right w:val="single" w:sz="8" w:space="0" w:color="auto"/>
            </w:tcBorders>
            <w:shd w:val="clear" w:color="000000" w:fill="D9D9D9"/>
            <w:vAlign w:val="center"/>
            <w:hideMark/>
          </w:tcPr>
          <w:p w14:paraId="09BB7012" w14:textId="77777777" w:rsidR="00F95196" w:rsidRPr="00F95196" w:rsidRDefault="00F95196" w:rsidP="009E3AD8">
            <w:pPr>
              <w:spacing w:line="276" w:lineRule="auto"/>
              <w:jc w:val="center"/>
              <w:rPr>
                <w:rFonts w:ascii="Calibri Light" w:hAnsi="Calibri Light" w:cs="Calibri Light"/>
                <w:color w:val="000000"/>
                <w:sz w:val="26"/>
                <w:szCs w:val="26"/>
                <w:lang w:val="en-US"/>
              </w:rPr>
            </w:pPr>
            <w:r w:rsidRPr="00F95196">
              <w:rPr>
                <w:rFonts w:ascii="Calibri Light" w:hAnsi="Calibri Light" w:cs="Calibri Light"/>
                <w:color w:val="000000"/>
                <w:sz w:val="26"/>
                <w:szCs w:val="26"/>
                <w:lang w:val="en-US"/>
              </w:rPr>
              <w:t>LEI</w:t>
            </w:r>
          </w:p>
        </w:tc>
        <w:tc>
          <w:tcPr>
            <w:tcW w:w="1092" w:type="dxa"/>
            <w:tcBorders>
              <w:top w:val="nil"/>
              <w:left w:val="nil"/>
              <w:bottom w:val="single" w:sz="8" w:space="0" w:color="auto"/>
              <w:right w:val="single" w:sz="8" w:space="0" w:color="auto"/>
            </w:tcBorders>
            <w:shd w:val="clear" w:color="000000" w:fill="D9D9D9"/>
            <w:vAlign w:val="center"/>
            <w:hideMark/>
          </w:tcPr>
          <w:p w14:paraId="76C71A82" w14:textId="77777777" w:rsidR="00F95196" w:rsidRPr="00F95196" w:rsidRDefault="00F95196" w:rsidP="009E3AD8">
            <w:pPr>
              <w:spacing w:line="276" w:lineRule="auto"/>
              <w:jc w:val="center"/>
              <w:rPr>
                <w:rFonts w:ascii="Calibri Light" w:hAnsi="Calibri Light" w:cs="Calibri Light"/>
                <w:color w:val="000000"/>
                <w:sz w:val="26"/>
                <w:szCs w:val="26"/>
                <w:lang w:val="en-US"/>
              </w:rPr>
            </w:pPr>
            <w:r w:rsidRPr="00F95196">
              <w:rPr>
                <w:rFonts w:ascii="Calibri Light" w:hAnsi="Calibri Light" w:cs="Calibri Light"/>
                <w:color w:val="000000"/>
                <w:sz w:val="26"/>
                <w:szCs w:val="26"/>
                <w:lang w:val="en-US"/>
              </w:rPr>
              <w:t>EURO</w:t>
            </w:r>
          </w:p>
        </w:tc>
        <w:tc>
          <w:tcPr>
            <w:tcW w:w="1246" w:type="dxa"/>
            <w:tcBorders>
              <w:top w:val="nil"/>
              <w:left w:val="nil"/>
              <w:bottom w:val="single" w:sz="8" w:space="0" w:color="auto"/>
              <w:right w:val="single" w:sz="8" w:space="0" w:color="auto"/>
            </w:tcBorders>
            <w:shd w:val="clear" w:color="000000" w:fill="D9D9D9"/>
            <w:vAlign w:val="center"/>
            <w:hideMark/>
          </w:tcPr>
          <w:p w14:paraId="4F50E15D" w14:textId="77777777" w:rsidR="00F95196" w:rsidRPr="00F95196" w:rsidRDefault="00F95196" w:rsidP="009E3AD8">
            <w:pPr>
              <w:spacing w:line="276" w:lineRule="auto"/>
              <w:jc w:val="center"/>
              <w:rPr>
                <w:rFonts w:ascii="Calibri Light" w:hAnsi="Calibri Light" w:cs="Calibri Light"/>
                <w:color w:val="000000"/>
                <w:sz w:val="26"/>
                <w:szCs w:val="26"/>
                <w:lang w:val="en-US"/>
              </w:rPr>
            </w:pPr>
            <w:r w:rsidRPr="00F95196">
              <w:rPr>
                <w:rFonts w:ascii="Calibri Light" w:hAnsi="Calibri Light" w:cs="Calibri Light"/>
                <w:color w:val="000000"/>
                <w:sz w:val="26"/>
                <w:szCs w:val="26"/>
                <w:lang w:val="en-US"/>
              </w:rPr>
              <w:t>LEI</w:t>
            </w:r>
          </w:p>
        </w:tc>
        <w:tc>
          <w:tcPr>
            <w:tcW w:w="1022" w:type="dxa"/>
            <w:tcBorders>
              <w:top w:val="nil"/>
              <w:left w:val="nil"/>
              <w:bottom w:val="single" w:sz="8" w:space="0" w:color="auto"/>
              <w:right w:val="single" w:sz="8" w:space="0" w:color="auto"/>
            </w:tcBorders>
            <w:shd w:val="clear" w:color="000000" w:fill="D9D9D9"/>
            <w:vAlign w:val="center"/>
            <w:hideMark/>
          </w:tcPr>
          <w:p w14:paraId="6CE29B9A" w14:textId="77777777" w:rsidR="00F95196" w:rsidRPr="00F95196" w:rsidRDefault="00F95196" w:rsidP="009E3AD8">
            <w:pPr>
              <w:spacing w:line="276" w:lineRule="auto"/>
              <w:jc w:val="center"/>
              <w:rPr>
                <w:rFonts w:ascii="Calibri Light" w:hAnsi="Calibri Light" w:cs="Calibri Light"/>
                <w:color w:val="000000"/>
                <w:sz w:val="26"/>
                <w:szCs w:val="26"/>
                <w:lang w:val="en-US"/>
              </w:rPr>
            </w:pPr>
            <w:r w:rsidRPr="00F95196">
              <w:rPr>
                <w:rFonts w:ascii="Calibri Light" w:hAnsi="Calibri Light" w:cs="Calibri Light"/>
                <w:color w:val="000000"/>
                <w:sz w:val="26"/>
                <w:szCs w:val="26"/>
                <w:lang w:val="en-US"/>
              </w:rPr>
              <w:t>EURO</w:t>
            </w:r>
          </w:p>
        </w:tc>
      </w:tr>
      <w:tr w:rsidR="00F95196" w:rsidRPr="00F95196" w14:paraId="6184FF26" w14:textId="77777777" w:rsidTr="00BE6FF5">
        <w:trPr>
          <w:trHeight w:val="510"/>
        </w:trPr>
        <w:tc>
          <w:tcPr>
            <w:tcW w:w="567" w:type="dxa"/>
            <w:tcBorders>
              <w:top w:val="nil"/>
              <w:left w:val="single" w:sz="8" w:space="0" w:color="auto"/>
              <w:bottom w:val="single" w:sz="8" w:space="0" w:color="auto"/>
              <w:right w:val="single" w:sz="8" w:space="0" w:color="auto"/>
            </w:tcBorders>
            <w:vAlign w:val="center"/>
            <w:hideMark/>
          </w:tcPr>
          <w:p w14:paraId="3F783209" w14:textId="77777777" w:rsidR="00F95196" w:rsidRPr="00F95196" w:rsidRDefault="00F95196" w:rsidP="009E3AD8">
            <w:pPr>
              <w:spacing w:line="276" w:lineRule="auto"/>
              <w:jc w:val="center"/>
              <w:rPr>
                <w:rFonts w:ascii="Calibri Light" w:hAnsi="Calibri Light" w:cs="Calibri Light"/>
                <w:color w:val="000000"/>
                <w:sz w:val="26"/>
                <w:szCs w:val="26"/>
                <w:lang w:val="en-US"/>
              </w:rPr>
            </w:pPr>
            <w:r w:rsidRPr="00F95196">
              <w:rPr>
                <w:rFonts w:ascii="Calibri Light" w:hAnsi="Calibri Light" w:cs="Calibri Light"/>
                <w:color w:val="000000"/>
                <w:sz w:val="26"/>
                <w:szCs w:val="26"/>
                <w:lang w:val="en-US"/>
              </w:rPr>
              <w:t>1</w:t>
            </w:r>
          </w:p>
        </w:tc>
        <w:tc>
          <w:tcPr>
            <w:tcW w:w="1739" w:type="dxa"/>
            <w:vMerge w:val="restart"/>
            <w:tcBorders>
              <w:top w:val="nil"/>
              <w:left w:val="single" w:sz="8" w:space="0" w:color="auto"/>
              <w:bottom w:val="single" w:sz="8" w:space="0" w:color="000000"/>
              <w:right w:val="single" w:sz="8" w:space="0" w:color="auto"/>
            </w:tcBorders>
            <w:vAlign w:val="center"/>
            <w:hideMark/>
          </w:tcPr>
          <w:p w14:paraId="0124553F" w14:textId="77777777" w:rsidR="00F95196" w:rsidRPr="00F95196" w:rsidRDefault="00F95196" w:rsidP="009E3AD8">
            <w:pPr>
              <w:spacing w:line="276" w:lineRule="auto"/>
              <w:jc w:val="center"/>
              <w:rPr>
                <w:rFonts w:ascii="Calibri Light" w:hAnsi="Calibri Light" w:cs="Calibri Light"/>
                <w:color w:val="000000"/>
                <w:sz w:val="26"/>
                <w:szCs w:val="26"/>
                <w:lang w:val="en-US"/>
              </w:rPr>
            </w:pPr>
            <w:r w:rsidRPr="00F95196">
              <w:rPr>
                <w:rFonts w:ascii="Calibri Light" w:hAnsi="Calibri Light" w:cs="Calibri Light"/>
                <w:color w:val="000000"/>
                <w:sz w:val="26"/>
                <w:szCs w:val="26"/>
                <w:lang w:val="en-US"/>
              </w:rPr>
              <w:t xml:space="preserve">BUGET C.S.M. total </w:t>
            </w:r>
          </w:p>
        </w:tc>
        <w:tc>
          <w:tcPr>
            <w:tcW w:w="1360" w:type="dxa"/>
            <w:tcBorders>
              <w:top w:val="nil"/>
              <w:left w:val="nil"/>
              <w:bottom w:val="single" w:sz="8" w:space="0" w:color="auto"/>
              <w:right w:val="single" w:sz="8" w:space="0" w:color="auto"/>
            </w:tcBorders>
            <w:vAlign w:val="center"/>
            <w:hideMark/>
          </w:tcPr>
          <w:p w14:paraId="69E6FA6C" w14:textId="77777777" w:rsidR="00F95196" w:rsidRPr="00F95196" w:rsidRDefault="00F95196" w:rsidP="009E3AD8">
            <w:pPr>
              <w:spacing w:line="276" w:lineRule="auto"/>
              <w:jc w:val="center"/>
              <w:rPr>
                <w:rFonts w:ascii="Calibri Light" w:hAnsi="Calibri Light" w:cs="Calibri Light"/>
                <w:color w:val="000000"/>
                <w:sz w:val="26"/>
                <w:szCs w:val="26"/>
                <w:lang w:val="en-US"/>
              </w:rPr>
            </w:pPr>
            <w:r w:rsidRPr="00F95196">
              <w:rPr>
                <w:rFonts w:ascii="Calibri Light" w:hAnsi="Calibri Light" w:cs="Calibri Light"/>
                <w:color w:val="000000"/>
                <w:sz w:val="26"/>
                <w:szCs w:val="26"/>
                <w:lang w:val="en-US"/>
              </w:rPr>
              <w:t>CA</w:t>
            </w:r>
          </w:p>
        </w:tc>
        <w:tc>
          <w:tcPr>
            <w:tcW w:w="1239" w:type="dxa"/>
            <w:tcBorders>
              <w:top w:val="nil"/>
              <w:left w:val="nil"/>
              <w:bottom w:val="single" w:sz="8" w:space="0" w:color="auto"/>
              <w:right w:val="single" w:sz="8" w:space="0" w:color="auto"/>
            </w:tcBorders>
            <w:vAlign w:val="center"/>
            <w:hideMark/>
          </w:tcPr>
          <w:p w14:paraId="5D21E557" w14:textId="77777777" w:rsidR="00F95196" w:rsidRPr="00F95196" w:rsidRDefault="00F95196" w:rsidP="009E3AD8">
            <w:pPr>
              <w:spacing w:line="276" w:lineRule="auto"/>
              <w:jc w:val="center"/>
              <w:rPr>
                <w:rFonts w:ascii="Calibri Light" w:hAnsi="Calibri Light" w:cs="Calibri Light"/>
                <w:color w:val="000000"/>
                <w:sz w:val="26"/>
                <w:szCs w:val="26"/>
                <w:lang w:val="en-US"/>
              </w:rPr>
            </w:pPr>
            <w:r w:rsidRPr="00F95196">
              <w:rPr>
                <w:rFonts w:ascii="Calibri Light" w:hAnsi="Calibri Light" w:cs="Calibri Light"/>
                <w:color w:val="000000"/>
                <w:sz w:val="26"/>
                <w:szCs w:val="26"/>
                <w:lang w:val="en-US"/>
              </w:rPr>
              <w:t>319 502</w:t>
            </w:r>
          </w:p>
        </w:tc>
        <w:tc>
          <w:tcPr>
            <w:tcW w:w="1199" w:type="dxa"/>
            <w:tcBorders>
              <w:top w:val="nil"/>
              <w:left w:val="nil"/>
              <w:bottom w:val="single" w:sz="8" w:space="0" w:color="auto"/>
              <w:right w:val="single" w:sz="8" w:space="0" w:color="auto"/>
            </w:tcBorders>
            <w:vAlign w:val="center"/>
            <w:hideMark/>
          </w:tcPr>
          <w:p w14:paraId="78681351" w14:textId="77777777" w:rsidR="00F95196" w:rsidRPr="00F95196" w:rsidRDefault="00F95196" w:rsidP="009E3AD8">
            <w:pPr>
              <w:spacing w:line="276" w:lineRule="auto"/>
              <w:jc w:val="center"/>
              <w:rPr>
                <w:rFonts w:ascii="Calibri Light" w:hAnsi="Calibri Light" w:cs="Calibri Light"/>
                <w:color w:val="000000"/>
                <w:sz w:val="26"/>
                <w:szCs w:val="26"/>
                <w:lang w:val="en-US"/>
              </w:rPr>
            </w:pPr>
            <w:r w:rsidRPr="00F95196">
              <w:rPr>
                <w:rFonts w:ascii="Calibri Light" w:hAnsi="Calibri Light" w:cs="Calibri Light"/>
                <w:color w:val="000000"/>
                <w:sz w:val="26"/>
                <w:szCs w:val="26"/>
                <w:lang w:val="en-US"/>
              </w:rPr>
              <w:t>63 900</w:t>
            </w:r>
          </w:p>
        </w:tc>
        <w:tc>
          <w:tcPr>
            <w:tcW w:w="1299" w:type="dxa"/>
            <w:tcBorders>
              <w:top w:val="nil"/>
              <w:left w:val="nil"/>
              <w:bottom w:val="single" w:sz="8" w:space="0" w:color="auto"/>
              <w:right w:val="single" w:sz="8" w:space="0" w:color="auto"/>
            </w:tcBorders>
            <w:vAlign w:val="center"/>
            <w:hideMark/>
          </w:tcPr>
          <w:p w14:paraId="4BBA0D07" w14:textId="77777777" w:rsidR="00F95196" w:rsidRPr="00F95196" w:rsidRDefault="00F95196" w:rsidP="009E3AD8">
            <w:pPr>
              <w:spacing w:line="276" w:lineRule="auto"/>
              <w:jc w:val="center"/>
              <w:rPr>
                <w:rFonts w:ascii="Calibri Light" w:hAnsi="Calibri Light" w:cs="Calibri Light"/>
                <w:color w:val="000000"/>
                <w:sz w:val="26"/>
                <w:szCs w:val="26"/>
                <w:lang w:val="en-US"/>
              </w:rPr>
            </w:pPr>
            <w:r w:rsidRPr="00F95196">
              <w:rPr>
                <w:rFonts w:ascii="Calibri Light" w:hAnsi="Calibri Light" w:cs="Calibri Light"/>
                <w:color w:val="000000"/>
                <w:sz w:val="26"/>
                <w:szCs w:val="26"/>
                <w:lang w:val="en-US"/>
              </w:rPr>
              <w:t>281 040</w:t>
            </w:r>
          </w:p>
        </w:tc>
        <w:tc>
          <w:tcPr>
            <w:tcW w:w="1092" w:type="dxa"/>
            <w:tcBorders>
              <w:top w:val="nil"/>
              <w:left w:val="nil"/>
              <w:bottom w:val="single" w:sz="8" w:space="0" w:color="auto"/>
              <w:right w:val="single" w:sz="8" w:space="0" w:color="auto"/>
            </w:tcBorders>
            <w:vAlign w:val="center"/>
            <w:hideMark/>
          </w:tcPr>
          <w:p w14:paraId="3B929019" w14:textId="77777777" w:rsidR="00F95196" w:rsidRPr="00F95196" w:rsidRDefault="00F95196" w:rsidP="009E3AD8">
            <w:pPr>
              <w:spacing w:line="276" w:lineRule="auto"/>
              <w:jc w:val="center"/>
              <w:rPr>
                <w:rFonts w:ascii="Calibri Light" w:hAnsi="Calibri Light" w:cs="Calibri Light"/>
                <w:color w:val="000000"/>
                <w:sz w:val="26"/>
                <w:szCs w:val="26"/>
                <w:lang w:val="en-US"/>
              </w:rPr>
            </w:pPr>
            <w:r w:rsidRPr="00F95196">
              <w:rPr>
                <w:rFonts w:ascii="Calibri Light" w:hAnsi="Calibri Light" w:cs="Calibri Light"/>
                <w:color w:val="000000"/>
                <w:sz w:val="26"/>
                <w:szCs w:val="26"/>
                <w:lang w:val="en-US"/>
              </w:rPr>
              <w:t>51 096</w:t>
            </w:r>
          </w:p>
        </w:tc>
        <w:tc>
          <w:tcPr>
            <w:tcW w:w="1246" w:type="dxa"/>
            <w:tcBorders>
              <w:top w:val="nil"/>
              <w:left w:val="nil"/>
              <w:bottom w:val="single" w:sz="8" w:space="0" w:color="auto"/>
              <w:right w:val="single" w:sz="8" w:space="0" w:color="auto"/>
            </w:tcBorders>
            <w:vAlign w:val="center"/>
            <w:hideMark/>
          </w:tcPr>
          <w:p w14:paraId="00AEDEA9" w14:textId="77777777" w:rsidR="00F95196" w:rsidRPr="00F95196" w:rsidRDefault="00F95196" w:rsidP="009E3AD8">
            <w:pPr>
              <w:spacing w:line="276" w:lineRule="auto"/>
              <w:jc w:val="center"/>
              <w:rPr>
                <w:rFonts w:ascii="Calibri Light" w:hAnsi="Calibri Light" w:cs="Calibri Light"/>
                <w:color w:val="000000"/>
                <w:sz w:val="26"/>
                <w:szCs w:val="26"/>
                <w:lang w:val="en-US"/>
              </w:rPr>
            </w:pPr>
            <w:r w:rsidRPr="00F95196">
              <w:rPr>
                <w:rFonts w:ascii="Calibri Light" w:hAnsi="Calibri Light" w:cs="Calibri Light"/>
                <w:color w:val="000000"/>
                <w:sz w:val="26"/>
                <w:szCs w:val="26"/>
                <w:lang w:val="en-US"/>
              </w:rPr>
              <w:t>421 331</w:t>
            </w:r>
          </w:p>
        </w:tc>
        <w:tc>
          <w:tcPr>
            <w:tcW w:w="1022" w:type="dxa"/>
            <w:tcBorders>
              <w:top w:val="nil"/>
              <w:left w:val="nil"/>
              <w:bottom w:val="single" w:sz="8" w:space="0" w:color="auto"/>
              <w:right w:val="single" w:sz="8" w:space="0" w:color="auto"/>
            </w:tcBorders>
            <w:vAlign w:val="center"/>
            <w:hideMark/>
          </w:tcPr>
          <w:p w14:paraId="4FA0A920" w14:textId="77777777" w:rsidR="00F95196" w:rsidRPr="00F95196" w:rsidRDefault="00F95196" w:rsidP="009E3AD8">
            <w:pPr>
              <w:spacing w:line="276" w:lineRule="auto"/>
              <w:jc w:val="center"/>
              <w:rPr>
                <w:rFonts w:ascii="Calibri Light" w:hAnsi="Calibri Light" w:cs="Calibri Light"/>
                <w:color w:val="000000"/>
                <w:sz w:val="26"/>
                <w:szCs w:val="26"/>
                <w:lang w:val="en-US"/>
              </w:rPr>
            </w:pPr>
            <w:r w:rsidRPr="00F95196">
              <w:rPr>
                <w:rFonts w:ascii="Calibri Light" w:hAnsi="Calibri Light" w:cs="Calibri Light"/>
                <w:color w:val="000000"/>
                <w:sz w:val="26"/>
                <w:szCs w:val="26"/>
                <w:lang w:val="en-US"/>
              </w:rPr>
              <w:t>76 606</w:t>
            </w:r>
          </w:p>
        </w:tc>
      </w:tr>
      <w:tr w:rsidR="00F95196" w:rsidRPr="00F95196" w14:paraId="3F314F66" w14:textId="77777777" w:rsidTr="00BE6FF5">
        <w:trPr>
          <w:trHeight w:val="360"/>
        </w:trPr>
        <w:tc>
          <w:tcPr>
            <w:tcW w:w="567" w:type="dxa"/>
            <w:tcBorders>
              <w:top w:val="nil"/>
              <w:left w:val="single" w:sz="8" w:space="0" w:color="auto"/>
              <w:bottom w:val="single" w:sz="8" w:space="0" w:color="auto"/>
              <w:right w:val="single" w:sz="8" w:space="0" w:color="auto"/>
            </w:tcBorders>
            <w:noWrap/>
            <w:vAlign w:val="center"/>
            <w:hideMark/>
          </w:tcPr>
          <w:p w14:paraId="463D47E5" w14:textId="77777777" w:rsidR="00F95196" w:rsidRPr="00F95196" w:rsidRDefault="00F95196" w:rsidP="009E3AD8">
            <w:pPr>
              <w:spacing w:line="276" w:lineRule="auto"/>
              <w:jc w:val="center"/>
              <w:rPr>
                <w:rFonts w:ascii="Calibri Light" w:hAnsi="Calibri Light" w:cs="Calibri Light"/>
                <w:color w:val="000000"/>
                <w:sz w:val="26"/>
                <w:szCs w:val="26"/>
                <w:lang w:val="en-US"/>
              </w:rPr>
            </w:pPr>
            <w:r w:rsidRPr="00F95196">
              <w:rPr>
                <w:rFonts w:ascii="Calibri Light" w:hAnsi="Calibri Light" w:cs="Calibri Light"/>
                <w:color w:val="000000"/>
                <w:sz w:val="26"/>
                <w:szCs w:val="26"/>
                <w:lang w:val="en-US"/>
              </w:rPr>
              <w:t>2</w:t>
            </w:r>
          </w:p>
        </w:tc>
        <w:tc>
          <w:tcPr>
            <w:tcW w:w="1739" w:type="dxa"/>
            <w:vMerge/>
            <w:tcBorders>
              <w:top w:val="nil"/>
              <w:left w:val="single" w:sz="8" w:space="0" w:color="auto"/>
              <w:bottom w:val="single" w:sz="8" w:space="0" w:color="000000"/>
              <w:right w:val="single" w:sz="8" w:space="0" w:color="auto"/>
            </w:tcBorders>
            <w:vAlign w:val="center"/>
            <w:hideMark/>
          </w:tcPr>
          <w:p w14:paraId="37FBF608" w14:textId="77777777" w:rsidR="00F95196" w:rsidRPr="00F95196" w:rsidRDefault="00F95196" w:rsidP="009E3AD8">
            <w:pPr>
              <w:spacing w:line="276" w:lineRule="auto"/>
              <w:rPr>
                <w:rFonts w:ascii="Calibri Light" w:hAnsi="Calibri Light" w:cs="Calibri Light"/>
                <w:color w:val="000000"/>
                <w:sz w:val="26"/>
                <w:szCs w:val="26"/>
                <w:lang w:val="en-US"/>
              </w:rPr>
            </w:pPr>
          </w:p>
        </w:tc>
        <w:tc>
          <w:tcPr>
            <w:tcW w:w="1360" w:type="dxa"/>
            <w:tcBorders>
              <w:top w:val="nil"/>
              <w:left w:val="nil"/>
              <w:bottom w:val="single" w:sz="8" w:space="0" w:color="auto"/>
              <w:right w:val="single" w:sz="8" w:space="0" w:color="auto"/>
            </w:tcBorders>
            <w:noWrap/>
            <w:vAlign w:val="center"/>
            <w:hideMark/>
          </w:tcPr>
          <w:p w14:paraId="581A6294" w14:textId="77777777" w:rsidR="00F95196" w:rsidRPr="00F95196" w:rsidRDefault="00F95196" w:rsidP="009E3AD8">
            <w:pPr>
              <w:spacing w:line="276" w:lineRule="auto"/>
              <w:jc w:val="center"/>
              <w:rPr>
                <w:rFonts w:ascii="Calibri Light" w:hAnsi="Calibri Light" w:cs="Calibri Light"/>
                <w:color w:val="000000"/>
                <w:sz w:val="26"/>
                <w:szCs w:val="26"/>
                <w:lang w:val="en-US"/>
              </w:rPr>
            </w:pPr>
            <w:r w:rsidRPr="00F95196">
              <w:rPr>
                <w:rFonts w:ascii="Calibri Light" w:hAnsi="Calibri Light" w:cs="Calibri Light"/>
                <w:color w:val="000000"/>
                <w:sz w:val="26"/>
                <w:szCs w:val="26"/>
                <w:lang w:val="en-US"/>
              </w:rPr>
              <w:t>CB</w:t>
            </w:r>
          </w:p>
        </w:tc>
        <w:tc>
          <w:tcPr>
            <w:tcW w:w="1239" w:type="dxa"/>
            <w:tcBorders>
              <w:top w:val="nil"/>
              <w:left w:val="nil"/>
              <w:bottom w:val="single" w:sz="8" w:space="0" w:color="auto"/>
              <w:right w:val="single" w:sz="8" w:space="0" w:color="auto"/>
            </w:tcBorders>
            <w:vAlign w:val="center"/>
            <w:hideMark/>
          </w:tcPr>
          <w:p w14:paraId="0744A129" w14:textId="77777777" w:rsidR="00F95196" w:rsidRPr="00F95196" w:rsidRDefault="00F95196" w:rsidP="009E3AD8">
            <w:pPr>
              <w:spacing w:line="276" w:lineRule="auto"/>
              <w:jc w:val="center"/>
              <w:rPr>
                <w:rFonts w:ascii="Calibri Light" w:hAnsi="Calibri Light" w:cs="Calibri Light"/>
                <w:color w:val="000000"/>
                <w:sz w:val="26"/>
                <w:szCs w:val="26"/>
                <w:lang w:val="en-US"/>
              </w:rPr>
            </w:pPr>
            <w:r w:rsidRPr="00F95196">
              <w:rPr>
                <w:rFonts w:ascii="Calibri Light" w:hAnsi="Calibri Light" w:cs="Calibri Light"/>
                <w:color w:val="000000"/>
                <w:sz w:val="26"/>
                <w:szCs w:val="26"/>
                <w:lang w:val="en-US"/>
              </w:rPr>
              <w:t>317 694</w:t>
            </w:r>
          </w:p>
        </w:tc>
        <w:tc>
          <w:tcPr>
            <w:tcW w:w="1199" w:type="dxa"/>
            <w:tcBorders>
              <w:top w:val="nil"/>
              <w:left w:val="nil"/>
              <w:bottom w:val="single" w:sz="8" w:space="0" w:color="auto"/>
              <w:right w:val="single" w:sz="8" w:space="0" w:color="auto"/>
            </w:tcBorders>
            <w:vAlign w:val="center"/>
            <w:hideMark/>
          </w:tcPr>
          <w:p w14:paraId="6EE749C1" w14:textId="77777777" w:rsidR="00F95196" w:rsidRPr="00F95196" w:rsidRDefault="00F95196" w:rsidP="009E3AD8">
            <w:pPr>
              <w:spacing w:line="276" w:lineRule="auto"/>
              <w:jc w:val="center"/>
              <w:rPr>
                <w:rFonts w:ascii="Calibri Light" w:hAnsi="Calibri Light" w:cs="Calibri Light"/>
                <w:color w:val="000000"/>
                <w:sz w:val="26"/>
                <w:szCs w:val="26"/>
                <w:lang w:val="en-US"/>
              </w:rPr>
            </w:pPr>
            <w:r w:rsidRPr="00F95196">
              <w:rPr>
                <w:rFonts w:ascii="Calibri Light" w:hAnsi="Calibri Light" w:cs="Calibri Light"/>
                <w:color w:val="000000"/>
                <w:sz w:val="26"/>
                <w:szCs w:val="26"/>
                <w:lang w:val="en-US"/>
              </w:rPr>
              <w:t>63 539</w:t>
            </w:r>
          </w:p>
        </w:tc>
        <w:tc>
          <w:tcPr>
            <w:tcW w:w="1299" w:type="dxa"/>
            <w:tcBorders>
              <w:top w:val="nil"/>
              <w:left w:val="nil"/>
              <w:bottom w:val="single" w:sz="8" w:space="0" w:color="auto"/>
              <w:right w:val="single" w:sz="8" w:space="0" w:color="auto"/>
            </w:tcBorders>
            <w:vAlign w:val="center"/>
            <w:hideMark/>
          </w:tcPr>
          <w:p w14:paraId="3A05633B" w14:textId="77777777" w:rsidR="00F95196" w:rsidRPr="00F95196" w:rsidRDefault="00F95196" w:rsidP="009E3AD8">
            <w:pPr>
              <w:spacing w:line="276" w:lineRule="auto"/>
              <w:jc w:val="center"/>
              <w:rPr>
                <w:rFonts w:ascii="Calibri Light" w:hAnsi="Calibri Light" w:cs="Calibri Light"/>
                <w:color w:val="000000"/>
                <w:sz w:val="26"/>
                <w:szCs w:val="26"/>
                <w:lang w:val="en-US"/>
              </w:rPr>
            </w:pPr>
            <w:r w:rsidRPr="00F95196">
              <w:rPr>
                <w:rFonts w:ascii="Calibri Light" w:hAnsi="Calibri Light" w:cs="Calibri Light"/>
                <w:color w:val="000000"/>
                <w:sz w:val="26"/>
                <w:szCs w:val="26"/>
                <w:lang w:val="en-US"/>
              </w:rPr>
              <w:t>276 186</w:t>
            </w:r>
          </w:p>
        </w:tc>
        <w:tc>
          <w:tcPr>
            <w:tcW w:w="1092" w:type="dxa"/>
            <w:tcBorders>
              <w:top w:val="nil"/>
              <w:left w:val="nil"/>
              <w:bottom w:val="single" w:sz="8" w:space="0" w:color="auto"/>
              <w:right w:val="single" w:sz="8" w:space="0" w:color="auto"/>
            </w:tcBorders>
            <w:vAlign w:val="center"/>
            <w:hideMark/>
          </w:tcPr>
          <w:p w14:paraId="7BBC9A7C" w14:textId="77777777" w:rsidR="00F95196" w:rsidRPr="00F95196" w:rsidRDefault="00F95196" w:rsidP="009E3AD8">
            <w:pPr>
              <w:spacing w:line="276" w:lineRule="auto"/>
              <w:jc w:val="center"/>
              <w:rPr>
                <w:rFonts w:ascii="Calibri Light" w:hAnsi="Calibri Light" w:cs="Calibri Light"/>
                <w:color w:val="000000"/>
                <w:sz w:val="26"/>
                <w:szCs w:val="26"/>
                <w:lang w:val="en-US"/>
              </w:rPr>
            </w:pPr>
            <w:r w:rsidRPr="00F95196">
              <w:rPr>
                <w:rFonts w:ascii="Calibri Light" w:hAnsi="Calibri Light" w:cs="Calibri Light"/>
                <w:color w:val="000000"/>
                <w:sz w:val="26"/>
                <w:szCs w:val="26"/>
                <w:lang w:val="en-US"/>
              </w:rPr>
              <w:t>50 214</w:t>
            </w:r>
          </w:p>
        </w:tc>
        <w:tc>
          <w:tcPr>
            <w:tcW w:w="1246" w:type="dxa"/>
            <w:tcBorders>
              <w:top w:val="nil"/>
              <w:left w:val="nil"/>
              <w:bottom w:val="single" w:sz="8" w:space="0" w:color="auto"/>
              <w:right w:val="single" w:sz="8" w:space="0" w:color="auto"/>
            </w:tcBorders>
            <w:vAlign w:val="center"/>
            <w:hideMark/>
          </w:tcPr>
          <w:p w14:paraId="0D7F6EE7" w14:textId="77777777" w:rsidR="00F95196" w:rsidRPr="00F95196" w:rsidRDefault="00F95196" w:rsidP="009E3AD8">
            <w:pPr>
              <w:spacing w:line="276" w:lineRule="auto"/>
              <w:jc w:val="center"/>
              <w:rPr>
                <w:rFonts w:ascii="Calibri Light" w:hAnsi="Calibri Light" w:cs="Calibri Light"/>
                <w:color w:val="000000"/>
                <w:sz w:val="26"/>
                <w:szCs w:val="26"/>
                <w:lang w:val="en-US"/>
              </w:rPr>
            </w:pPr>
            <w:r w:rsidRPr="00F95196">
              <w:rPr>
                <w:rFonts w:ascii="Calibri Light" w:hAnsi="Calibri Light" w:cs="Calibri Light"/>
                <w:color w:val="000000"/>
                <w:sz w:val="26"/>
                <w:szCs w:val="26"/>
                <w:lang w:val="en-US"/>
              </w:rPr>
              <w:t>413 705</w:t>
            </w:r>
          </w:p>
        </w:tc>
        <w:tc>
          <w:tcPr>
            <w:tcW w:w="1022" w:type="dxa"/>
            <w:tcBorders>
              <w:top w:val="nil"/>
              <w:left w:val="nil"/>
              <w:bottom w:val="single" w:sz="8" w:space="0" w:color="auto"/>
              <w:right w:val="single" w:sz="8" w:space="0" w:color="auto"/>
            </w:tcBorders>
            <w:vAlign w:val="center"/>
            <w:hideMark/>
          </w:tcPr>
          <w:p w14:paraId="6CCE3E1A" w14:textId="77777777" w:rsidR="00F95196" w:rsidRPr="00F95196" w:rsidRDefault="00F95196" w:rsidP="009E3AD8">
            <w:pPr>
              <w:spacing w:line="276" w:lineRule="auto"/>
              <w:jc w:val="center"/>
              <w:rPr>
                <w:rFonts w:ascii="Calibri Light" w:hAnsi="Calibri Light" w:cs="Calibri Light"/>
                <w:color w:val="000000"/>
                <w:sz w:val="26"/>
                <w:szCs w:val="26"/>
                <w:lang w:val="en-US"/>
              </w:rPr>
            </w:pPr>
            <w:r w:rsidRPr="00F95196">
              <w:rPr>
                <w:rFonts w:ascii="Calibri Light" w:hAnsi="Calibri Light" w:cs="Calibri Light"/>
                <w:color w:val="000000"/>
                <w:sz w:val="26"/>
                <w:szCs w:val="26"/>
                <w:lang w:val="en-US"/>
              </w:rPr>
              <w:t>75 219</w:t>
            </w:r>
          </w:p>
        </w:tc>
      </w:tr>
    </w:tbl>
    <w:p w14:paraId="313ABD2F" w14:textId="77777777" w:rsidR="00F95196" w:rsidRPr="00F95196" w:rsidRDefault="00F95196" w:rsidP="009E3AD8">
      <w:pPr>
        <w:spacing w:line="276" w:lineRule="auto"/>
        <w:ind w:firstLine="720"/>
        <w:jc w:val="both"/>
        <w:rPr>
          <w:rFonts w:ascii="Calibri" w:hAnsi="Calibri" w:cs="Calibri"/>
          <w:sz w:val="26"/>
          <w:szCs w:val="26"/>
          <w:lang w:val="en-GB"/>
        </w:rPr>
      </w:pPr>
      <w:r w:rsidRPr="00F95196">
        <w:rPr>
          <w:rFonts w:ascii="Calibri" w:hAnsi="Calibri" w:cs="Calibri"/>
          <w:sz w:val="26"/>
          <w:szCs w:val="26"/>
        </w:rPr>
        <w:t>CA</w:t>
      </w:r>
      <w:r w:rsidRPr="00F95196">
        <w:rPr>
          <w:rFonts w:ascii="Calibri" w:hAnsi="Calibri" w:cs="Calibri"/>
          <w:sz w:val="26"/>
          <w:szCs w:val="26"/>
          <w:lang w:val="en-GB"/>
        </w:rPr>
        <w:t xml:space="preserve">: </w:t>
      </w:r>
      <w:proofErr w:type="spellStart"/>
      <w:r w:rsidRPr="00F95196">
        <w:rPr>
          <w:rFonts w:ascii="Calibri" w:hAnsi="Calibri" w:cs="Calibri"/>
          <w:sz w:val="26"/>
          <w:szCs w:val="26"/>
          <w:lang w:val="en-GB"/>
        </w:rPr>
        <w:t>credite</w:t>
      </w:r>
      <w:proofErr w:type="spellEnd"/>
      <w:r w:rsidRPr="00F95196">
        <w:rPr>
          <w:rFonts w:ascii="Calibri" w:hAnsi="Calibri" w:cs="Calibri"/>
          <w:sz w:val="26"/>
          <w:szCs w:val="26"/>
          <w:lang w:val="en-GB"/>
        </w:rPr>
        <w:t xml:space="preserve"> de </w:t>
      </w:r>
      <w:proofErr w:type="spellStart"/>
      <w:r w:rsidRPr="00F95196">
        <w:rPr>
          <w:rFonts w:ascii="Calibri" w:hAnsi="Calibri" w:cs="Calibri"/>
          <w:sz w:val="26"/>
          <w:szCs w:val="26"/>
          <w:lang w:val="en-GB"/>
        </w:rPr>
        <w:t>angajament</w:t>
      </w:r>
      <w:proofErr w:type="spellEnd"/>
    </w:p>
    <w:p w14:paraId="35787184" w14:textId="77777777" w:rsidR="00F95196" w:rsidRPr="00F95196" w:rsidRDefault="00F95196" w:rsidP="009E3AD8">
      <w:pPr>
        <w:spacing w:line="276" w:lineRule="auto"/>
        <w:ind w:firstLine="720"/>
        <w:jc w:val="both"/>
        <w:rPr>
          <w:rFonts w:ascii="Calibri" w:hAnsi="Calibri" w:cs="Calibri"/>
          <w:sz w:val="26"/>
          <w:szCs w:val="26"/>
          <w:lang w:val="en-GB"/>
        </w:rPr>
      </w:pPr>
      <w:r w:rsidRPr="00F95196">
        <w:rPr>
          <w:rFonts w:ascii="Calibri" w:hAnsi="Calibri" w:cs="Calibri"/>
          <w:sz w:val="26"/>
          <w:szCs w:val="26"/>
          <w:lang w:val="en-GB"/>
        </w:rPr>
        <w:t xml:space="preserve">CB: </w:t>
      </w:r>
      <w:proofErr w:type="spellStart"/>
      <w:r w:rsidRPr="00F95196">
        <w:rPr>
          <w:rFonts w:ascii="Calibri" w:hAnsi="Calibri" w:cs="Calibri"/>
          <w:sz w:val="26"/>
          <w:szCs w:val="26"/>
          <w:lang w:val="en-GB"/>
        </w:rPr>
        <w:t>credite</w:t>
      </w:r>
      <w:proofErr w:type="spellEnd"/>
      <w:r w:rsidRPr="00F95196">
        <w:rPr>
          <w:rFonts w:ascii="Calibri" w:hAnsi="Calibri" w:cs="Calibri"/>
          <w:sz w:val="26"/>
          <w:szCs w:val="26"/>
          <w:lang w:val="en-GB"/>
        </w:rPr>
        <w:t xml:space="preserve"> </w:t>
      </w:r>
      <w:proofErr w:type="spellStart"/>
      <w:r w:rsidRPr="00F95196">
        <w:rPr>
          <w:rFonts w:ascii="Calibri" w:hAnsi="Calibri" w:cs="Calibri"/>
          <w:sz w:val="26"/>
          <w:szCs w:val="26"/>
          <w:lang w:val="en-GB"/>
        </w:rPr>
        <w:t>bugetare</w:t>
      </w:r>
      <w:proofErr w:type="spellEnd"/>
    </w:p>
    <w:p w14:paraId="0398F70B" w14:textId="77777777" w:rsidR="00F95196" w:rsidRPr="00F95196" w:rsidRDefault="00F95196" w:rsidP="009E3AD8">
      <w:pPr>
        <w:spacing w:line="276" w:lineRule="auto"/>
        <w:ind w:firstLine="720"/>
        <w:jc w:val="both"/>
        <w:rPr>
          <w:rFonts w:ascii="Calibri" w:hAnsi="Calibri" w:cs="Calibri"/>
          <w:sz w:val="26"/>
          <w:szCs w:val="26"/>
        </w:rPr>
      </w:pPr>
      <w:r w:rsidRPr="00F95196">
        <w:rPr>
          <w:rFonts w:ascii="Calibri" w:hAnsi="Calibri" w:cs="Calibri"/>
          <w:sz w:val="26"/>
          <w:szCs w:val="26"/>
        </w:rPr>
        <w:t xml:space="preserve">Măsurile ce au fost adoptate au avut în vedere riscurile determinate de evoluţiile economice interne şi externe şi au impus adoptarea unei politici bugetare prudente. </w:t>
      </w:r>
    </w:p>
    <w:p w14:paraId="1E4A1453" w14:textId="77777777" w:rsidR="00F95196" w:rsidRPr="00F95196" w:rsidRDefault="00F95196" w:rsidP="009E3AD8">
      <w:pPr>
        <w:spacing w:line="276" w:lineRule="auto"/>
        <w:ind w:firstLine="720"/>
        <w:jc w:val="both"/>
        <w:rPr>
          <w:rFonts w:ascii="Calibri" w:hAnsi="Calibri" w:cs="Calibri"/>
          <w:sz w:val="26"/>
          <w:szCs w:val="26"/>
        </w:rPr>
      </w:pPr>
      <w:r w:rsidRPr="00F95196">
        <w:rPr>
          <w:rFonts w:ascii="Calibri" w:hAnsi="Calibri" w:cs="Calibri"/>
          <w:sz w:val="26"/>
          <w:szCs w:val="26"/>
        </w:rPr>
        <w:t>Datele pentru anul 2026  reprezintă necesarul de cheltuieli stabilit pentru buna funcționare a  Consiliul Superior al Magistraturii.</w:t>
      </w:r>
    </w:p>
    <w:p w14:paraId="1AFA77E4" w14:textId="77777777" w:rsidR="00F95196" w:rsidRPr="00F95196" w:rsidRDefault="00F95196" w:rsidP="009E3AD8">
      <w:pPr>
        <w:spacing w:line="276" w:lineRule="auto"/>
        <w:jc w:val="both"/>
        <w:rPr>
          <w:rFonts w:ascii="Calibri" w:hAnsi="Calibri" w:cs="Calibri"/>
          <w:sz w:val="26"/>
          <w:szCs w:val="26"/>
        </w:rPr>
      </w:pPr>
      <w:r w:rsidRPr="00F95196">
        <w:rPr>
          <w:rFonts w:ascii="Calibri" w:hAnsi="Calibri" w:cs="Calibri"/>
          <w:sz w:val="26"/>
          <w:szCs w:val="26"/>
        </w:rPr>
        <w:tab/>
        <w:t>Reprezentată grafic, evoluţia bugetului se prezintă astfel:</w:t>
      </w:r>
    </w:p>
    <w:p w14:paraId="616B3F36" w14:textId="4B8922C0" w:rsidR="00F95196" w:rsidRPr="00F95196" w:rsidRDefault="00F95196" w:rsidP="009E3AD8">
      <w:pPr>
        <w:spacing w:line="276" w:lineRule="auto"/>
        <w:jc w:val="center"/>
        <w:rPr>
          <w:rFonts w:ascii="Calibri" w:hAnsi="Calibri" w:cs="Calibri"/>
          <w:b/>
          <w:sz w:val="26"/>
          <w:szCs w:val="26"/>
          <w:lang w:val="en-GB" w:eastAsia="en-GB"/>
        </w:rPr>
      </w:pPr>
      <w:r w:rsidRPr="00F95196">
        <w:rPr>
          <w:noProof/>
        </w:rPr>
        <w:drawing>
          <wp:inline distT="0" distB="0" distL="0" distR="0" wp14:anchorId="2C3F223F" wp14:editId="0D119D63">
            <wp:extent cx="5381625" cy="3371850"/>
            <wp:effectExtent l="0" t="0" r="9525" b="0"/>
            <wp:docPr id="4391354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13544"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5381625" cy="3371850"/>
                    </a:xfrm>
                    <a:prstGeom prst="rect">
                      <a:avLst/>
                    </a:prstGeom>
                  </pic:spPr>
                </pic:pic>
              </a:graphicData>
            </a:graphic>
          </wp:inline>
        </w:drawing>
      </w:r>
    </w:p>
    <w:p w14:paraId="39B5D87C" w14:textId="77777777" w:rsidR="00F95196" w:rsidRPr="00F95196" w:rsidRDefault="00F95196" w:rsidP="009E3AD8">
      <w:pPr>
        <w:tabs>
          <w:tab w:val="left" w:pos="5433"/>
        </w:tabs>
        <w:spacing w:line="276" w:lineRule="auto"/>
        <w:ind w:firstLine="142"/>
        <w:jc w:val="both"/>
        <w:rPr>
          <w:rFonts w:ascii="Calibri" w:hAnsi="Calibri" w:cs="Calibri"/>
          <w:sz w:val="26"/>
          <w:szCs w:val="26"/>
        </w:rPr>
      </w:pPr>
      <w:r w:rsidRPr="00F95196">
        <w:rPr>
          <w:rFonts w:ascii="Calibri" w:hAnsi="Calibri" w:cs="Calibri"/>
          <w:sz w:val="26"/>
          <w:szCs w:val="26"/>
        </w:rPr>
        <w:t xml:space="preserve">           Bugetul Consiliului Superior al Magistraturii pe anul 2025 a fost aprobat prin Legea  bugetului de stat nr. 9/2025 şi este structurat astfel: Consiliul Superior al Magistraturii (Aparatul Propriu), Inspecția Judiciară, Institutul Naţional al Magistraturii şi Şcoala Naţională de Grefieri.</w:t>
      </w:r>
    </w:p>
    <w:p w14:paraId="4371FB3E" w14:textId="77777777" w:rsidR="00A70CF5" w:rsidRDefault="00A70CF5" w:rsidP="006F0E6A">
      <w:pPr>
        <w:spacing w:line="276" w:lineRule="auto"/>
        <w:rPr>
          <w:rFonts w:ascii="Calibri" w:eastAsia="SimSun" w:hAnsi="Calibri" w:cs="Calibri"/>
          <w:b/>
          <w:bCs/>
          <w:sz w:val="26"/>
          <w:szCs w:val="26"/>
          <w:lang w:eastAsia="zh-CN"/>
        </w:rPr>
      </w:pPr>
    </w:p>
    <w:p w14:paraId="7EEB4CC2" w14:textId="6412E1EC" w:rsidR="00F95196" w:rsidRPr="00F95196" w:rsidRDefault="00F95196" w:rsidP="009E3AD8">
      <w:pPr>
        <w:spacing w:line="276" w:lineRule="auto"/>
        <w:jc w:val="center"/>
        <w:rPr>
          <w:rFonts w:ascii="Calibri" w:hAnsi="Calibri" w:cs="Calibri"/>
          <w:sz w:val="26"/>
          <w:szCs w:val="26"/>
        </w:rPr>
      </w:pPr>
      <w:r w:rsidRPr="00F95196">
        <w:rPr>
          <w:rFonts w:ascii="Calibri" w:eastAsia="SimSun" w:hAnsi="Calibri" w:cs="Calibri"/>
          <w:b/>
          <w:bCs/>
          <w:sz w:val="26"/>
          <w:szCs w:val="26"/>
          <w:lang w:eastAsia="zh-CN"/>
        </w:rPr>
        <w:lastRenderedPageBreak/>
        <w:t>SITUAŢIA FINANŢĂRII CONSILIULUI SUPERIOR AL MAGISTRATURII</w:t>
      </w:r>
    </w:p>
    <w:p w14:paraId="23ECB905" w14:textId="53D6FB82" w:rsidR="00F95196" w:rsidRPr="00F95196" w:rsidRDefault="00F95196" w:rsidP="009E3AD8">
      <w:pPr>
        <w:spacing w:line="276" w:lineRule="auto"/>
        <w:jc w:val="center"/>
        <w:rPr>
          <w:rFonts w:ascii="Calibri" w:eastAsia="SimSun" w:hAnsi="Calibri" w:cs="Calibri"/>
          <w:b/>
          <w:bCs/>
          <w:sz w:val="26"/>
          <w:szCs w:val="26"/>
          <w:lang w:eastAsia="zh-CN"/>
        </w:rPr>
      </w:pPr>
      <w:r w:rsidRPr="00F95196">
        <w:rPr>
          <w:rFonts w:ascii="Calibri" w:eastAsia="SimSun" w:hAnsi="Calibri" w:cs="Calibri"/>
          <w:b/>
          <w:bCs/>
          <w:sz w:val="26"/>
          <w:szCs w:val="26"/>
          <w:lang w:eastAsia="zh-CN"/>
        </w:rPr>
        <w:t>PE ANII 2024, 2025 ŞI ÎN PERSPECTIVA ANULUI 2026</w:t>
      </w:r>
    </w:p>
    <w:p w14:paraId="4B82C91C" w14:textId="77777777" w:rsidR="00F95196" w:rsidRPr="00F95196" w:rsidRDefault="00F95196" w:rsidP="009E3AD8">
      <w:pPr>
        <w:spacing w:line="276" w:lineRule="auto"/>
        <w:jc w:val="center"/>
        <w:rPr>
          <w:rFonts w:ascii="Calibri" w:eastAsia="SimSun" w:hAnsi="Calibri" w:cs="Calibri"/>
          <w:b/>
          <w:bCs/>
          <w:sz w:val="26"/>
          <w:szCs w:val="26"/>
          <w:lang w:eastAsia="zh-CN"/>
        </w:rPr>
      </w:pPr>
      <w:r w:rsidRPr="00F95196">
        <w:rPr>
          <w:rFonts w:ascii="Calibri" w:eastAsia="SimSun" w:hAnsi="Calibri" w:cs="Calibri"/>
          <w:b/>
          <w:bCs/>
          <w:sz w:val="26"/>
          <w:szCs w:val="26"/>
          <w:lang w:eastAsia="zh-CN"/>
        </w:rPr>
        <w:tab/>
      </w:r>
      <w:r w:rsidRPr="00F95196">
        <w:rPr>
          <w:rFonts w:ascii="Calibri" w:eastAsia="SimSun" w:hAnsi="Calibri" w:cs="Calibri"/>
          <w:b/>
          <w:bCs/>
          <w:sz w:val="26"/>
          <w:szCs w:val="26"/>
          <w:lang w:eastAsia="zh-CN"/>
        </w:rPr>
        <w:tab/>
      </w:r>
      <w:r w:rsidRPr="00F95196">
        <w:rPr>
          <w:rFonts w:ascii="Calibri" w:eastAsia="SimSun" w:hAnsi="Calibri" w:cs="Calibri"/>
          <w:b/>
          <w:bCs/>
          <w:sz w:val="26"/>
          <w:szCs w:val="26"/>
          <w:lang w:eastAsia="zh-CN"/>
        </w:rPr>
        <w:tab/>
      </w:r>
      <w:r w:rsidRPr="00F95196">
        <w:rPr>
          <w:rFonts w:ascii="Calibri" w:eastAsia="SimSun" w:hAnsi="Calibri" w:cs="Calibri"/>
          <w:b/>
          <w:bCs/>
          <w:sz w:val="26"/>
          <w:szCs w:val="26"/>
          <w:lang w:eastAsia="zh-CN"/>
        </w:rPr>
        <w:tab/>
      </w:r>
      <w:r w:rsidRPr="00F95196">
        <w:rPr>
          <w:rFonts w:ascii="Calibri" w:eastAsia="SimSun" w:hAnsi="Calibri" w:cs="Calibri"/>
          <w:b/>
          <w:bCs/>
          <w:sz w:val="26"/>
          <w:szCs w:val="26"/>
          <w:lang w:eastAsia="zh-CN"/>
        </w:rPr>
        <w:tab/>
      </w:r>
      <w:r w:rsidRPr="00F95196">
        <w:rPr>
          <w:rFonts w:ascii="Calibri" w:eastAsia="SimSun" w:hAnsi="Calibri" w:cs="Calibri"/>
          <w:b/>
          <w:bCs/>
          <w:sz w:val="26"/>
          <w:szCs w:val="26"/>
          <w:lang w:eastAsia="zh-CN"/>
        </w:rPr>
        <w:tab/>
      </w:r>
      <w:r w:rsidRPr="00F95196">
        <w:rPr>
          <w:rFonts w:ascii="Calibri" w:eastAsia="SimSun" w:hAnsi="Calibri" w:cs="Calibri"/>
          <w:b/>
          <w:bCs/>
          <w:sz w:val="26"/>
          <w:szCs w:val="26"/>
          <w:lang w:eastAsia="zh-CN"/>
        </w:rPr>
        <w:tab/>
      </w:r>
      <w:r w:rsidRPr="00F95196">
        <w:rPr>
          <w:rFonts w:ascii="Calibri" w:eastAsia="SimSun" w:hAnsi="Calibri" w:cs="Calibri"/>
          <w:b/>
          <w:bCs/>
          <w:sz w:val="26"/>
          <w:szCs w:val="26"/>
          <w:lang w:eastAsia="zh-CN"/>
        </w:rPr>
        <w:tab/>
      </w:r>
      <w:r w:rsidRPr="00F95196">
        <w:rPr>
          <w:rFonts w:ascii="Calibri" w:eastAsia="SimSun" w:hAnsi="Calibri" w:cs="Calibri"/>
          <w:b/>
          <w:bCs/>
          <w:sz w:val="26"/>
          <w:szCs w:val="26"/>
          <w:lang w:eastAsia="zh-CN"/>
        </w:rPr>
        <w:tab/>
      </w:r>
      <w:r w:rsidRPr="00F95196">
        <w:rPr>
          <w:rFonts w:ascii="Calibri" w:eastAsia="SimSun" w:hAnsi="Calibri" w:cs="Calibri"/>
          <w:b/>
          <w:bCs/>
          <w:sz w:val="26"/>
          <w:szCs w:val="26"/>
          <w:lang w:eastAsia="zh-CN"/>
        </w:rPr>
        <w:tab/>
      </w:r>
      <w:r w:rsidRPr="00F95196">
        <w:rPr>
          <w:rFonts w:ascii="Calibri" w:eastAsia="SimSun" w:hAnsi="Calibri" w:cs="Calibri"/>
          <w:b/>
          <w:bCs/>
          <w:sz w:val="26"/>
          <w:szCs w:val="26"/>
          <w:lang w:eastAsia="zh-CN"/>
        </w:rPr>
        <w:tab/>
      </w:r>
      <w:r w:rsidRPr="00F95196">
        <w:rPr>
          <w:rFonts w:ascii="Calibri" w:eastAsia="SimSun" w:hAnsi="Calibri" w:cs="Calibri"/>
          <w:b/>
          <w:bCs/>
          <w:sz w:val="26"/>
          <w:szCs w:val="26"/>
          <w:lang w:eastAsia="zh-CN"/>
        </w:rPr>
        <w:tab/>
        <w:t xml:space="preserve">   mii lei/euro</w:t>
      </w:r>
    </w:p>
    <w:tbl>
      <w:tblPr>
        <w:tblW w:w="10460" w:type="dxa"/>
        <w:tblLook w:val="04A0" w:firstRow="1" w:lastRow="0" w:firstColumn="1" w:lastColumn="0" w:noHBand="0" w:noVBand="1"/>
      </w:tblPr>
      <w:tblGrid>
        <w:gridCol w:w="1207"/>
        <w:gridCol w:w="676"/>
        <w:gridCol w:w="987"/>
        <w:gridCol w:w="882"/>
        <w:gridCol w:w="1123"/>
        <w:gridCol w:w="1009"/>
        <w:gridCol w:w="870"/>
        <w:gridCol w:w="719"/>
        <w:gridCol w:w="810"/>
        <w:gridCol w:w="719"/>
        <w:gridCol w:w="719"/>
        <w:gridCol w:w="739"/>
      </w:tblGrid>
      <w:tr w:rsidR="00F16EB8" w:rsidRPr="00B63409" w14:paraId="447EBB2C" w14:textId="77777777" w:rsidTr="00BE6FF5">
        <w:trPr>
          <w:trHeight w:val="215"/>
        </w:trPr>
        <w:tc>
          <w:tcPr>
            <w:tcW w:w="1207" w:type="dxa"/>
            <w:tcBorders>
              <w:top w:val="single" w:sz="4" w:space="0" w:color="auto"/>
              <w:left w:val="single" w:sz="4" w:space="0" w:color="auto"/>
              <w:bottom w:val="single" w:sz="4" w:space="0" w:color="auto"/>
              <w:right w:val="single" w:sz="4" w:space="0" w:color="auto"/>
            </w:tcBorders>
            <w:shd w:val="clear" w:color="000000" w:fill="DBDBDB"/>
            <w:vAlign w:val="center"/>
            <w:hideMark/>
          </w:tcPr>
          <w:p w14:paraId="3B774D62" w14:textId="77777777" w:rsidR="00F16EB8" w:rsidRPr="00B63409" w:rsidRDefault="00F16EB8" w:rsidP="00BE6FF5">
            <w:pPr>
              <w:spacing w:line="276" w:lineRule="auto"/>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ANUL 2024</w:t>
            </w:r>
          </w:p>
        </w:tc>
        <w:tc>
          <w:tcPr>
            <w:tcW w:w="676" w:type="dxa"/>
            <w:tcBorders>
              <w:top w:val="single" w:sz="4" w:space="0" w:color="auto"/>
              <w:left w:val="nil"/>
              <w:bottom w:val="single" w:sz="4" w:space="0" w:color="auto"/>
              <w:right w:val="single" w:sz="4" w:space="0" w:color="auto"/>
            </w:tcBorders>
            <w:shd w:val="clear" w:color="000000" w:fill="D9D9D9"/>
            <w:vAlign w:val="center"/>
            <w:hideMark/>
          </w:tcPr>
          <w:p w14:paraId="6AE06DFC" w14:textId="77777777" w:rsidR="00F16EB8" w:rsidRPr="00B63409" w:rsidRDefault="00F16EB8" w:rsidP="00BE6FF5">
            <w:pPr>
              <w:spacing w:line="276" w:lineRule="auto"/>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 </w:t>
            </w:r>
          </w:p>
        </w:tc>
        <w:tc>
          <w:tcPr>
            <w:tcW w:w="1869"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3EE85508" w14:textId="77777777" w:rsidR="00F16EB8" w:rsidRPr="00B63409" w:rsidRDefault="00F16EB8" w:rsidP="00BE6FF5">
            <w:pPr>
              <w:spacing w:line="276" w:lineRule="auto"/>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TOTAL</w:t>
            </w:r>
          </w:p>
        </w:tc>
        <w:tc>
          <w:tcPr>
            <w:tcW w:w="2132"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7212F0BD" w14:textId="77777777" w:rsidR="00F16EB8" w:rsidRPr="00B63409" w:rsidRDefault="00F16EB8" w:rsidP="00BE6FF5">
            <w:pPr>
              <w:spacing w:line="276" w:lineRule="auto"/>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CSM APARAT PROPRIU</w:t>
            </w:r>
          </w:p>
        </w:tc>
        <w:tc>
          <w:tcPr>
            <w:tcW w:w="1589"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5BAA84E2" w14:textId="77777777" w:rsidR="00F16EB8" w:rsidRPr="00B63409" w:rsidRDefault="00F16EB8" w:rsidP="00BE6FF5">
            <w:pPr>
              <w:spacing w:line="276" w:lineRule="auto"/>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INSPECTIA JUDICIARA</w:t>
            </w:r>
          </w:p>
        </w:tc>
        <w:tc>
          <w:tcPr>
            <w:tcW w:w="1529"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37B8C69E" w14:textId="77777777" w:rsidR="00F16EB8" w:rsidRPr="00B63409" w:rsidRDefault="00F16EB8" w:rsidP="00BE6FF5">
            <w:pPr>
              <w:spacing w:line="276" w:lineRule="auto"/>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INM</w:t>
            </w:r>
          </w:p>
        </w:tc>
        <w:tc>
          <w:tcPr>
            <w:tcW w:w="1458"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46A8602F" w14:textId="77777777" w:rsidR="00F16EB8" w:rsidRPr="00B63409" w:rsidRDefault="00F16EB8" w:rsidP="00BE6FF5">
            <w:pPr>
              <w:spacing w:line="276" w:lineRule="auto"/>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SNG</w:t>
            </w:r>
          </w:p>
        </w:tc>
      </w:tr>
      <w:tr w:rsidR="00F16EB8" w:rsidRPr="00B63409" w14:paraId="00B90953" w14:textId="77777777" w:rsidTr="00BE6FF5">
        <w:trPr>
          <w:trHeight w:val="300"/>
        </w:trPr>
        <w:tc>
          <w:tcPr>
            <w:tcW w:w="1207" w:type="dxa"/>
            <w:tcBorders>
              <w:top w:val="nil"/>
              <w:left w:val="single" w:sz="4" w:space="0" w:color="auto"/>
              <w:bottom w:val="single" w:sz="4" w:space="0" w:color="auto"/>
              <w:right w:val="single" w:sz="4" w:space="0" w:color="auto"/>
            </w:tcBorders>
            <w:shd w:val="clear" w:color="000000" w:fill="D9D9D9"/>
            <w:vAlign w:val="center"/>
            <w:hideMark/>
          </w:tcPr>
          <w:p w14:paraId="4CDF677E" w14:textId="77777777" w:rsidR="00F16EB8" w:rsidRPr="00B63409" w:rsidRDefault="00F16EB8" w:rsidP="00BE6FF5">
            <w:pPr>
              <w:spacing w:line="276" w:lineRule="auto"/>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BUGET  CSM</w:t>
            </w:r>
          </w:p>
        </w:tc>
        <w:tc>
          <w:tcPr>
            <w:tcW w:w="676" w:type="dxa"/>
            <w:tcBorders>
              <w:top w:val="nil"/>
              <w:left w:val="nil"/>
              <w:bottom w:val="single" w:sz="4" w:space="0" w:color="auto"/>
              <w:right w:val="single" w:sz="4" w:space="0" w:color="auto"/>
            </w:tcBorders>
            <w:shd w:val="clear" w:color="000000" w:fill="D9D9D9"/>
            <w:vAlign w:val="bottom"/>
            <w:hideMark/>
          </w:tcPr>
          <w:p w14:paraId="319224D1" w14:textId="77777777" w:rsidR="00F16EB8" w:rsidRPr="00B63409" w:rsidRDefault="00F16EB8" w:rsidP="00BE6FF5">
            <w:pPr>
              <w:spacing w:line="276" w:lineRule="auto"/>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 </w:t>
            </w:r>
          </w:p>
        </w:tc>
        <w:tc>
          <w:tcPr>
            <w:tcW w:w="987" w:type="dxa"/>
            <w:tcBorders>
              <w:top w:val="nil"/>
              <w:left w:val="nil"/>
              <w:bottom w:val="single" w:sz="4" w:space="0" w:color="auto"/>
              <w:right w:val="single" w:sz="4" w:space="0" w:color="auto"/>
            </w:tcBorders>
            <w:shd w:val="clear" w:color="000000" w:fill="D9D9D9"/>
            <w:noWrap/>
            <w:vAlign w:val="bottom"/>
            <w:hideMark/>
          </w:tcPr>
          <w:p w14:paraId="4E9B29CF" w14:textId="77777777" w:rsidR="00F16EB8" w:rsidRPr="00B63409" w:rsidRDefault="00F16EB8" w:rsidP="00BE6FF5">
            <w:pPr>
              <w:spacing w:line="276" w:lineRule="auto"/>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LEI</w:t>
            </w:r>
          </w:p>
        </w:tc>
        <w:tc>
          <w:tcPr>
            <w:tcW w:w="882" w:type="dxa"/>
            <w:tcBorders>
              <w:top w:val="nil"/>
              <w:left w:val="nil"/>
              <w:bottom w:val="single" w:sz="4" w:space="0" w:color="auto"/>
              <w:right w:val="single" w:sz="4" w:space="0" w:color="auto"/>
            </w:tcBorders>
            <w:shd w:val="clear" w:color="000000" w:fill="D9D9D9"/>
            <w:noWrap/>
            <w:vAlign w:val="bottom"/>
            <w:hideMark/>
          </w:tcPr>
          <w:p w14:paraId="319FD9C5" w14:textId="77777777" w:rsidR="00F16EB8" w:rsidRPr="00B63409" w:rsidRDefault="00F16EB8" w:rsidP="00BE6FF5">
            <w:pPr>
              <w:spacing w:line="276" w:lineRule="auto"/>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EURO</w:t>
            </w:r>
          </w:p>
        </w:tc>
        <w:tc>
          <w:tcPr>
            <w:tcW w:w="1123" w:type="dxa"/>
            <w:tcBorders>
              <w:top w:val="nil"/>
              <w:left w:val="nil"/>
              <w:bottom w:val="single" w:sz="4" w:space="0" w:color="auto"/>
              <w:right w:val="single" w:sz="4" w:space="0" w:color="auto"/>
            </w:tcBorders>
            <w:shd w:val="clear" w:color="000000" w:fill="D9D9D9"/>
            <w:noWrap/>
            <w:vAlign w:val="bottom"/>
            <w:hideMark/>
          </w:tcPr>
          <w:p w14:paraId="5C721FCC" w14:textId="77777777" w:rsidR="00F16EB8" w:rsidRPr="00B63409" w:rsidRDefault="00F16EB8" w:rsidP="00BE6FF5">
            <w:pPr>
              <w:spacing w:line="276" w:lineRule="auto"/>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LEI</w:t>
            </w:r>
          </w:p>
        </w:tc>
        <w:tc>
          <w:tcPr>
            <w:tcW w:w="1009" w:type="dxa"/>
            <w:tcBorders>
              <w:top w:val="nil"/>
              <w:left w:val="nil"/>
              <w:bottom w:val="single" w:sz="4" w:space="0" w:color="auto"/>
              <w:right w:val="single" w:sz="4" w:space="0" w:color="auto"/>
            </w:tcBorders>
            <w:shd w:val="clear" w:color="000000" w:fill="D9D9D9"/>
            <w:noWrap/>
            <w:vAlign w:val="bottom"/>
            <w:hideMark/>
          </w:tcPr>
          <w:p w14:paraId="213ACF05" w14:textId="77777777" w:rsidR="00F16EB8" w:rsidRPr="00B63409" w:rsidRDefault="00F16EB8" w:rsidP="00BE6FF5">
            <w:pPr>
              <w:spacing w:line="276" w:lineRule="auto"/>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EURO</w:t>
            </w:r>
          </w:p>
        </w:tc>
        <w:tc>
          <w:tcPr>
            <w:tcW w:w="870" w:type="dxa"/>
            <w:tcBorders>
              <w:top w:val="nil"/>
              <w:left w:val="nil"/>
              <w:bottom w:val="single" w:sz="4" w:space="0" w:color="auto"/>
              <w:right w:val="single" w:sz="4" w:space="0" w:color="auto"/>
            </w:tcBorders>
            <w:shd w:val="clear" w:color="000000" w:fill="D9D9D9"/>
            <w:noWrap/>
            <w:vAlign w:val="bottom"/>
            <w:hideMark/>
          </w:tcPr>
          <w:p w14:paraId="6824BA98" w14:textId="77777777" w:rsidR="00F16EB8" w:rsidRPr="00B63409" w:rsidRDefault="00F16EB8" w:rsidP="00BE6FF5">
            <w:pPr>
              <w:spacing w:line="276" w:lineRule="auto"/>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 </w:t>
            </w:r>
          </w:p>
        </w:tc>
        <w:tc>
          <w:tcPr>
            <w:tcW w:w="719" w:type="dxa"/>
            <w:tcBorders>
              <w:top w:val="nil"/>
              <w:left w:val="nil"/>
              <w:bottom w:val="single" w:sz="4" w:space="0" w:color="auto"/>
              <w:right w:val="single" w:sz="4" w:space="0" w:color="auto"/>
            </w:tcBorders>
            <w:shd w:val="clear" w:color="000000" w:fill="D9D9D9"/>
            <w:noWrap/>
            <w:vAlign w:val="bottom"/>
            <w:hideMark/>
          </w:tcPr>
          <w:p w14:paraId="641759DE" w14:textId="77777777" w:rsidR="00F16EB8" w:rsidRPr="00B63409" w:rsidRDefault="00F16EB8" w:rsidP="00BE6FF5">
            <w:pPr>
              <w:spacing w:line="276" w:lineRule="auto"/>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 </w:t>
            </w:r>
          </w:p>
        </w:tc>
        <w:tc>
          <w:tcPr>
            <w:tcW w:w="810" w:type="dxa"/>
            <w:tcBorders>
              <w:top w:val="nil"/>
              <w:left w:val="nil"/>
              <w:bottom w:val="single" w:sz="4" w:space="0" w:color="auto"/>
              <w:right w:val="single" w:sz="4" w:space="0" w:color="auto"/>
            </w:tcBorders>
            <w:shd w:val="clear" w:color="000000" w:fill="D9D9D9"/>
            <w:noWrap/>
            <w:vAlign w:val="bottom"/>
            <w:hideMark/>
          </w:tcPr>
          <w:p w14:paraId="6EDF9521" w14:textId="77777777" w:rsidR="00F16EB8" w:rsidRPr="00B63409" w:rsidRDefault="00F16EB8" w:rsidP="00BE6FF5">
            <w:pPr>
              <w:spacing w:line="276" w:lineRule="auto"/>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LEI</w:t>
            </w:r>
          </w:p>
        </w:tc>
        <w:tc>
          <w:tcPr>
            <w:tcW w:w="719" w:type="dxa"/>
            <w:tcBorders>
              <w:top w:val="nil"/>
              <w:left w:val="nil"/>
              <w:bottom w:val="single" w:sz="4" w:space="0" w:color="auto"/>
              <w:right w:val="single" w:sz="4" w:space="0" w:color="auto"/>
            </w:tcBorders>
            <w:shd w:val="clear" w:color="000000" w:fill="D9D9D9"/>
            <w:noWrap/>
            <w:vAlign w:val="bottom"/>
            <w:hideMark/>
          </w:tcPr>
          <w:p w14:paraId="1268FA05" w14:textId="77777777" w:rsidR="00F16EB8" w:rsidRPr="00B63409" w:rsidRDefault="00F16EB8" w:rsidP="00BE6FF5">
            <w:pPr>
              <w:spacing w:line="276" w:lineRule="auto"/>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EURO</w:t>
            </w:r>
          </w:p>
        </w:tc>
        <w:tc>
          <w:tcPr>
            <w:tcW w:w="719" w:type="dxa"/>
            <w:tcBorders>
              <w:top w:val="nil"/>
              <w:left w:val="nil"/>
              <w:bottom w:val="single" w:sz="4" w:space="0" w:color="auto"/>
              <w:right w:val="single" w:sz="4" w:space="0" w:color="auto"/>
            </w:tcBorders>
            <w:shd w:val="clear" w:color="000000" w:fill="D9D9D9"/>
            <w:noWrap/>
            <w:vAlign w:val="bottom"/>
            <w:hideMark/>
          </w:tcPr>
          <w:p w14:paraId="604C3C00" w14:textId="77777777" w:rsidR="00F16EB8" w:rsidRPr="00B63409" w:rsidRDefault="00F16EB8" w:rsidP="00BE6FF5">
            <w:pPr>
              <w:spacing w:line="276" w:lineRule="auto"/>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LEI</w:t>
            </w:r>
          </w:p>
        </w:tc>
        <w:tc>
          <w:tcPr>
            <w:tcW w:w="739" w:type="dxa"/>
            <w:tcBorders>
              <w:top w:val="nil"/>
              <w:left w:val="nil"/>
              <w:bottom w:val="single" w:sz="4" w:space="0" w:color="auto"/>
              <w:right w:val="single" w:sz="4" w:space="0" w:color="auto"/>
            </w:tcBorders>
            <w:shd w:val="clear" w:color="000000" w:fill="D9D9D9"/>
            <w:noWrap/>
            <w:vAlign w:val="bottom"/>
            <w:hideMark/>
          </w:tcPr>
          <w:p w14:paraId="67A6AFF4" w14:textId="77777777" w:rsidR="00F16EB8" w:rsidRPr="00B63409" w:rsidRDefault="00F16EB8" w:rsidP="00BE6FF5">
            <w:pPr>
              <w:spacing w:line="276" w:lineRule="auto"/>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EURO</w:t>
            </w:r>
          </w:p>
        </w:tc>
      </w:tr>
      <w:tr w:rsidR="00F16EB8" w:rsidRPr="00B63409" w14:paraId="62F06513" w14:textId="77777777" w:rsidTr="00BE6FF5">
        <w:trPr>
          <w:trHeight w:val="300"/>
        </w:trPr>
        <w:tc>
          <w:tcPr>
            <w:tcW w:w="1207" w:type="dxa"/>
            <w:vMerge w:val="restart"/>
            <w:tcBorders>
              <w:top w:val="nil"/>
              <w:left w:val="single" w:sz="4" w:space="0" w:color="auto"/>
              <w:bottom w:val="single" w:sz="4" w:space="0" w:color="000000"/>
              <w:right w:val="single" w:sz="4" w:space="0" w:color="auto"/>
            </w:tcBorders>
            <w:vAlign w:val="center"/>
            <w:hideMark/>
          </w:tcPr>
          <w:p w14:paraId="55A754EC" w14:textId="77777777" w:rsidR="00F16EB8" w:rsidRPr="00B63409" w:rsidRDefault="00F16EB8" w:rsidP="00BE6FF5">
            <w:pPr>
              <w:spacing w:line="276" w:lineRule="auto"/>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TOTAL  din care:</w:t>
            </w:r>
          </w:p>
        </w:tc>
        <w:tc>
          <w:tcPr>
            <w:tcW w:w="676" w:type="dxa"/>
            <w:tcBorders>
              <w:top w:val="nil"/>
              <w:left w:val="nil"/>
              <w:bottom w:val="single" w:sz="4" w:space="0" w:color="auto"/>
              <w:right w:val="single" w:sz="4" w:space="0" w:color="auto"/>
            </w:tcBorders>
            <w:vAlign w:val="center"/>
            <w:hideMark/>
          </w:tcPr>
          <w:p w14:paraId="0F71BC2D" w14:textId="77777777" w:rsidR="00F16EB8" w:rsidRPr="00B63409" w:rsidRDefault="00F16EB8" w:rsidP="00BE6FF5">
            <w:pPr>
              <w:spacing w:line="276" w:lineRule="auto"/>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CA</w:t>
            </w:r>
          </w:p>
        </w:tc>
        <w:tc>
          <w:tcPr>
            <w:tcW w:w="987" w:type="dxa"/>
            <w:tcBorders>
              <w:top w:val="nil"/>
              <w:left w:val="nil"/>
              <w:bottom w:val="single" w:sz="4" w:space="0" w:color="auto"/>
              <w:right w:val="single" w:sz="4" w:space="0" w:color="auto"/>
            </w:tcBorders>
            <w:noWrap/>
            <w:vAlign w:val="bottom"/>
            <w:hideMark/>
          </w:tcPr>
          <w:p w14:paraId="194CD282" w14:textId="77777777" w:rsidR="00F16EB8" w:rsidRPr="00B63409" w:rsidRDefault="00F16EB8" w:rsidP="00BE6FF5">
            <w:pPr>
              <w:spacing w:line="276" w:lineRule="auto"/>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319,502</w:t>
            </w:r>
          </w:p>
        </w:tc>
        <w:tc>
          <w:tcPr>
            <w:tcW w:w="882" w:type="dxa"/>
            <w:tcBorders>
              <w:top w:val="nil"/>
              <w:left w:val="nil"/>
              <w:bottom w:val="single" w:sz="4" w:space="0" w:color="auto"/>
              <w:right w:val="single" w:sz="4" w:space="0" w:color="auto"/>
            </w:tcBorders>
            <w:noWrap/>
            <w:vAlign w:val="bottom"/>
            <w:hideMark/>
          </w:tcPr>
          <w:p w14:paraId="333475A2" w14:textId="77777777" w:rsidR="00F16EB8" w:rsidRPr="00B63409" w:rsidRDefault="00F16EB8" w:rsidP="00BE6FF5">
            <w:pPr>
              <w:spacing w:line="276" w:lineRule="auto"/>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53,232</w:t>
            </w:r>
          </w:p>
        </w:tc>
        <w:tc>
          <w:tcPr>
            <w:tcW w:w="1123" w:type="dxa"/>
            <w:tcBorders>
              <w:top w:val="nil"/>
              <w:left w:val="nil"/>
              <w:bottom w:val="single" w:sz="4" w:space="0" w:color="auto"/>
              <w:right w:val="single" w:sz="4" w:space="0" w:color="auto"/>
            </w:tcBorders>
            <w:noWrap/>
            <w:vAlign w:val="bottom"/>
            <w:hideMark/>
          </w:tcPr>
          <w:p w14:paraId="7E91885D" w14:textId="77777777" w:rsidR="00F16EB8" w:rsidRPr="00B63409" w:rsidRDefault="00F16EB8" w:rsidP="00BE6FF5">
            <w:pPr>
              <w:spacing w:line="276" w:lineRule="auto"/>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143,169</w:t>
            </w:r>
          </w:p>
        </w:tc>
        <w:tc>
          <w:tcPr>
            <w:tcW w:w="1009" w:type="dxa"/>
            <w:tcBorders>
              <w:top w:val="nil"/>
              <w:left w:val="nil"/>
              <w:bottom w:val="single" w:sz="4" w:space="0" w:color="auto"/>
              <w:right w:val="single" w:sz="4" w:space="0" w:color="auto"/>
            </w:tcBorders>
            <w:noWrap/>
            <w:vAlign w:val="bottom"/>
            <w:hideMark/>
          </w:tcPr>
          <w:p w14:paraId="302940B0" w14:textId="77777777" w:rsidR="00F16EB8" w:rsidRPr="00B63409" w:rsidRDefault="00F16EB8" w:rsidP="00BE6FF5">
            <w:pPr>
              <w:spacing w:line="276" w:lineRule="auto"/>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28,633</w:t>
            </w:r>
          </w:p>
        </w:tc>
        <w:tc>
          <w:tcPr>
            <w:tcW w:w="870" w:type="dxa"/>
            <w:tcBorders>
              <w:top w:val="nil"/>
              <w:left w:val="nil"/>
              <w:bottom w:val="single" w:sz="4" w:space="0" w:color="auto"/>
              <w:right w:val="single" w:sz="4" w:space="0" w:color="auto"/>
            </w:tcBorders>
            <w:noWrap/>
            <w:vAlign w:val="bottom"/>
            <w:hideMark/>
          </w:tcPr>
          <w:p w14:paraId="39A35ECE" w14:textId="77777777" w:rsidR="00F16EB8" w:rsidRPr="00B63409" w:rsidRDefault="00F16EB8" w:rsidP="00BE6FF5">
            <w:pPr>
              <w:spacing w:line="276" w:lineRule="auto"/>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52,679</w:t>
            </w:r>
          </w:p>
        </w:tc>
        <w:tc>
          <w:tcPr>
            <w:tcW w:w="719" w:type="dxa"/>
            <w:tcBorders>
              <w:top w:val="nil"/>
              <w:left w:val="nil"/>
              <w:bottom w:val="single" w:sz="4" w:space="0" w:color="auto"/>
              <w:right w:val="single" w:sz="4" w:space="0" w:color="auto"/>
            </w:tcBorders>
            <w:noWrap/>
            <w:vAlign w:val="bottom"/>
            <w:hideMark/>
          </w:tcPr>
          <w:p w14:paraId="4B78C786" w14:textId="77777777" w:rsidR="00F16EB8" w:rsidRPr="00B63409" w:rsidRDefault="00F16EB8" w:rsidP="00BE6FF5">
            <w:pPr>
              <w:spacing w:line="276" w:lineRule="auto"/>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10,536</w:t>
            </w:r>
          </w:p>
        </w:tc>
        <w:tc>
          <w:tcPr>
            <w:tcW w:w="810" w:type="dxa"/>
            <w:tcBorders>
              <w:top w:val="nil"/>
              <w:left w:val="nil"/>
              <w:bottom w:val="single" w:sz="4" w:space="0" w:color="auto"/>
              <w:right w:val="single" w:sz="4" w:space="0" w:color="auto"/>
            </w:tcBorders>
            <w:noWrap/>
            <w:vAlign w:val="bottom"/>
            <w:hideMark/>
          </w:tcPr>
          <w:p w14:paraId="738B2C7A" w14:textId="77777777" w:rsidR="00F16EB8" w:rsidRPr="00B63409" w:rsidRDefault="00F16EB8" w:rsidP="00BE6FF5">
            <w:pPr>
              <w:spacing w:line="276" w:lineRule="auto"/>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102,809</w:t>
            </w:r>
          </w:p>
        </w:tc>
        <w:tc>
          <w:tcPr>
            <w:tcW w:w="719" w:type="dxa"/>
            <w:tcBorders>
              <w:top w:val="nil"/>
              <w:left w:val="nil"/>
              <w:bottom w:val="single" w:sz="4" w:space="0" w:color="auto"/>
              <w:right w:val="single" w:sz="4" w:space="0" w:color="auto"/>
            </w:tcBorders>
            <w:noWrap/>
            <w:vAlign w:val="bottom"/>
            <w:hideMark/>
          </w:tcPr>
          <w:p w14:paraId="3D364B7E" w14:textId="77777777" w:rsidR="00F16EB8" w:rsidRPr="00B63409" w:rsidRDefault="00F16EB8" w:rsidP="00BE6FF5">
            <w:pPr>
              <w:spacing w:line="276" w:lineRule="auto"/>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20,561</w:t>
            </w:r>
          </w:p>
        </w:tc>
        <w:tc>
          <w:tcPr>
            <w:tcW w:w="719" w:type="dxa"/>
            <w:tcBorders>
              <w:top w:val="nil"/>
              <w:left w:val="nil"/>
              <w:bottom w:val="single" w:sz="4" w:space="0" w:color="auto"/>
              <w:right w:val="single" w:sz="4" w:space="0" w:color="auto"/>
            </w:tcBorders>
            <w:noWrap/>
            <w:vAlign w:val="bottom"/>
            <w:hideMark/>
          </w:tcPr>
          <w:p w14:paraId="66FAEE52" w14:textId="77777777" w:rsidR="00F16EB8" w:rsidRPr="00B63409" w:rsidRDefault="00F16EB8" w:rsidP="00BE6FF5">
            <w:pPr>
              <w:spacing w:line="276" w:lineRule="auto"/>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20,845</w:t>
            </w:r>
          </w:p>
        </w:tc>
        <w:tc>
          <w:tcPr>
            <w:tcW w:w="739" w:type="dxa"/>
            <w:tcBorders>
              <w:top w:val="nil"/>
              <w:left w:val="nil"/>
              <w:bottom w:val="single" w:sz="4" w:space="0" w:color="auto"/>
              <w:right w:val="single" w:sz="4" w:space="0" w:color="auto"/>
            </w:tcBorders>
            <w:noWrap/>
            <w:vAlign w:val="bottom"/>
            <w:hideMark/>
          </w:tcPr>
          <w:p w14:paraId="4395BFEB" w14:textId="77777777" w:rsidR="00F16EB8" w:rsidRPr="00B63409" w:rsidRDefault="00F16EB8" w:rsidP="00BE6FF5">
            <w:pPr>
              <w:spacing w:line="276" w:lineRule="auto"/>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4,170</w:t>
            </w:r>
          </w:p>
        </w:tc>
      </w:tr>
      <w:tr w:rsidR="00F16EB8" w:rsidRPr="00B63409" w14:paraId="5CA84143" w14:textId="77777777" w:rsidTr="00BE6FF5">
        <w:trPr>
          <w:trHeight w:val="300"/>
        </w:trPr>
        <w:tc>
          <w:tcPr>
            <w:tcW w:w="1207" w:type="dxa"/>
            <w:vMerge/>
            <w:tcBorders>
              <w:top w:val="nil"/>
              <w:left w:val="single" w:sz="4" w:space="0" w:color="auto"/>
              <w:bottom w:val="single" w:sz="4" w:space="0" w:color="000000"/>
              <w:right w:val="single" w:sz="4" w:space="0" w:color="auto"/>
            </w:tcBorders>
            <w:vAlign w:val="center"/>
            <w:hideMark/>
          </w:tcPr>
          <w:p w14:paraId="3B62676A" w14:textId="77777777" w:rsidR="00F16EB8" w:rsidRPr="00B63409" w:rsidRDefault="00F16EB8" w:rsidP="00BE6FF5">
            <w:pPr>
              <w:spacing w:line="276" w:lineRule="auto"/>
              <w:rPr>
                <w:rFonts w:asciiTheme="minorHAnsi" w:hAnsiTheme="minorHAnsi" w:cstheme="minorHAnsi"/>
                <w:b/>
                <w:bCs/>
                <w:color w:val="000000"/>
                <w:sz w:val="18"/>
                <w:szCs w:val="18"/>
                <w:lang w:val="en-GB" w:eastAsia="en-GB"/>
              </w:rPr>
            </w:pPr>
          </w:p>
        </w:tc>
        <w:tc>
          <w:tcPr>
            <w:tcW w:w="676" w:type="dxa"/>
            <w:tcBorders>
              <w:top w:val="nil"/>
              <w:left w:val="nil"/>
              <w:bottom w:val="single" w:sz="4" w:space="0" w:color="auto"/>
              <w:right w:val="single" w:sz="4" w:space="0" w:color="auto"/>
            </w:tcBorders>
            <w:vAlign w:val="center"/>
            <w:hideMark/>
          </w:tcPr>
          <w:p w14:paraId="49261B5C" w14:textId="77777777" w:rsidR="00F16EB8" w:rsidRPr="00B63409" w:rsidRDefault="00F16EB8" w:rsidP="00BE6FF5">
            <w:pPr>
              <w:spacing w:line="276" w:lineRule="auto"/>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CB</w:t>
            </w:r>
          </w:p>
        </w:tc>
        <w:tc>
          <w:tcPr>
            <w:tcW w:w="987" w:type="dxa"/>
            <w:tcBorders>
              <w:top w:val="nil"/>
              <w:left w:val="nil"/>
              <w:bottom w:val="single" w:sz="4" w:space="0" w:color="auto"/>
              <w:right w:val="single" w:sz="4" w:space="0" w:color="auto"/>
            </w:tcBorders>
            <w:noWrap/>
            <w:vAlign w:val="bottom"/>
            <w:hideMark/>
          </w:tcPr>
          <w:p w14:paraId="55F467B2" w14:textId="77777777" w:rsidR="00F16EB8" w:rsidRPr="00B63409" w:rsidRDefault="00F16EB8" w:rsidP="00BE6FF5">
            <w:pPr>
              <w:spacing w:line="276" w:lineRule="auto"/>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317,694</w:t>
            </w:r>
          </w:p>
        </w:tc>
        <w:tc>
          <w:tcPr>
            <w:tcW w:w="882" w:type="dxa"/>
            <w:tcBorders>
              <w:top w:val="nil"/>
              <w:left w:val="nil"/>
              <w:bottom w:val="single" w:sz="4" w:space="0" w:color="auto"/>
              <w:right w:val="single" w:sz="4" w:space="0" w:color="auto"/>
            </w:tcBorders>
            <w:noWrap/>
            <w:vAlign w:val="bottom"/>
            <w:hideMark/>
          </w:tcPr>
          <w:p w14:paraId="1C3AF840" w14:textId="77777777" w:rsidR="00F16EB8" w:rsidRPr="00B63409" w:rsidRDefault="00F16EB8" w:rsidP="00BE6FF5">
            <w:pPr>
              <w:spacing w:line="276" w:lineRule="auto"/>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52,935</w:t>
            </w:r>
          </w:p>
        </w:tc>
        <w:tc>
          <w:tcPr>
            <w:tcW w:w="1123" w:type="dxa"/>
            <w:tcBorders>
              <w:top w:val="nil"/>
              <w:left w:val="nil"/>
              <w:bottom w:val="single" w:sz="4" w:space="0" w:color="auto"/>
              <w:right w:val="single" w:sz="4" w:space="0" w:color="auto"/>
            </w:tcBorders>
            <w:noWrap/>
            <w:vAlign w:val="bottom"/>
            <w:hideMark/>
          </w:tcPr>
          <w:p w14:paraId="1D5267E6" w14:textId="77777777" w:rsidR="00F16EB8" w:rsidRPr="00B63409" w:rsidRDefault="00F16EB8" w:rsidP="00BE6FF5">
            <w:pPr>
              <w:spacing w:line="276" w:lineRule="auto"/>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143,009</w:t>
            </w:r>
          </w:p>
        </w:tc>
        <w:tc>
          <w:tcPr>
            <w:tcW w:w="1009" w:type="dxa"/>
            <w:tcBorders>
              <w:top w:val="nil"/>
              <w:left w:val="nil"/>
              <w:bottom w:val="single" w:sz="4" w:space="0" w:color="auto"/>
              <w:right w:val="single" w:sz="4" w:space="0" w:color="auto"/>
            </w:tcBorders>
            <w:noWrap/>
            <w:vAlign w:val="bottom"/>
            <w:hideMark/>
          </w:tcPr>
          <w:p w14:paraId="7D68A251" w14:textId="77777777" w:rsidR="00F16EB8" w:rsidRPr="00B63409" w:rsidRDefault="00F16EB8" w:rsidP="00BE6FF5">
            <w:pPr>
              <w:spacing w:line="276" w:lineRule="auto"/>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28,601</w:t>
            </w:r>
          </w:p>
        </w:tc>
        <w:tc>
          <w:tcPr>
            <w:tcW w:w="870" w:type="dxa"/>
            <w:tcBorders>
              <w:top w:val="nil"/>
              <w:left w:val="nil"/>
              <w:bottom w:val="single" w:sz="4" w:space="0" w:color="auto"/>
              <w:right w:val="single" w:sz="4" w:space="0" w:color="auto"/>
            </w:tcBorders>
            <w:noWrap/>
            <w:vAlign w:val="bottom"/>
            <w:hideMark/>
          </w:tcPr>
          <w:p w14:paraId="3227ED5F" w14:textId="77777777" w:rsidR="00F16EB8" w:rsidRPr="00B63409" w:rsidRDefault="00F16EB8" w:rsidP="00BE6FF5">
            <w:pPr>
              <w:spacing w:line="276" w:lineRule="auto"/>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52,355</w:t>
            </w:r>
          </w:p>
        </w:tc>
        <w:tc>
          <w:tcPr>
            <w:tcW w:w="719" w:type="dxa"/>
            <w:tcBorders>
              <w:top w:val="nil"/>
              <w:left w:val="nil"/>
              <w:bottom w:val="single" w:sz="4" w:space="0" w:color="auto"/>
              <w:right w:val="single" w:sz="4" w:space="0" w:color="auto"/>
            </w:tcBorders>
            <w:noWrap/>
            <w:vAlign w:val="bottom"/>
            <w:hideMark/>
          </w:tcPr>
          <w:p w14:paraId="40CA1760" w14:textId="77777777" w:rsidR="00F16EB8" w:rsidRPr="00B63409" w:rsidRDefault="00F16EB8" w:rsidP="00BE6FF5">
            <w:pPr>
              <w:spacing w:line="276" w:lineRule="auto"/>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10,471</w:t>
            </w:r>
          </w:p>
        </w:tc>
        <w:tc>
          <w:tcPr>
            <w:tcW w:w="810" w:type="dxa"/>
            <w:tcBorders>
              <w:top w:val="nil"/>
              <w:left w:val="nil"/>
              <w:bottom w:val="single" w:sz="4" w:space="0" w:color="auto"/>
              <w:right w:val="single" w:sz="4" w:space="0" w:color="auto"/>
            </w:tcBorders>
            <w:noWrap/>
            <w:vAlign w:val="bottom"/>
            <w:hideMark/>
          </w:tcPr>
          <w:p w14:paraId="23EF8AC1" w14:textId="77777777" w:rsidR="00F16EB8" w:rsidRPr="00B63409" w:rsidRDefault="00F16EB8" w:rsidP="00BE6FF5">
            <w:pPr>
              <w:spacing w:line="276" w:lineRule="auto"/>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102,043</w:t>
            </w:r>
          </w:p>
        </w:tc>
        <w:tc>
          <w:tcPr>
            <w:tcW w:w="719" w:type="dxa"/>
            <w:tcBorders>
              <w:top w:val="nil"/>
              <w:left w:val="nil"/>
              <w:bottom w:val="single" w:sz="4" w:space="0" w:color="auto"/>
              <w:right w:val="single" w:sz="4" w:space="0" w:color="auto"/>
            </w:tcBorders>
            <w:noWrap/>
            <w:vAlign w:val="bottom"/>
            <w:hideMark/>
          </w:tcPr>
          <w:p w14:paraId="37AACF87" w14:textId="77777777" w:rsidR="00F16EB8" w:rsidRPr="00B63409" w:rsidRDefault="00F16EB8" w:rsidP="00BE6FF5">
            <w:pPr>
              <w:spacing w:line="276" w:lineRule="auto"/>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20,408</w:t>
            </w:r>
          </w:p>
        </w:tc>
        <w:tc>
          <w:tcPr>
            <w:tcW w:w="719" w:type="dxa"/>
            <w:tcBorders>
              <w:top w:val="nil"/>
              <w:left w:val="nil"/>
              <w:bottom w:val="single" w:sz="4" w:space="0" w:color="auto"/>
              <w:right w:val="single" w:sz="4" w:space="0" w:color="auto"/>
            </w:tcBorders>
            <w:noWrap/>
            <w:vAlign w:val="bottom"/>
            <w:hideMark/>
          </w:tcPr>
          <w:p w14:paraId="2EE83779" w14:textId="77777777" w:rsidR="00F16EB8" w:rsidRPr="00B63409" w:rsidRDefault="00F16EB8" w:rsidP="00BE6FF5">
            <w:pPr>
              <w:spacing w:line="276" w:lineRule="auto"/>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20,287</w:t>
            </w:r>
          </w:p>
        </w:tc>
        <w:tc>
          <w:tcPr>
            <w:tcW w:w="739" w:type="dxa"/>
            <w:tcBorders>
              <w:top w:val="nil"/>
              <w:left w:val="nil"/>
              <w:bottom w:val="single" w:sz="4" w:space="0" w:color="auto"/>
              <w:right w:val="single" w:sz="4" w:space="0" w:color="auto"/>
            </w:tcBorders>
            <w:noWrap/>
            <w:vAlign w:val="bottom"/>
            <w:hideMark/>
          </w:tcPr>
          <w:p w14:paraId="1DA4F719" w14:textId="77777777" w:rsidR="00F16EB8" w:rsidRPr="00B63409" w:rsidRDefault="00F16EB8" w:rsidP="00BE6FF5">
            <w:pPr>
              <w:spacing w:line="276" w:lineRule="auto"/>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4,058</w:t>
            </w:r>
          </w:p>
        </w:tc>
      </w:tr>
      <w:tr w:rsidR="00F16EB8" w:rsidRPr="00B63409" w14:paraId="5A55A86F" w14:textId="77777777" w:rsidTr="00BE6FF5">
        <w:trPr>
          <w:trHeight w:val="300"/>
        </w:trPr>
        <w:tc>
          <w:tcPr>
            <w:tcW w:w="1207" w:type="dxa"/>
            <w:vMerge w:val="restart"/>
            <w:tcBorders>
              <w:top w:val="nil"/>
              <w:left w:val="single" w:sz="4" w:space="0" w:color="auto"/>
              <w:bottom w:val="single" w:sz="4" w:space="0" w:color="000000"/>
              <w:right w:val="single" w:sz="4" w:space="0" w:color="auto"/>
            </w:tcBorders>
            <w:vAlign w:val="center"/>
            <w:hideMark/>
          </w:tcPr>
          <w:p w14:paraId="3DDC969C" w14:textId="77777777" w:rsidR="00F16EB8" w:rsidRPr="00B63409" w:rsidRDefault="00F16EB8" w:rsidP="00BE6FF5">
            <w:pPr>
              <w:spacing w:line="276" w:lineRule="auto"/>
              <w:rPr>
                <w:rFonts w:asciiTheme="minorHAnsi" w:hAnsiTheme="minorHAnsi" w:cstheme="minorHAnsi"/>
                <w:color w:val="000000"/>
                <w:sz w:val="18"/>
                <w:szCs w:val="18"/>
                <w:lang w:val="en-GB" w:eastAsia="en-GB"/>
              </w:rPr>
            </w:pPr>
            <w:proofErr w:type="spellStart"/>
            <w:r w:rsidRPr="00B63409">
              <w:rPr>
                <w:rFonts w:asciiTheme="minorHAnsi" w:hAnsiTheme="minorHAnsi" w:cstheme="minorHAnsi"/>
                <w:color w:val="000000"/>
                <w:sz w:val="18"/>
                <w:szCs w:val="18"/>
                <w:lang w:val="en-GB" w:eastAsia="en-GB"/>
              </w:rPr>
              <w:t>Cheltuieli</w:t>
            </w:r>
            <w:proofErr w:type="spellEnd"/>
            <w:r w:rsidRPr="00B63409">
              <w:rPr>
                <w:rFonts w:asciiTheme="minorHAnsi" w:hAnsiTheme="minorHAnsi" w:cstheme="minorHAnsi"/>
                <w:color w:val="000000"/>
                <w:sz w:val="18"/>
                <w:szCs w:val="18"/>
                <w:lang w:val="en-GB" w:eastAsia="en-GB"/>
              </w:rPr>
              <w:t xml:space="preserve"> de personal</w:t>
            </w:r>
          </w:p>
        </w:tc>
        <w:tc>
          <w:tcPr>
            <w:tcW w:w="676" w:type="dxa"/>
            <w:tcBorders>
              <w:top w:val="nil"/>
              <w:left w:val="nil"/>
              <w:bottom w:val="single" w:sz="4" w:space="0" w:color="auto"/>
              <w:right w:val="single" w:sz="4" w:space="0" w:color="auto"/>
            </w:tcBorders>
            <w:vAlign w:val="center"/>
            <w:hideMark/>
          </w:tcPr>
          <w:p w14:paraId="528AAE65" w14:textId="77777777" w:rsidR="00F16EB8" w:rsidRPr="00B63409" w:rsidRDefault="00F16EB8" w:rsidP="00BE6FF5">
            <w:pPr>
              <w:spacing w:line="276" w:lineRule="auto"/>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CA</w:t>
            </w:r>
          </w:p>
        </w:tc>
        <w:tc>
          <w:tcPr>
            <w:tcW w:w="987" w:type="dxa"/>
            <w:tcBorders>
              <w:top w:val="nil"/>
              <w:left w:val="nil"/>
              <w:bottom w:val="single" w:sz="4" w:space="0" w:color="auto"/>
              <w:right w:val="single" w:sz="4" w:space="0" w:color="auto"/>
            </w:tcBorders>
            <w:noWrap/>
            <w:vAlign w:val="bottom"/>
            <w:hideMark/>
          </w:tcPr>
          <w:p w14:paraId="2D513CB9"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237,595</w:t>
            </w:r>
          </w:p>
        </w:tc>
        <w:tc>
          <w:tcPr>
            <w:tcW w:w="882" w:type="dxa"/>
            <w:tcBorders>
              <w:top w:val="nil"/>
              <w:left w:val="nil"/>
              <w:bottom w:val="single" w:sz="4" w:space="0" w:color="auto"/>
              <w:right w:val="single" w:sz="4" w:space="0" w:color="auto"/>
            </w:tcBorders>
            <w:noWrap/>
            <w:vAlign w:val="bottom"/>
            <w:hideMark/>
          </w:tcPr>
          <w:p w14:paraId="20934B7E"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37,626</w:t>
            </w:r>
          </w:p>
        </w:tc>
        <w:tc>
          <w:tcPr>
            <w:tcW w:w="1123" w:type="dxa"/>
            <w:tcBorders>
              <w:top w:val="nil"/>
              <w:left w:val="nil"/>
              <w:bottom w:val="single" w:sz="4" w:space="0" w:color="auto"/>
              <w:right w:val="single" w:sz="4" w:space="0" w:color="auto"/>
            </w:tcBorders>
            <w:noWrap/>
            <w:vAlign w:val="bottom"/>
            <w:hideMark/>
          </w:tcPr>
          <w:p w14:paraId="4DC3E2C9"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127,172</w:t>
            </w:r>
          </w:p>
        </w:tc>
        <w:tc>
          <w:tcPr>
            <w:tcW w:w="1009" w:type="dxa"/>
            <w:tcBorders>
              <w:top w:val="nil"/>
              <w:left w:val="nil"/>
              <w:bottom w:val="single" w:sz="4" w:space="0" w:color="auto"/>
              <w:right w:val="single" w:sz="4" w:space="0" w:color="auto"/>
            </w:tcBorders>
            <w:noWrap/>
            <w:vAlign w:val="bottom"/>
            <w:hideMark/>
          </w:tcPr>
          <w:p w14:paraId="6EE013D5"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25,434</w:t>
            </w:r>
          </w:p>
        </w:tc>
        <w:tc>
          <w:tcPr>
            <w:tcW w:w="870" w:type="dxa"/>
            <w:tcBorders>
              <w:top w:val="nil"/>
              <w:left w:val="nil"/>
              <w:bottom w:val="single" w:sz="4" w:space="0" w:color="auto"/>
              <w:right w:val="single" w:sz="4" w:space="0" w:color="auto"/>
            </w:tcBorders>
            <w:noWrap/>
            <w:vAlign w:val="bottom"/>
            <w:hideMark/>
          </w:tcPr>
          <w:p w14:paraId="2565B1EA"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49,466</w:t>
            </w:r>
          </w:p>
        </w:tc>
        <w:tc>
          <w:tcPr>
            <w:tcW w:w="719" w:type="dxa"/>
            <w:tcBorders>
              <w:top w:val="nil"/>
              <w:left w:val="nil"/>
              <w:bottom w:val="single" w:sz="4" w:space="0" w:color="auto"/>
              <w:right w:val="single" w:sz="4" w:space="0" w:color="auto"/>
            </w:tcBorders>
            <w:noWrap/>
            <w:vAlign w:val="bottom"/>
            <w:hideMark/>
          </w:tcPr>
          <w:p w14:paraId="49672843"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9,893</w:t>
            </w:r>
          </w:p>
        </w:tc>
        <w:tc>
          <w:tcPr>
            <w:tcW w:w="810" w:type="dxa"/>
            <w:tcBorders>
              <w:top w:val="nil"/>
              <w:left w:val="nil"/>
              <w:bottom w:val="single" w:sz="4" w:space="0" w:color="auto"/>
              <w:right w:val="single" w:sz="4" w:space="0" w:color="auto"/>
            </w:tcBorders>
            <w:noWrap/>
            <w:vAlign w:val="bottom"/>
            <w:hideMark/>
          </w:tcPr>
          <w:p w14:paraId="15806C68"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44,583</w:t>
            </w:r>
          </w:p>
        </w:tc>
        <w:tc>
          <w:tcPr>
            <w:tcW w:w="719" w:type="dxa"/>
            <w:tcBorders>
              <w:top w:val="nil"/>
              <w:left w:val="nil"/>
              <w:bottom w:val="single" w:sz="4" w:space="0" w:color="auto"/>
              <w:right w:val="single" w:sz="4" w:space="0" w:color="auto"/>
            </w:tcBorders>
            <w:noWrap/>
            <w:vAlign w:val="bottom"/>
            <w:hideMark/>
          </w:tcPr>
          <w:p w14:paraId="7ACB91FE"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8,917</w:t>
            </w:r>
          </w:p>
        </w:tc>
        <w:tc>
          <w:tcPr>
            <w:tcW w:w="719" w:type="dxa"/>
            <w:tcBorders>
              <w:top w:val="nil"/>
              <w:left w:val="nil"/>
              <w:bottom w:val="single" w:sz="4" w:space="0" w:color="auto"/>
              <w:right w:val="single" w:sz="4" w:space="0" w:color="auto"/>
            </w:tcBorders>
            <w:noWrap/>
            <w:vAlign w:val="bottom"/>
            <w:hideMark/>
          </w:tcPr>
          <w:p w14:paraId="6EACB0A9"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16,374</w:t>
            </w:r>
          </w:p>
        </w:tc>
        <w:tc>
          <w:tcPr>
            <w:tcW w:w="739" w:type="dxa"/>
            <w:tcBorders>
              <w:top w:val="nil"/>
              <w:left w:val="nil"/>
              <w:bottom w:val="single" w:sz="4" w:space="0" w:color="auto"/>
              <w:right w:val="single" w:sz="4" w:space="0" w:color="auto"/>
            </w:tcBorders>
            <w:noWrap/>
            <w:vAlign w:val="bottom"/>
            <w:hideMark/>
          </w:tcPr>
          <w:p w14:paraId="7202391B"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3,275</w:t>
            </w:r>
          </w:p>
        </w:tc>
      </w:tr>
      <w:tr w:rsidR="00F16EB8" w:rsidRPr="00B63409" w14:paraId="408CA2B3" w14:textId="77777777" w:rsidTr="00BE6FF5">
        <w:trPr>
          <w:trHeight w:val="300"/>
        </w:trPr>
        <w:tc>
          <w:tcPr>
            <w:tcW w:w="1207" w:type="dxa"/>
            <w:vMerge/>
            <w:tcBorders>
              <w:top w:val="nil"/>
              <w:left w:val="single" w:sz="4" w:space="0" w:color="auto"/>
              <w:bottom w:val="single" w:sz="4" w:space="0" w:color="000000"/>
              <w:right w:val="single" w:sz="4" w:space="0" w:color="auto"/>
            </w:tcBorders>
            <w:vAlign w:val="center"/>
            <w:hideMark/>
          </w:tcPr>
          <w:p w14:paraId="232B8C42" w14:textId="77777777" w:rsidR="00F16EB8" w:rsidRPr="00B63409" w:rsidRDefault="00F16EB8" w:rsidP="00BE6FF5">
            <w:pPr>
              <w:spacing w:line="276" w:lineRule="auto"/>
              <w:rPr>
                <w:rFonts w:asciiTheme="minorHAnsi" w:hAnsiTheme="minorHAnsi" w:cstheme="minorHAnsi"/>
                <w:color w:val="000000"/>
                <w:sz w:val="18"/>
                <w:szCs w:val="18"/>
                <w:lang w:val="en-GB" w:eastAsia="en-GB"/>
              </w:rPr>
            </w:pPr>
          </w:p>
        </w:tc>
        <w:tc>
          <w:tcPr>
            <w:tcW w:w="676" w:type="dxa"/>
            <w:tcBorders>
              <w:top w:val="nil"/>
              <w:left w:val="nil"/>
              <w:bottom w:val="single" w:sz="4" w:space="0" w:color="auto"/>
              <w:right w:val="single" w:sz="4" w:space="0" w:color="auto"/>
            </w:tcBorders>
            <w:vAlign w:val="center"/>
            <w:hideMark/>
          </w:tcPr>
          <w:p w14:paraId="58B082F6" w14:textId="77777777" w:rsidR="00F16EB8" w:rsidRPr="00B63409" w:rsidRDefault="00F16EB8" w:rsidP="00BE6FF5">
            <w:pPr>
              <w:spacing w:line="276" w:lineRule="auto"/>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CB</w:t>
            </w:r>
          </w:p>
        </w:tc>
        <w:tc>
          <w:tcPr>
            <w:tcW w:w="987" w:type="dxa"/>
            <w:tcBorders>
              <w:top w:val="nil"/>
              <w:left w:val="nil"/>
              <w:bottom w:val="single" w:sz="4" w:space="0" w:color="auto"/>
              <w:right w:val="single" w:sz="4" w:space="0" w:color="auto"/>
            </w:tcBorders>
            <w:noWrap/>
            <w:vAlign w:val="bottom"/>
            <w:hideMark/>
          </w:tcPr>
          <w:p w14:paraId="069D000C"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237,595</w:t>
            </w:r>
          </w:p>
        </w:tc>
        <w:tc>
          <w:tcPr>
            <w:tcW w:w="882" w:type="dxa"/>
            <w:tcBorders>
              <w:top w:val="nil"/>
              <w:left w:val="nil"/>
              <w:bottom w:val="single" w:sz="4" w:space="0" w:color="auto"/>
              <w:right w:val="single" w:sz="4" w:space="0" w:color="auto"/>
            </w:tcBorders>
            <w:noWrap/>
            <w:vAlign w:val="bottom"/>
            <w:hideMark/>
          </w:tcPr>
          <w:p w14:paraId="50177652"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37,626</w:t>
            </w:r>
          </w:p>
        </w:tc>
        <w:tc>
          <w:tcPr>
            <w:tcW w:w="1123" w:type="dxa"/>
            <w:tcBorders>
              <w:top w:val="nil"/>
              <w:left w:val="nil"/>
              <w:bottom w:val="single" w:sz="4" w:space="0" w:color="auto"/>
              <w:right w:val="single" w:sz="4" w:space="0" w:color="auto"/>
            </w:tcBorders>
            <w:noWrap/>
            <w:vAlign w:val="bottom"/>
            <w:hideMark/>
          </w:tcPr>
          <w:p w14:paraId="2F22F6D7"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127,172</w:t>
            </w:r>
          </w:p>
        </w:tc>
        <w:tc>
          <w:tcPr>
            <w:tcW w:w="1009" w:type="dxa"/>
            <w:tcBorders>
              <w:top w:val="nil"/>
              <w:left w:val="nil"/>
              <w:bottom w:val="single" w:sz="4" w:space="0" w:color="auto"/>
              <w:right w:val="single" w:sz="4" w:space="0" w:color="auto"/>
            </w:tcBorders>
            <w:noWrap/>
            <w:vAlign w:val="bottom"/>
            <w:hideMark/>
          </w:tcPr>
          <w:p w14:paraId="6B6461C8"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25,434</w:t>
            </w:r>
          </w:p>
        </w:tc>
        <w:tc>
          <w:tcPr>
            <w:tcW w:w="870" w:type="dxa"/>
            <w:tcBorders>
              <w:top w:val="nil"/>
              <w:left w:val="nil"/>
              <w:bottom w:val="single" w:sz="4" w:space="0" w:color="auto"/>
              <w:right w:val="single" w:sz="4" w:space="0" w:color="auto"/>
            </w:tcBorders>
            <w:noWrap/>
            <w:vAlign w:val="bottom"/>
            <w:hideMark/>
          </w:tcPr>
          <w:p w14:paraId="05082108"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49,466</w:t>
            </w:r>
          </w:p>
        </w:tc>
        <w:tc>
          <w:tcPr>
            <w:tcW w:w="719" w:type="dxa"/>
            <w:tcBorders>
              <w:top w:val="nil"/>
              <w:left w:val="nil"/>
              <w:bottom w:val="single" w:sz="4" w:space="0" w:color="auto"/>
              <w:right w:val="single" w:sz="4" w:space="0" w:color="auto"/>
            </w:tcBorders>
            <w:noWrap/>
            <w:vAlign w:val="bottom"/>
            <w:hideMark/>
          </w:tcPr>
          <w:p w14:paraId="23E7EEA0"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9,893</w:t>
            </w:r>
          </w:p>
        </w:tc>
        <w:tc>
          <w:tcPr>
            <w:tcW w:w="810" w:type="dxa"/>
            <w:tcBorders>
              <w:top w:val="nil"/>
              <w:left w:val="nil"/>
              <w:bottom w:val="single" w:sz="4" w:space="0" w:color="auto"/>
              <w:right w:val="single" w:sz="4" w:space="0" w:color="auto"/>
            </w:tcBorders>
            <w:noWrap/>
            <w:vAlign w:val="bottom"/>
            <w:hideMark/>
          </w:tcPr>
          <w:p w14:paraId="13BA24E1"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44,583</w:t>
            </w:r>
          </w:p>
        </w:tc>
        <w:tc>
          <w:tcPr>
            <w:tcW w:w="719" w:type="dxa"/>
            <w:tcBorders>
              <w:top w:val="nil"/>
              <w:left w:val="nil"/>
              <w:bottom w:val="single" w:sz="4" w:space="0" w:color="auto"/>
              <w:right w:val="single" w:sz="4" w:space="0" w:color="auto"/>
            </w:tcBorders>
            <w:noWrap/>
            <w:vAlign w:val="bottom"/>
            <w:hideMark/>
          </w:tcPr>
          <w:p w14:paraId="67257A6B"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8,917</w:t>
            </w:r>
          </w:p>
        </w:tc>
        <w:tc>
          <w:tcPr>
            <w:tcW w:w="719" w:type="dxa"/>
            <w:tcBorders>
              <w:top w:val="nil"/>
              <w:left w:val="nil"/>
              <w:bottom w:val="single" w:sz="4" w:space="0" w:color="auto"/>
              <w:right w:val="single" w:sz="4" w:space="0" w:color="auto"/>
            </w:tcBorders>
            <w:noWrap/>
            <w:vAlign w:val="bottom"/>
            <w:hideMark/>
          </w:tcPr>
          <w:p w14:paraId="23D63AEE"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16,374</w:t>
            </w:r>
          </w:p>
        </w:tc>
        <w:tc>
          <w:tcPr>
            <w:tcW w:w="739" w:type="dxa"/>
            <w:tcBorders>
              <w:top w:val="nil"/>
              <w:left w:val="nil"/>
              <w:bottom w:val="single" w:sz="4" w:space="0" w:color="auto"/>
              <w:right w:val="single" w:sz="4" w:space="0" w:color="auto"/>
            </w:tcBorders>
            <w:noWrap/>
            <w:vAlign w:val="bottom"/>
            <w:hideMark/>
          </w:tcPr>
          <w:p w14:paraId="6C9F910D"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3,275</w:t>
            </w:r>
          </w:p>
        </w:tc>
      </w:tr>
      <w:tr w:rsidR="00F16EB8" w:rsidRPr="00B63409" w14:paraId="073ED6B1" w14:textId="77777777" w:rsidTr="00BE6FF5">
        <w:trPr>
          <w:trHeight w:val="315"/>
        </w:trPr>
        <w:tc>
          <w:tcPr>
            <w:tcW w:w="1207" w:type="dxa"/>
            <w:vMerge w:val="restart"/>
            <w:tcBorders>
              <w:top w:val="nil"/>
              <w:left w:val="single" w:sz="4" w:space="0" w:color="auto"/>
              <w:bottom w:val="single" w:sz="4" w:space="0" w:color="000000"/>
              <w:right w:val="single" w:sz="4" w:space="0" w:color="auto"/>
            </w:tcBorders>
            <w:vAlign w:val="center"/>
            <w:hideMark/>
          </w:tcPr>
          <w:p w14:paraId="6E4A73FB" w14:textId="77777777" w:rsidR="00F16EB8" w:rsidRPr="00B63409" w:rsidRDefault="00F16EB8" w:rsidP="00BE6FF5">
            <w:pPr>
              <w:spacing w:line="276" w:lineRule="auto"/>
              <w:rPr>
                <w:rFonts w:asciiTheme="minorHAnsi" w:hAnsiTheme="minorHAnsi" w:cstheme="minorHAnsi"/>
                <w:color w:val="000000"/>
                <w:sz w:val="18"/>
                <w:szCs w:val="18"/>
                <w:lang w:val="en-GB" w:eastAsia="en-GB"/>
              </w:rPr>
            </w:pPr>
            <w:proofErr w:type="spellStart"/>
            <w:r w:rsidRPr="00B63409">
              <w:rPr>
                <w:rFonts w:asciiTheme="minorHAnsi" w:hAnsiTheme="minorHAnsi" w:cstheme="minorHAnsi"/>
                <w:color w:val="000000"/>
                <w:sz w:val="18"/>
                <w:szCs w:val="18"/>
                <w:lang w:val="en-GB" w:eastAsia="en-GB"/>
              </w:rPr>
              <w:t>Bunuri</w:t>
            </w:r>
            <w:proofErr w:type="spellEnd"/>
            <w:r w:rsidRPr="00B63409">
              <w:rPr>
                <w:rFonts w:asciiTheme="minorHAnsi" w:hAnsiTheme="minorHAnsi" w:cstheme="minorHAnsi"/>
                <w:color w:val="000000"/>
                <w:sz w:val="18"/>
                <w:szCs w:val="18"/>
                <w:lang w:val="en-GB" w:eastAsia="en-GB"/>
              </w:rPr>
              <w:t xml:space="preserve"> </w:t>
            </w:r>
            <w:proofErr w:type="spellStart"/>
            <w:r w:rsidRPr="00B63409">
              <w:rPr>
                <w:rFonts w:asciiTheme="minorHAnsi" w:hAnsiTheme="minorHAnsi" w:cstheme="minorHAnsi"/>
                <w:color w:val="000000"/>
                <w:sz w:val="18"/>
                <w:szCs w:val="18"/>
                <w:lang w:val="en-GB" w:eastAsia="en-GB"/>
              </w:rPr>
              <w:t>și</w:t>
            </w:r>
            <w:proofErr w:type="spellEnd"/>
            <w:r w:rsidRPr="00B63409">
              <w:rPr>
                <w:rFonts w:asciiTheme="minorHAnsi" w:hAnsiTheme="minorHAnsi" w:cstheme="minorHAnsi"/>
                <w:color w:val="000000"/>
                <w:sz w:val="18"/>
                <w:szCs w:val="18"/>
                <w:lang w:val="en-GB" w:eastAsia="en-GB"/>
              </w:rPr>
              <w:t xml:space="preserve"> </w:t>
            </w:r>
            <w:proofErr w:type="spellStart"/>
            <w:r w:rsidRPr="00B63409">
              <w:rPr>
                <w:rFonts w:asciiTheme="minorHAnsi" w:hAnsiTheme="minorHAnsi" w:cstheme="minorHAnsi"/>
                <w:color w:val="000000"/>
                <w:sz w:val="18"/>
                <w:szCs w:val="18"/>
                <w:lang w:val="en-GB" w:eastAsia="en-GB"/>
              </w:rPr>
              <w:t>servicii</w:t>
            </w:r>
            <w:proofErr w:type="spellEnd"/>
          </w:p>
        </w:tc>
        <w:tc>
          <w:tcPr>
            <w:tcW w:w="676" w:type="dxa"/>
            <w:tcBorders>
              <w:top w:val="nil"/>
              <w:left w:val="nil"/>
              <w:bottom w:val="single" w:sz="4" w:space="0" w:color="auto"/>
              <w:right w:val="single" w:sz="4" w:space="0" w:color="auto"/>
            </w:tcBorders>
            <w:vAlign w:val="center"/>
            <w:hideMark/>
          </w:tcPr>
          <w:p w14:paraId="395064E9" w14:textId="77777777" w:rsidR="00F16EB8" w:rsidRPr="00B63409" w:rsidRDefault="00F16EB8" w:rsidP="00BE6FF5">
            <w:pPr>
              <w:spacing w:line="276" w:lineRule="auto"/>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CA</w:t>
            </w:r>
          </w:p>
        </w:tc>
        <w:tc>
          <w:tcPr>
            <w:tcW w:w="987" w:type="dxa"/>
            <w:tcBorders>
              <w:top w:val="nil"/>
              <w:left w:val="nil"/>
              <w:bottom w:val="single" w:sz="4" w:space="0" w:color="auto"/>
              <w:right w:val="single" w:sz="4" w:space="0" w:color="auto"/>
            </w:tcBorders>
            <w:noWrap/>
            <w:vAlign w:val="bottom"/>
            <w:hideMark/>
          </w:tcPr>
          <w:p w14:paraId="5C3C1AE1"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21,364</w:t>
            </w:r>
          </w:p>
        </w:tc>
        <w:tc>
          <w:tcPr>
            <w:tcW w:w="882" w:type="dxa"/>
            <w:tcBorders>
              <w:top w:val="nil"/>
              <w:left w:val="nil"/>
              <w:bottom w:val="single" w:sz="4" w:space="0" w:color="auto"/>
              <w:right w:val="single" w:sz="4" w:space="0" w:color="auto"/>
            </w:tcBorders>
            <w:noWrap/>
            <w:vAlign w:val="bottom"/>
            <w:hideMark/>
          </w:tcPr>
          <w:p w14:paraId="08E01A95"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3,710</w:t>
            </w:r>
          </w:p>
        </w:tc>
        <w:tc>
          <w:tcPr>
            <w:tcW w:w="1123" w:type="dxa"/>
            <w:tcBorders>
              <w:top w:val="nil"/>
              <w:left w:val="nil"/>
              <w:bottom w:val="single" w:sz="4" w:space="0" w:color="auto"/>
              <w:right w:val="single" w:sz="4" w:space="0" w:color="auto"/>
            </w:tcBorders>
            <w:noWrap/>
            <w:vAlign w:val="bottom"/>
            <w:hideMark/>
          </w:tcPr>
          <w:p w14:paraId="18688EBD"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10,581</w:t>
            </w:r>
          </w:p>
        </w:tc>
        <w:tc>
          <w:tcPr>
            <w:tcW w:w="1009" w:type="dxa"/>
            <w:tcBorders>
              <w:top w:val="nil"/>
              <w:left w:val="nil"/>
              <w:bottom w:val="single" w:sz="4" w:space="0" w:color="auto"/>
              <w:right w:val="single" w:sz="4" w:space="0" w:color="auto"/>
            </w:tcBorders>
            <w:noWrap/>
            <w:vAlign w:val="bottom"/>
            <w:hideMark/>
          </w:tcPr>
          <w:p w14:paraId="7E389C82"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2,116</w:t>
            </w:r>
          </w:p>
        </w:tc>
        <w:tc>
          <w:tcPr>
            <w:tcW w:w="870" w:type="dxa"/>
            <w:tcBorders>
              <w:top w:val="nil"/>
              <w:left w:val="nil"/>
              <w:bottom w:val="single" w:sz="4" w:space="0" w:color="auto"/>
              <w:right w:val="single" w:sz="4" w:space="0" w:color="auto"/>
            </w:tcBorders>
            <w:noWrap/>
            <w:vAlign w:val="bottom"/>
            <w:hideMark/>
          </w:tcPr>
          <w:p w14:paraId="5CD91BBD"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2,813</w:t>
            </w:r>
          </w:p>
        </w:tc>
        <w:tc>
          <w:tcPr>
            <w:tcW w:w="719" w:type="dxa"/>
            <w:tcBorders>
              <w:top w:val="nil"/>
              <w:left w:val="nil"/>
              <w:bottom w:val="single" w:sz="4" w:space="0" w:color="auto"/>
              <w:right w:val="single" w:sz="4" w:space="0" w:color="auto"/>
            </w:tcBorders>
            <w:noWrap/>
            <w:vAlign w:val="bottom"/>
            <w:hideMark/>
          </w:tcPr>
          <w:p w14:paraId="100A0CE3"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563</w:t>
            </w:r>
          </w:p>
        </w:tc>
        <w:tc>
          <w:tcPr>
            <w:tcW w:w="810" w:type="dxa"/>
            <w:tcBorders>
              <w:top w:val="nil"/>
              <w:left w:val="nil"/>
              <w:bottom w:val="single" w:sz="4" w:space="0" w:color="auto"/>
              <w:right w:val="single" w:sz="4" w:space="0" w:color="auto"/>
            </w:tcBorders>
            <w:noWrap/>
            <w:vAlign w:val="bottom"/>
            <w:hideMark/>
          </w:tcPr>
          <w:p w14:paraId="6C9D112A"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6,166</w:t>
            </w:r>
          </w:p>
        </w:tc>
        <w:tc>
          <w:tcPr>
            <w:tcW w:w="719" w:type="dxa"/>
            <w:tcBorders>
              <w:top w:val="nil"/>
              <w:left w:val="nil"/>
              <w:bottom w:val="single" w:sz="4" w:space="0" w:color="auto"/>
              <w:right w:val="single" w:sz="4" w:space="0" w:color="auto"/>
            </w:tcBorders>
            <w:noWrap/>
            <w:vAlign w:val="bottom"/>
            <w:hideMark/>
          </w:tcPr>
          <w:p w14:paraId="60A87B02"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1,233</w:t>
            </w:r>
          </w:p>
        </w:tc>
        <w:tc>
          <w:tcPr>
            <w:tcW w:w="719" w:type="dxa"/>
            <w:tcBorders>
              <w:top w:val="nil"/>
              <w:left w:val="nil"/>
              <w:bottom w:val="single" w:sz="4" w:space="0" w:color="auto"/>
              <w:right w:val="single" w:sz="4" w:space="0" w:color="auto"/>
            </w:tcBorders>
            <w:noWrap/>
            <w:vAlign w:val="bottom"/>
            <w:hideMark/>
          </w:tcPr>
          <w:p w14:paraId="3A83D438"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1,804</w:t>
            </w:r>
          </w:p>
        </w:tc>
        <w:tc>
          <w:tcPr>
            <w:tcW w:w="739" w:type="dxa"/>
            <w:tcBorders>
              <w:top w:val="nil"/>
              <w:left w:val="nil"/>
              <w:bottom w:val="single" w:sz="4" w:space="0" w:color="auto"/>
              <w:right w:val="single" w:sz="4" w:space="0" w:color="auto"/>
            </w:tcBorders>
            <w:noWrap/>
            <w:vAlign w:val="bottom"/>
            <w:hideMark/>
          </w:tcPr>
          <w:p w14:paraId="6E712FAC"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361</w:t>
            </w:r>
          </w:p>
        </w:tc>
      </w:tr>
      <w:tr w:rsidR="00F16EB8" w:rsidRPr="00B63409" w14:paraId="3C73A120" w14:textId="77777777" w:rsidTr="00BE6FF5">
        <w:trPr>
          <w:trHeight w:val="300"/>
        </w:trPr>
        <w:tc>
          <w:tcPr>
            <w:tcW w:w="1207" w:type="dxa"/>
            <w:vMerge/>
            <w:tcBorders>
              <w:top w:val="nil"/>
              <w:left w:val="single" w:sz="4" w:space="0" w:color="auto"/>
              <w:bottom w:val="single" w:sz="4" w:space="0" w:color="000000"/>
              <w:right w:val="single" w:sz="4" w:space="0" w:color="auto"/>
            </w:tcBorders>
            <w:vAlign w:val="center"/>
            <w:hideMark/>
          </w:tcPr>
          <w:p w14:paraId="10BF0BDC" w14:textId="77777777" w:rsidR="00F16EB8" w:rsidRPr="00B63409" w:rsidRDefault="00F16EB8" w:rsidP="00BE6FF5">
            <w:pPr>
              <w:spacing w:line="276" w:lineRule="auto"/>
              <w:rPr>
                <w:rFonts w:asciiTheme="minorHAnsi" w:hAnsiTheme="minorHAnsi" w:cstheme="minorHAnsi"/>
                <w:color w:val="000000"/>
                <w:sz w:val="18"/>
                <w:szCs w:val="18"/>
                <w:lang w:val="en-GB" w:eastAsia="en-GB"/>
              </w:rPr>
            </w:pPr>
          </w:p>
        </w:tc>
        <w:tc>
          <w:tcPr>
            <w:tcW w:w="676" w:type="dxa"/>
            <w:tcBorders>
              <w:top w:val="nil"/>
              <w:left w:val="nil"/>
              <w:bottom w:val="single" w:sz="4" w:space="0" w:color="auto"/>
              <w:right w:val="single" w:sz="4" w:space="0" w:color="auto"/>
            </w:tcBorders>
            <w:vAlign w:val="center"/>
            <w:hideMark/>
          </w:tcPr>
          <w:p w14:paraId="0C36BC4F" w14:textId="77777777" w:rsidR="00F16EB8" w:rsidRPr="00B63409" w:rsidRDefault="00F16EB8" w:rsidP="00BE6FF5">
            <w:pPr>
              <w:spacing w:line="276" w:lineRule="auto"/>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CB</w:t>
            </w:r>
          </w:p>
        </w:tc>
        <w:tc>
          <w:tcPr>
            <w:tcW w:w="987" w:type="dxa"/>
            <w:tcBorders>
              <w:top w:val="nil"/>
              <w:left w:val="nil"/>
              <w:bottom w:val="single" w:sz="4" w:space="0" w:color="auto"/>
              <w:right w:val="single" w:sz="4" w:space="0" w:color="auto"/>
            </w:tcBorders>
            <w:noWrap/>
            <w:vAlign w:val="bottom"/>
            <w:hideMark/>
          </w:tcPr>
          <w:p w14:paraId="2AE2DDD2"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19,556</w:t>
            </w:r>
          </w:p>
        </w:tc>
        <w:tc>
          <w:tcPr>
            <w:tcW w:w="882" w:type="dxa"/>
            <w:tcBorders>
              <w:top w:val="nil"/>
              <w:left w:val="nil"/>
              <w:bottom w:val="single" w:sz="4" w:space="0" w:color="auto"/>
              <w:right w:val="single" w:sz="4" w:space="0" w:color="auto"/>
            </w:tcBorders>
            <w:noWrap/>
            <w:vAlign w:val="bottom"/>
            <w:hideMark/>
          </w:tcPr>
          <w:p w14:paraId="5C6480D4"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3,413</w:t>
            </w:r>
          </w:p>
        </w:tc>
        <w:tc>
          <w:tcPr>
            <w:tcW w:w="1123" w:type="dxa"/>
            <w:tcBorders>
              <w:top w:val="nil"/>
              <w:left w:val="nil"/>
              <w:bottom w:val="single" w:sz="4" w:space="0" w:color="auto"/>
              <w:right w:val="single" w:sz="4" w:space="0" w:color="auto"/>
            </w:tcBorders>
            <w:noWrap/>
            <w:vAlign w:val="bottom"/>
            <w:hideMark/>
          </w:tcPr>
          <w:p w14:paraId="16AF200E"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10,421</w:t>
            </w:r>
          </w:p>
        </w:tc>
        <w:tc>
          <w:tcPr>
            <w:tcW w:w="1009" w:type="dxa"/>
            <w:tcBorders>
              <w:top w:val="nil"/>
              <w:left w:val="nil"/>
              <w:bottom w:val="single" w:sz="4" w:space="0" w:color="auto"/>
              <w:right w:val="single" w:sz="4" w:space="0" w:color="auto"/>
            </w:tcBorders>
            <w:noWrap/>
            <w:vAlign w:val="bottom"/>
            <w:hideMark/>
          </w:tcPr>
          <w:p w14:paraId="576D8729"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2,084</w:t>
            </w:r>
          </w:p>
        </w:tc>
        <w:tc>
          <w:tcPr>
            <w:tcW w:w="870" w:type="dxa"/>
            <w:tcBorders>
              <w:top w:val="nil"/>
              <w:left w:val="nil"/>
              <w:bottom w:val="single" w:sz="4" w:space="0" w:color="auto"/>
              <w:right w:val="single" w:sz="4" w:space="0" w:color="auto"/>
            </w:tcBorders>
            <w:noWrap/>
            <w:vAlign w:val="bottom"/>
            <w:hideMark/>
          </w:tcPr>
          <w:p w14:paraId="1FE71413"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2,489</w:t>
            </w:r>
          </w:p>
        </w:tc>
        <w:tc>
          <w:tcPr>
            <w:tcW w:w="719" w:type="dxa"/>
            <w:tcBorders>
              <w:top w:val="nil"/>
              <w:left w:val="nil"/>
              <w:bottom w:val="single" w:sz="4" w:space="0" w:color="auto"/>
              <w:right w:val="single" w:sz="4" w:space="0" w:color="auto"/>
            </w:tcBorders>
            <w:noWrap/>
            <w:vAlign w:val="bottom"/>
            <w:hideMark/>
          </w:tcPr>
          <w:p w14:paraId="7EF9F11E"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498</w:t>
            </w:r>
          </w:p>
        </w:tc>
        <w:tc>
          <w:tcPr>
            <w:tcW w:w="810" w:type="dxa"/>
            <w:tcBorders>
              <w:top w:val="nil"/>
              <w:left w:val="nil"/>
              <w:bottom w:val="single" w:sz="4" w:space="0" w:color="auto"/>
              <w:right w:val="single" w:sz="4" w:space="0" w:color="auto"/>
            </w:tcBorders>
            <w:noWrap/>
            <w:vAlign w:val="bottom"/>
            <w:hideMark/>
          </w:tcPr>
          <w:p w14:paraId="55A41265"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5,400</w:t>
            </w:r>
          </w:p>
        </w:tc>
        <w:tc>
          <w:tcPr>
            <w:tcW w:w="719" w:type="dxa"/>
            <w:tcBorders>
              <w:top w:val="nil"/>
              <w:left w:val="nil"/>
              <w:bottom w:val="single" w:sz="4" w:space="0" w:color="auto"/>
              <w:right w:val="single" w:sz="4" w:space="0" w:color="auto"/>
            </w:tcBorders>
            <w:noWrap/>
            <w:vAlign w:val="bottom"/>
            <w:hideMark/>
          </w:tcPr>
          <w:p w14:paraId="12628855"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1,080</w:t>
            </w:r>
          </w:p>
        </w:tc>
        <w:tc>
          <w:tcPr>
            <w:tcW w:w="719" w:type="dxa"/>
            <w:tcBorders>
              <w:top w:val="nil"/>
              <w:left w:val="nil"/>
              <w:bottom w:val="single" w:sz="4" w:space="0" w:color="auto"/>
              <w:right w:val="single" w:sz="4" w:space="0" w:color="auto"/>
            </w:tcBorders>
            <w:noWrap/>
            <w:vAlign w:val="bottom"/>
            <w:hideMark/>
          </w:tcPr>
          <w:p w14:paraId="6914DDF9"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1,246</w:t>
            </w:r>
          </w:p>
        </w:tc>
        <w:tc>
          <w:tcPr>
            <w:tcW w:w="739" w:type="dxa"/>
            <w:tcBorders>
              <w:top w:val="nil"/>
              <w:left w:val="nil"/>
              <w:bottom w:val="single" w:sz="4" w:space="0" w:color="auto"/>
              <w:right w:val="single" w:sz="4" w:space="0" w:color="auto"/>
            </w:tcBorders>
            <w:noWrap/>
            <w:vAlign w:val="bottom"/>
            <w:hideMark/>
          </w:tcPr>
          <w:p w14:paraId="60948308"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249</w:t>
            </w:r>
          </w:p>
        </w:tc>
      </w:tr>
      <w:tr w:rsidR="00F16EB8" w:rsidRPr="00B63409" w14:paraId="6868E12E" w14:textId="77777777" w:rsidTr="00BE6FF5">
        <w:trPr>
          <w:trHeight w:val="300"/>
        </w:trPr>
        <w:tc>
          <w:tcPr>
            <w:tcW w:w="1207" w:type="dxa"/>
            <w:vMerge w:val="restart"/>
            <w:tcBorders>
              <w:top w:val="nil"/>
              <w:left w:val="single" w:sz="4" w:space="0" w:color="auto"/>
              <w:bottom w:val="single" w:sz="4" w:space="0" w:color="000000"/>
              <w:right w:val="single" w:sz="4" w:space="0" w:color="auto"/>
            </w:tcBorders>
            <w:vAlign w:val="center"/>
            <w:hideMark/>
          </w:tcPr>
          <w:p w14:paraId="3AF90C96" w14:textId="77777777" w:rsidR="00F16EB8" w:rsidRPr="00B63409" w:rsidRDefault="00F16EB8" w:rsidP="00BE6FF5">
            <w:pPr>
              <w:spacing w:line="276" w:lineRule="auto"/>
              <w:rPr>
                <w:rFonts w:asciiTheme="minorHAnsi" w:hAnsiTheme="minorHAnsi" w:cstheme="minorHAnsi"/>
                <w:color w:val="000000"/>
                <w:sz w:val="18"/>
                <w:szCs w:val="18"/>
                <w:lang w:val="en-GB" w:eastAsia="en-GB"/>
              </w:rPr>
            </w:pPr>
            <w:proofErr w:type="spellStart"/>
            <w:r w:rsidRPr="00B63409">
              <w:rPr>
                <w:rFonts w:asciiTheme="minorHAnsi" w:hAnsiTheme="minorHAnsi" w:cstheme="minorHAnsi"/>
                <w:color w:val="000000"/>
                <w:sz w:val="18"/>
                <w:szCs w:val="18"/>
                <w:lang w:val="en-GB" w:eastAsia="en-GB"/>
              </w:rPr>
              <w:t>Transferuri</w:t>
            </w:r>
            <w:proofErr w:type="spellEnd"/>
          </w:p>
        </w:tc>
        <w:tc>
          <w:tcPr>
            <w:tcW w:w="676" w:type="dxa"/>
            <w:tcBorders>
              <w:top w:val="nil"/>
              <w:left w:val="nil"/>
              <w:bottom w:val="single" w:sz="4" w:space="0" w:color="auto"/>
              <w:right w:val="single" w:sz="4" w:space="0" w:color="auto"/>
            </w:tcBorders>
            <w:vAlign w:val="center"/>
            <w:hideMark/>
          </w:tcPr>
          <w:p w14:paraId="7F64A6A9" w14:textId="77777777" w:rsidR="00F16EB8" w:rsidRPr="00B63409" w:rsidRDefault="00F16EB8" w:rsidP="00BE6FF5">
            <w:pPr>
              <w:spacing w:line="276" w:lineRule="auto"/>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CA</w:t>
            </w:r>
          </w:p>
        </w:tc>
        <w:tc>
          <w:tcPr>
            <w:tcW w:w="987" w:type="dxa"/>
            <w:tcBorders>
              <w:top w:val="nil"/>
              <w:left w:val="nil"/>
              <w:bottom w:val="single" w:sz="4" w:space="0" w:color="auto"/>
              <w:right w:val="single" w:sz="4" w:space="0" w:color="auto"/>
            </w:tcBorders>
            <w:noWrap/>
            <w:vAlign w:val="bottom"/>
            <w:hideMark/>
          </w:tcPr>
          <w:p w14:paraId="535AAF3C"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16</w:t>
            </w:r>
          </w:p>
        </w:tc>
        <w:tc>
          <w:tcPr>
            <w:tcW w:w="882" w:type="dxa"/>
            <w:tcBorders>
              <w:top w:val="nil"/>
              <w:left w:val="nil"/>
              <w:bottom w:val="single" w:sz="4" w:space="0" w:color="auto"/>
              <w:right w:val="single" w:sz="4" w:space="0" w:color="auto"/>
            </w:tcBorders>
            <w:noWrap/>
            <w:vAlign w:val="bottom"/>
            <w:hideMark/>
          </w:tcPr>
          <w:p w14:paraId="590164CA"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w:t>
            </w:r>
          </w:p>
        </w:tc>
        <w:tc>
          <w:tcPr>
            <w:tcW w:w="1123" w:type="dxa"/>
            <w:tcBorders>
              <w:top w:val="nil"/>
              <w:left w:val="nil"/>
              <w:bottom w:val="single" w:sz="4" w:space="0" w:color="auto"/>
              <w:right w:val="single" w:sz="4" w:space="0" w:color="auto"/>
            </w:tcBorders>
            <w:noWrap/>
            <w:vAlign w:val="bottom"/>
            <w:hideMark/>
          </w:tcPr>
          <w:p w14:paraId="25848AFA"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1009" w:type="dxa"/>
            <w:tcBorders>
              <w:top w:val="nil"/>
              <w:left w:val="nil"/>
              <w:bottom w:val="single" w:sz="4" w:space="0" w:color="auto"/>
              <w:right w:val="single" w:sz="4" w:space="0" w:color="auto"/>
            </w:tcBorders>
            <w:noWrap/>
            <w:vAlign w:val="bottom"/>
            <w:hideMark/>
          </w:tcPr>
          <w:p w14:paraId="68D45A61"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870" w:type="dxa"/>
            <w:tcBorders>
              <w:top w:val="nil"/>
              <w:left w:val="nil"/>
              <w:bottom w:val="single" w:sz="4" w:space="0" w:color="auto"/>
              <w:right w:val="single" w:sz="4" w:space="0" w:color="auto"/>
            </w:tcBorders>
            <w:noWrap/>
            <w:vAlign w:val="bottom"/>
            <w:hideMark/>
          </w:tcPr>
          <w:p w14:paraId="359C38F8"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19" w:type="dxa"/>
            <w:tcBorders>
              <w:top w:val="nil"/>
              <w:left w:val="nil"/>
              <w:bottom w:val="single" w:sz="4" w:space="0" w:color="auto"/>
              <w:right w:val="single" w:sz="4" w:space="0" w:color="auto"/>
            </w:tcBorders>
            <w:noWrap/>
            <w:vAlign w:val="bottom"/>
            <w:hideMark/>
          </w:tcPr>
          <w:p w14:paraId="454253FE"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810" w:type="dxa"/>
            <w:tcBorders>
              <w:top w:val="nil"/>
              <w:left w:val="nil"/>
              <w:bottom w:val="single" w:sz="4" w:space="0" w:color="auto"/>
              <w:right w:val="single" w:sz="4" w:space="0" w:color="auto"/>
            </w:tcBorders>
            <w:noWrap/>
            <w:vAlign w:val="bottom"/>
            <w:hideMark/>
          </w:tcPr>
          <w:p w14:paraId="1C9CFF35"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16</w:t>
            </w:r>
          </w:p>
        </w:tc>
        <w:tc>
          <w:tcPr>
            <w:tcW w:w="719" w:type="dxa"/>
            <w:tcBorders>
              <w:top w:val="nil"/>
              <w:left w:val="nil"/>
              <w:bottom w:val="single" w:sz="4" w:space="0" w:color="auto"/>
              <w:right w:val="single" w:sz="4" w:space="0" w:color="auto"/>
            </w:tcBorders>
            <w:noWrap/>
            <w:vAlign w:val="bottom"/>
            <w:hideMark/>
          </w:tcPr>
          <w:p w14:paraId="4DF7561E"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w:t>
            </w:r>
          </w:p>
        </w:tc>
        <w:tc>
          <w:tcPr>
            <w:tcW w:w="719" w:type="dxa"/>
            <w:tcBorders>
              <w:top w:val="nil"/>
              <w:left w:val="nil"/>
              <w:bottom w:val="single" w:sz="4" w:space="0" w:color="auto"/>
              <w:right w:val="single" w:sz="4" w:space="0" w:color="auto"/>
            </w:tcBorders>
            <w:noWrap/>
            <w:vAlign w:val="bottom"/>
            <w:hideMark/>
          </w:tcPr>
          <w:p w14:paraId="24AF89C7"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39" w:type="dxa"/>
            <w:tcBorders>
              <w:top w:val="nil"/>
              <w:left w:val="nil"/>
              <w:bottom w:val="single" w:sz="4" w:space="0" w:color="auto"/>
              <w:right w:val="single" w:sz="4" w:space="0" w:color="auto"/>
            </w:tcBorders>
            <w:noWrap/>
            <w:vAlign w:val="bottom"/>
            <w:hideMark/>
          </w:tcPr>
          <w:p w14:paraId="7D4558B4"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r>
      <w:tr w:rsidR="00F16EB8" w:rsidRPr="00B63409" w14:paraId="7B8EA7FD" w14:textId="77777777" w:rsidTr="00BE6FF5">
        <w:trPr>
          <w:trHeight w:val="300"/>
        </w:trPr>
        <w:tc>
          <w:tcPr>
            <w:tcW w:w="1207" w:type="dxa"/>
            <w:vMerge/>
            <w:tcBorders>
              <w:top w:val="nil"/>
              <w:left w:val="single" w:sz="4" w:space="0" w:color="auto"/>
              <w:bottom w:val="single" w:sz="4" w:space="0" w:color="000000"/>
              <w:right w:val="single" w:sz="4" w:space="0" w:color="auto"/>
            </w:tcBorders>
            <w:vAlign w:val="center"/>
            <w:hideMark/>
          </w:tcPr>
          <w:p w14:paraId="1A93A237" w14:textId="77777777" w:rsidR="00F16EB8" w:rsidRPr="00B63409" w:rsidRDefault="00F16EB8" w:rsidP="00BE6FF5">
            <w:pPr>
              <w:spacing w:line="276" w:lineRule="auto"/>
              <w:rPr>
                <w:rFonts w:asciiTheme="minorHAnsi" w:hAnsiTheme="minorHAnsi" w:cstheme="minorHAnsi"/>
                <w:color w:val="000000"/>
                <w:sz w:val="18"/>
                <w:szCs w:val="18"/>
                <w:lang w:val="en-GB" w:eastAsia="en-GB"/>
              </w:rPr>
            </w:pPr>
          </w:p>
        </w:tc>
        <w:tc>
          <w:tcPr>
            <w:tcW w:w="676" w:type="dxa"/>
            <w:tcBorders>
              <w:top w:val="nil"/>
              <w:left w:val="nil"/>
              <w:bottom w:val="single" w:sz="4" w:space="0" w:color="auto"/>
              <w:right w:val="single" w:sz="4" w:space="0" w:color="auto"/>
            </w:tcBorders>
            <w:vAlign w:val="center"/>
            <w:hideMark/>
          </w:tcPr>
          <w:p w14:paraId="2CC2DF2A" w14:textId="77777777" w:rsidR="00F16EB8" w:rsidRPr="00B63409" w:rsidRDefault="00F16EB8" w:rsidP="00BE6FF5">
            <w:pPr>
              <w:spacing w:line="276" w:lineRule="auto"/>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CB</w:t>
            </w:r>
          </w:p>
        </w:tc>
        <w:tc>
          <w:tcPr>
            <w:tcW w:w="987" w:type="dxa"/>
            <w:tcBorders>
              <w:top w:val="nil"/>
              <w:left w:val="nil"/>
              <w:bottom w:val="single" w:sz="4" w:space="0" w:color="auto"/>
              <w:right w:val="single" w:sz="4" w:space="0" w:color="auto"/>
            </w:tcBorders>
            <w:noWrap/>
            <w:vAlign w:val="bottom"/>
            <w:hideMark/>
          </w:tcPr>
          <w:p w14:paraId="4AF8172A"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16</w:t>
            </w:r>
          </w:p>
        </w:tc>
        <w:tc>
          <w:tcPr>
            <w:tcW w:w="882" w:type="dxa"/>
            <w:tcBorders>
              <w:top w:val="nil"/>
              <w:left w:val="nil"/>
              <w:bottom w:val="single" w:sz="4" w:space="0" w:color="auto"/>
              <w:right w:val="single" w:sz="4" w:space="0" w:color="auto"/>
            </w:tcBorders>
            <w:noWrap/>
            <w:vAlign w:val="bottom"/>
            <w:hideMark/>
          </w:tcPr>
          <w:p w14:paraId="2A9D75FC"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w:t>
            </w:r>
          </w:p>
        </w:tc>
        <w:tc>
          <w:tcPr>
            <w:tcW w:w="1123" w:type="dxa"/>
            <w:tcBorders>
              <w:top w:val="nil"/>
              <w:left w:val="nil"/>
              <w:bottom w:val="single" w:sz="4" w:space="0" w:color="auto"/>
              <w:right w:val="single" w:sz="4" w:space="0" w:color="auto"/>
            </w:tcBorders>
            <w:noWrap/>
            <w:vAlign w:val="bottom"/>
            <w:hideMark/>
          </w:tcPr>
          <w:p w14:paraId="75C40236"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1009" w:type="dxa"/>
            <w:tcBorders>
              <w:top w:val="nil"/>
              <w:left w:val="nil"/>
              <w:bottom w:val="single" w:sz="4" w:space="0" w:color="auto"/>
              <w:right w:val="single" w:sz="4" w:space="0" w:color="auto"/>
            </w:tcBorders>
            <w:noWrap/>
            <w:vAlign w:val="bottom"/>
            <w:hideMark/>
          </w:tcPr>
          <w:p w14:paraId="7B95BE43"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870" w:type="dxa"/>
            <w:tcBorders>
              <w:top w:val="nil"/>
              <w:left w:val="nil"/>
              <w:bottom w:val="single" w:sz="4" w:space="0" w:color="auto"/>
              <w:right w:val="single" w:sz="4" w:space="0" w:color="auto"/>
            </w:tcBorders>
            <w:noWrap/>
            <w:vAlign w:val="bottom"/>
            <w:hideMark/>
          </w:tcPr>
          <w:p w14:paraId="3AB0F8DE"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19" w:type="dxa"/>
            <w:tcBorders>
              <w:top w:val="nil"/>
              <w:left w:val="nil"/>
              <w:bottom w:val="single" w:sz="4" w:space="0" w:color="auto"/>
              <w:right w:val="single" w:sz="4" w:space="0" w:color="auto"/>
            </w:tcBorders>
            <w:noWrap/>
            <w:vAlign w:val="bottom"/>
            <w:hideMark/>
          </w:tcPr>
          <w:p w14:paraId="32481F1C"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810" w:type="dxa"/>
            <w:tcBorders>
              <w:top w:val="nil"/>
              <w:left w:val="nil"/>
              <w:bottom w:val="single" w:sz="4" w:space="0" w:color="auto"/>
              <w:right w:val="single" w:sz="4" w:space="0" w:color="auto"/>
            </w:tcBorders>
            <w:noWrap/>
            <w:vAlign w:val="bottom"/>
            <w:hideMark/>
          </w:tcPr>
          <w:p w14:paraId="13DE536F"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16</w:t>
            </w:r>
          </w:p>
        </w:tc>
        <w:tc>
          <w:tcPr>
            <w:tcW w:w="719" w:type="dxa"/>
            <w:tcBorders>
              <w:top w:val="nil"/>
              <w:left w:val="nil"/>
              <w:bottom w:val="single" w:sz="4" w:space="0" w:color="auto"/>
              <w:right w:val="single" w:sz="4" w:space="0" w:color="auto"/>
            </w:tcBorders>
            <w:noWrap/>
            <w:vAlign w:val="bottom"/>
            <w:hideMark/>
          </w:tcPr>
          <w:p w14:paraId="53339021"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w:t>
            </w:r>
          </w:p>
        </w:tc>
        <w:tc>
          <w:tcPr>
            <w:tcW w:w="719" w:type="dxa"/>
            <w:tcBorders>
              <w:top w:val="nil"/>
              <w:left w:val="nil"/>
              <w:bottom w:val="single" w:sz="4" w:space="0" w:color="auto"/>
              <w:right w:val="single" w:sz="4" w:space="0" w:color="auto"/>
            </w:tcBorders>
            <w:noWrap/>
            <w:vAlign w:val="bottom"/>
            <w:hideMark/>
          </w:tcPr>
          <w:p w14:paraId="7C2D34C6"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39" w:type="dxa"/>
            <w:tcBorders>
              <w:top w:val="nil"/>
              <w:left w:val="nil"/>
              <w:bottom w:val="single" w:sz="4" w:space="0" w:color="auto"/>
              <w:right w:val="single" w:sz="4" w:space="0" w:color="auto"/>
            </w:tcBorders>
            <w:noWrap/>
            <w:vAlign w:val="bottom"/>
            <w:hideMark/>
          </w:tcPr>
          <w:p w14:paraId="6D4E9A9F"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r>
      <w:tr w:rsidR="00F16EB8" w:rsidRPr="00B63409" w14:paraId="0DACE79E" w14:textId="77777777" w:rsidTr="00BE6FF5">
        <w:trPr>
          <w:trHeight w:val="300"/>
        </w:trPr>
        <w:tc>
          <w:tcPr>
            <w:tcW w:w="1207" w:type="dxa"/>
            <w:vMerge w:val="restart"/>
            <w:tcBorders>
              <w:top w:val="nil"/>
              <w:left w:val="single" w:sz="4" w:space="0" w:color="auto"/>
              <w:bottom w:val="single" w:sz="4" w:space="0" w:color="000000"/>
              <w:right w:val="single" w:sz="4" w:space="0" w:color="auto"/>
            </w:tcBorders>
            <w:vAlign w:val="center"/>
            <w:hideMark/>
          </w:tcPr>
          <w:p w14:paraId="2ACF9A36" w14:textId="77777777" w:rsidR="00F16EB8" w:rsidRPr="00B63409" w:rsidRDefault="00F16EB8" w:rsidP="00BE6FF5">
            <w:pPr>
              <w:spacing w:line="276" w:lineRule="auto"/>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 xml:space="preserve">Alte </w:t>
            </w:r>
            <w:proofErr w:type="spellStart"/>
            <w:r w:rsidRPr="00B63409">
              <w:rPr>
                <w:rFonts w:asciiTheme="minorHAnsi" w:hAnsiTheme="minorHAnsi" w:cstheme="minorHAnsi"/>
                <w:color w:val="000000"/>
                <w:sz w:val="18"/>
                <w:szCs w:val="18"/>
                <w:lang w:val="en-GB" w:eastAsia="en-GB"/>
              </w:rPr>
              <w:t>transferuri</w:t>
            </w:r>
            <w:proofErr w:type="spellEnd"/>
          </w:p>
        </w:tc>
        <w:tc>
          <w:tcPr>
            <w:tcW w:w="676" w:type="dxa"/>
            <w:tcBorders>
              <w:top w:val="nil"/>
              <w:left w:val="nil"/>
              <w:bottom w:val="single" w:sz="4" w:space="0" w:color="auto"/>
              <w:right w:val="single" w:sz="4" w:space="0" w:color="auto"/>
            </w:tcBorders>
            <w:vAlign w:val="center"/>
            <w:hideMark/>
          </w:tcPr>
          <w:p w14:paraId="795BC27C" w14:textId="77777777" w:rsidR="00F16EB8" w:rsidRPr="00B63409" w:rsidRDefault="00F16EB8" w:rsidP="00BE6FF5">
            <w:pPr>
              <w:spacing w:line="276" w:lineRule="auto"/>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CA</w:t>
            </w:r>
          </w:p>
        </w:tc>
        <w:tc>
          <w:tcPr>
            <w:tcW w:w="987" w:type="dxa"/>
            <w:tcBorders>
              <w:top w:val="nil"/>
              <w:left w:val="nil"/>
              <w:bottom w:val="single" w:sz="4" w:space="0" w:color="auto"/>
              <w:right w:val="single" w:sz="4" w:space="0" w:color="auto"/>
            </w:tcBorders>
            <w:noWrap/>
            <w:vAlign w:val="bottom"/>
            <w:hideMark/>
          </w:tcPr>
          <w:p w14:paraId="50410A14"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93</w:t>
            </w:r>
          </w:p>
        </w:tc>
        <w:tc>
          <w:tcPr>
            <w:tcW w:w="882" w:type="dxa"/>
            <w:tcBorders>
              <w:top w:val="nil"/>
              <w:left w:val="nil"/>
              <w:bottom w:val="single" w:sz="4" w:space="0" w:color="auto"/>
              <w:right w:val="single" w:sz="4" w:space="0" w:color="auto"/>
            </w:tcBorders>
            <w:noWrap/>
            <w:vAlign w:val="bottom"/>
            <w:hideMark/>
          </w:tcPr>
          <w:p w14:paraId="6A2C84FE"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18</w:t>
            </w:r>
          </w:p>
        </w:tc>
        <w:tc>
          <w:tcPr>
            <w:tcW w:w="1123" w:type="dxa"/>
            <w:tcBorders>
              <w:top w:val="nil"/>
              <w:left w:val="nil"/>
              <w:bottom w:val="single" w:sz="4" w:space="0" w:color="auto"/>
              <w:right w:val="single" w:sz="4" w:space="0" w:color="auto"/>
            </w:tcBorders>
            <w:noWrap/>
            <w:vAlign w:val="bottom"/>
            <w:hideMark/>
          </w:tcPr>
          <w:p w14:paraId="48F6FB69"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67</w:t>
            </w:r>
          </w:p>
        </w:tc>
        <w:tc>
          <w:tcPr>
            <w:tcW w:w="1009" w:type="dxa"/>
            <w:tcBorders>
              <w:top w:val="nil"/>
              <w:left w:val="nil"/>
              <w:bottom w:val="single" w:sz="4" w:space="0" w:color="auto"/>
              <w:right w:val="single" w:sz="4" w:space="0" w:color="auto"/>
            </w:tcBorders>
            <w:noWrap/>
            <w:vAlign w:val="bottom"/>
            <w:hideMark/>
          </w:tcPr>
          <w:p w14:paraId="4617BDA4"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13</w:t>
            </w:r>
          </w:p>
        </w:tc>
        <w:tc>
          <w:tcPr>
            <w:tcW w:w="870" w:type="dxa"/>
            <w:tcBorders>
              <w:top w:val="nil"/>
              <w:left w:val="nil"/>
              <w:bottom w:val="single" w:sz="4" w:space="0" w:color="auto"/>
              <w:right w:val="single" w:sz="4" w:space="0" w:color="auto"/>
            </w:tcBorders>
            <w:noWrap/>
            <w:vAlign w:val="bottom"/>
            <w:hideMark/>
          </w:tcPr>
          <w:p w14:paraId="17D315E5"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19" w:type="dxa"/>
            <w:tcBorders>
              <w:top w:val="nil"/>
              <w:left w:val="nil"/>
              <w:bottom w:val="single" w:sz="4" w:space="0" w:color="auto"/>
              <w:right w:val="single" w:sz="4" w:space="0" w:color="auto"/>
            </w:tcBorders>
            <w:noWrap/>
            <w:vAlign w:val="bottom"/>
            <w:hideMark/>
          </w:tcPr>
          <w:p w14:paraId="17FBB973"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810" w:type="dxa"/>
            <w:tcBorders>
              <w:top w:val="nil"/>
              <w:left w:val="nil"/>
              <w:bottom w:val="single" w:sz="4" w:space="0" w:color="auto"/>
              <w:right w:val="single" w:sz="4" w:space="0" w:color="auto"/>
            </w:tcBorders>
            <w:noWrap/>
            <w:vAlign w:val="bottom"/>
            <w:hideMark/>
          </w:tcPr>
          <w:p w14:paraId="2F0640A7"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26</w:t>
            </w:r>
          </w:p>
        </w:tc>
        <w:tc>
          <w:tcPr>
            <w:tcW w:w="719" w:type="dxa"/>
            <w:tcBorders>
              <w:top w:val="nil"/>
              <w:left w:val="nil"/>
              <w:bottom w:val="single" w:sz="4" w:space="0" w:color="auto"/>
              <w:right w:val="single" w:sz="4" w:space="0" w:color="auto"/>
            </w:tcBorders>
            <w:noWrap/>
            <w:vAlign w:val="bottom"/>
            <w:hideMark/>
          </w:tcPr>
          <w:p w14:paraId="1DEB1246"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w:t>
            </w:r>
          </w:p>
        </w:tc>
        <w:tc>
          <w:tcPr>
            <w:tcW w:w="719" w:type="dxa"/>
            <w:tcBorders>
              <w:top w:val="nil"/>
              <w:left w:val="nil"/>
              <w:bottom w:val="single" w:sz="4" w:space="0" w:color="auto"/>
              <w:right w:val="single" w:sz="4" w:space="0" w:color="auto"/>
            </w:tcBorders>
            <w:noWrap/>
            <w:vAlign w:val="bottom"/>
            <w:hideMark/>
          </w:tcPr>
          <w:p w14:paraId="5E28C578"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39" w:type="dxa"/>
            <w:tcBorders>
              <w:top w:val="nil"/>
              <w:left w:val="nil"/>
              <w:bottom w:val="single" w:sz="4" w:space="0" w:color="auto"/>
              <w:right w:val="single" w:sz="4" w:space="0" w:color="auto"/>
            </w:tcBorders>
            <w:noWrap/>
            <w:vAlign w:val="bottom"/>
            <w:hideMark/>
          </w:tcPr>
          <w:p w14:paraId="5D2C75B7"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r>
      <w:tr w:rsidR="00F16EB8" w:rsidRPr="00B63409" w14:paraId="0D6CD36A" w14:textId="77777777" w:rsidTr="00BE6FF5">
        <w:trPr>
          <w:trHeight w:val="300"/>
        </w:trPr>
        <w:tc>
          <w:tcPr>
            <w:tcW w:w="1207" w:type="dxa"/>
            <w:vMerge/>
            <w:tcBorders>
              <w:top w:val="nil"/>
              <w:left w:val="single" w:sz="4" w:space="0" w:color="auto"/>
              <w:bottom w:val="single" w:sz="4" w:space="0" w:color="000000"/>
              <w:right w:val="single" w:sz="4" w:space="0" w:color="auto"/>
            </w:tcBorders>
            <w:vAlign w:val="center"/>
            <w:hideMark/>
          </w:tcPr>
          <w:p w14:paraId="3D3E4EB9" w14:textId="77777777" w:rsidR="00F16EB8" w:rsidRPr="00B63409" w:rsidRDefault="00F16EB8" w:rsidP="00BE6FF5">
            <w:pPr>
              <w:spacing w:line="276" w:lineRule="auto"/>
              <w:rPr>
                <w:rFonts w:asciiTheme="minorHAnsi" w:hAnsiTheme="minorHAnsi" w:cstheme="minorHAnsi"/>
                <w:color w:val="000000"/>
                <w:sz w:val="18"/>
                <w:szCs w:val="18"/>
                <w:lang w:val="en-GB" w:eastAsia="en-GB"/>
              </w:rPr>
            </w:pPr>
          </w:p>
        </w:tc>
        <w:tc>
          <w:tcPr>
            <w:tcW w:w="676" w:type="dxa"/>
            <w:tcBorders>
              <w:top w:val="nil"/>
              <w:left w:val="nil"/>
              <w:bottom w:val="single" w:sz="4" w:space="0" w:color="auto"/>
              <w:right w:val="single" w:sz="4" w:space="0" w:color="auto"/>
            </w:tcBorders>
            <w:vAlign w:val="center"/>
            <w:hideMark/>
          </w:tcPr>
          <w:p w14:paraId="1A5EDD23" w14:textId="77777777" w:rsidR="00F16EB8" w:rsidRPr="00B63409" w:rsidRDefault="00F16EB8" w:rsidP="00BE6FF5">
            <w:pPr>
              <w:spacing w:line="276" w:lineRule="auto"/>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CB</w:t>
            </w:r>
          </w:p>
        </w:tc>
        <w:tc>
          <w:tcPr>
            <w:tcW w:w="987" w:type="dxa"/>
            <w:tcBorders>
              <w:top w:val="nil"/>
              <w:left w:val="nil"/>
              <w:bottom w:val="single" w:sz="4" w:space="0" w:color="auto"/>
              <w:right w:val="single" w:sz="4" w:space="0" w:color="auto"/>
            </w:tcBorders>
            <w:noWrap/>
            <w:vAlign w:val="bottom"/>
            <w:hideMark/>
          </w:tcPr>
          <w:p w14:paraId="44563798"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93</w:t>
            </w:r>
          </w:p>
        </w:tc>
        <w:tc>
          <w:tcPr>
            <w:tcW w:w="882" w:type="dxa"/>
            <w:tcBorders>
              <w:top w:val="nil"/>
              <w:left w:val="nil"/>
              <w:bottom w:val="single" w:sz="4" w:space="0" w:color="auto"/>
              <w:right w:val="single" w:sz="4" w:space="0" w:color="auto"/>
            </w:tcBorders>
            <w:noWrap/>
            <w:vAlign w:val="bottom"/>
            <w:hideMark/>
          </w:tcPr>
          <w:p w14:paraId="3A9F9EAE"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18</w:t>
            </w:r>
          </w:p>
        </w:tc>
        <w:tc>
          <w:tcPr>
            <w:tcW w:w="1123" w:type="dxa"/>
            <w:tcBorders>
              <w:top w:val="nil"/>
              <w:left w:val="nil"/>
              <w:bottom w:val="single" w:sz="4" w:space="0" w:color="auto"/>
              <w:right w:val="single" w:sz="4" w:space="0" w:color="auto"/>
            </w:tcBorders>
            <w:noWrap/>
            <w:vAlign w:val="bottom"/>
            <w:hideMark/>
          </w:tcPr>
          <w:p w14:paraId="18975899"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67</w:t>
            </w:r>
          </w:p>
        </w:tc>
        <w:tc>
          <w:tcPr>
            <w:tcW w:w="1009" w:type="dxa"/>
            <w:tcBorders>
              <w:top w:val="nil"/>
              <w:left w:val="nil"/>
              <w:bottom w:val="single" w:sz="4" w:space="0" w:color="auto"/>
              <w:right w:val="single" w:sz="4" w:space="0" w:color="auto"/>
            </w:tcBorders>
            <w:noWrap/>
            <w:vAlign w:val="bottom"/>
            <w:hideMark/>
          </w:tcPr>
          <w:p w14:paraId="012EA1D4"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13</w:t>
            </w:r>
          </w:p>
        </w:tc>
        <w:tc>
          <w:tcPr>
            <w:tcW w:w="870" w:type="dxa"/>
            <w:tcBorders>
              <w:top w:val="nil"/>
              <w:left w:val="nil"/>
              <w:bottom w:val="single" w:sz="4" w:space="0" w:color="auto"/>
              <w:right w:val="single" w:sz="4" w:space="0" w:color="auto"/>
            </w:tcBorders>
            <w:noWrap/>
            <w:vAlign w:val="bottom"/>
            <w:hideMark/>
          </w:tcPr>
          <w:p w14:paraId="7502F6FD"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19" w:type="dxa"/>
            <w:tcBorders>
              <w:top w:val="nil"/>
              <w:left w:val="nil"/>
              <w:bottom w:val="single" w:sz="4" w:space="0" w:color="auto"/>
              <w:right w:val="single" w:sz="4" w:space="0" w:color="auto"/>
            </w:tcBorders>
            <w:noWrap/>
            <w:vAlign w:val="bottom"/>
            <w:hideMark/>
          </w:tcPr>
          <w:p w14:paraId="0DCA31DD"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810" w:type="dxa"/>
            <w:tcBorders>
              <w:top w:val="nil"/>
              <w:left w:val="nil"/>
              <w:bottom w:val="single" w:sz="4" w:space="0" w:color="auto"/>
              <w:right w:val="single" w:sz="4" w:space="0" w:color="auto"/>
            </w:tcBorders>
            <w:noWrap/>
            <w:vAlign w:val="bottom"/>
            <w:hideMark/>
          </w:tcPr>
          <w:p w14:paraId="20E7A428"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26</w:t>
            </w:r>
          </w:p>
        </w:tc>
        <w:tc>
          <w:tcPr>
            <w:tcW w:w="719" w:type="dxa"/>
            <w:tcBorders>
              <w:top w:val="nil"/>
              <w:left w:val="nil"/>
              <w:bottom w:val="single" w:sz="4" w:space="0" w:color="auto"/>
              <w:right w:val="single" w:sz="4" w:space="0" w:color="auto"/>
            </w:tcBorders>
            <w:noWrap/>
            <w:vAlign w:val="bottom"/>
            <w:hideMark/>
          </w:tcPr>
          <w:p w14:paraId="71916733"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w:t>
            </w:r>
          </w:p>
        </w:tc>
        <w:tc>
          <w:tcPr>
            <w:tcW w:w="719" w:type="dxa"/>
            <w:tcBorders>
              <w:top w:val="nil"/>
              <w:left w:val="nil"/>
              <w:bottom w:val="single" w:sz="4" w:space="0" w:color="auto"/>
              <w:right w:val="single" w:sz="4" w:space="0" w:color="auto"/>
            </w:tcBorders>
            <w:noWrap/>
            <w:vAlign w:val="bottom"/>
            <w:hideMark/>
          </w:tcPr>
          <w:p w14:paraId="7230F31B"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39" w:type="dxa"/>
            <w:tcBorders>
              <w:top w:val="nil"/>
              <w:left w:val="nil"/>
              <w:bottom w:val="single" w:sz="4" w:space="0" w:color="auto"/>
              <w:right w:val="single" w:sz="4" w:space="0" w:color="auto"/>
            </w:tcBorders>
            <w:noWrap/>
            <w:vAlign w:val="bottom"/>
            <w:hideMark/>
          </w:tcPr>
          <w:p w14:paraId="5AEB3C15"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r>
      <w:tr w:rsidR="00F16EB8" w:rsidRPr="00B63409" w14:paraId="09668746" w14:textId="77777777" w:rsidTr="00BE6FF5">
        <w:trPr>
          <w:trHeight w:val="300"/>
        </w:trPr>
        <w:tc>
          <w:tcPr>
            <w:tcW w:w="1207" w:type="dxa"/>
            <w:vMerge w:val="restart"/>
            <w:tcBorders>
              <w:top w:val="nil"/>
              <w:left w:val="single" w:sz="4" w:space="0" w:color="auto"/>
              <w:bottom w:val="single" w:sz="4" w:space="0" w:color="000000"/>
              <w:right w:val="single" w:sz="4" w:space="0" w:color="auto"/>
            </w:tcBorders>
            <w:vAlign w:val="center"/>
            <w:hideMark/>
          </w:tcPr>
          <w:p w14:paraId="22F73E8F" w14:textId="77777777" w:rsidR="00F16EB8" w:rsidRPr="007A322D" w:rsidRDefault="00F16EB8" w:rsidP="00BE6FF5">
            <w:pPr>
              <w:spacing w:line="276" w:lineRule="auto"/>
              <w:rPr>
                <w:rFonts w:asciiTheme="minorHAnsi" w:hAnsiTheme="minorHAnsi" w:cstheme="minorHAnsi"/>
                <w:color w:val="000000"/>
                <w:sz w:val="18"/>
                <w:szCs w:val="18"/>
                <w:lang w:val="fr-FR" w:eastAsia="en-GB"/>
              </w:rPr>
            </w:pPr>
            <w:proofErr w:type="spellStart"/>
            <w:r w:rsidRPr="007A322D">
              <w:rPr>
                <w:rFonts w:asciiTheme="minorHAnsi" w:hAnsiTheme="minorHAnsi" w:cstheme="minorHAnsi"/>
                <w:color w:val="000000"/>
                <w:sz w:val="18"/>
                <w:szCs w:val="18"/>
                <w:lang w:val="fr-FR" w:eastAsia="en-GB"/>
              </w:rPr>
              <w:t>Proiecte</w:t>
            </w:r>
            <w:proofErr w:type="spellEnd"/>
            <w:r w:rsidRPr="007A322D">
              <w:rPr>
                <w:rFonts w:asciiTheme="minorHAnsi" w:hAnsiTheme="minorHAnsi" w:cstheme="minorHAnsi"/>
                <w:color w:val="000000"/>
                <w:sz w:val="18"/>
                <w:szCs w:val="18"/>
                <w:lang w:val="fr-FR" w:eastAsia="en-GB"/>
              </w:rPr>
              <w:t xml:space="preserve"> </w:t>
            </w:r>
            <w:proofErr w:type="spellStart"/>
            <w:r w:rsidRPr="007A322D">
              <w:rPr>
                <w:rFonts w:asciiTheme="minorHAnsi" w:hAnsiTheme="minorHAnsi" w:cstheme="minorHAnsi"/>
                <w:color w:val="000000"/>
                <w:sz w:val="18"/>
                <w:szCs w:val="18"/>
                <w:lang w:val="fr-FR" w:eastAsia="en-GB"/>
              </w:rPr>
              <w:t>cu</w:t>
            </w:r>
            <w:proofErr w:type="spellEnd"/>
            <w:r w:rsidRPr="007A322D">
              <w:rPr>
                <w:rFonts w:asciiTheme="minorHAnsi" w:hAnsiTheme="minorHAnsi" w:cstheme="minorHAnsi"/>
                <w:color w:val="000000"/>
                <w:sz w:val="18"/>
                <w:szCs w:val="18"/>
                <w:lang w:val="fr-FR" w:eastAsia="en-GB"/>
              </w:rPr>
              <w:t xml:space="preserve"> </w:t>
            </w:r>
            <w:proofErr w:type="spellStart"/>
            <w:r w:rsidRPr="007A322D">
              <w:rPr>
                <w:rFonts w:asciiTheme="minorHAnsi" w:hAnsiTheme="minorHAnsi" w:cstheme="minorHAnsi"/>
                <w:color w:val="000000"/>
                <w:sz w:val="18"/>
                <w:szCs w:val="18"/>
                <w:lang w:val="fr-FR" w:eastAsia="en-GB"/>
              </w:rPr>
              <w:t>finanțare</w:t>
            </w:r>
            <w:proofErr w:type="spellEnd"/>
            <w:r w:rsidRPr="007A322D">
              <w:rPr>
                <w:rFonts w:asciiTheme="minorHAnsi" w:hAnsiTheme="minorHAnsi" w:cstheme="minorHAnsi"/>
                <w:color w:val="000000"/>
                <w:sz w:val="18"/>
                <w:szCs w:val="18"/>
                <w:lang w:val="fr-FR" w:eastAsia="en-GB"/>
              </w:rPr>
              <w:t xml:space="preserve"> </w:t>
            </w:r>
            <w:proofErr w:type="spellStart"/>
            <w:r w:rsidRPr="007A322D">
              <w:rPr>
                <w:rFonts w:asciiTheme="minorHAnsi" w:hAnsiTheme="minorHAnsi" w:cstheme="minorHAnsi"/>
                <w:color w:val="000000"/>
                <w:sz w:val="18"/>
                <w:szCs w:val="18"/>
                <w:lang w:val="fr-FR" w:eastAsia="en-GB"/>
              </w:rPr>
              <w:t>din</w:t>
            </w:r>
            <w:proofErr w:type="spellEnd"/>
            <w:r w:rsidRPr="007A322D">
              <w:rPr>
                <w:rFonts w:asciiTheme="minorHAnsi" w:hAnsiTheme="minorHAnsi" w:cstheme="minorHAnsi"/>
                <w:color w:val="000000"/>
                <w:sz w:val="18"/>
                <w:szCs w:val="18"/>
                <w:lang w:val="fr-FR" w:eastAsia="en-GB"/>
              </w:rPr>
              <w:t xml:space="preserve"> FEN </w:t>
            </w:r>
            <w:proofErr w:type="spellStart"/>
            <w:r w:rsidRPr="007A322D">
              <w:rPr>
                <w:rFonts w:asciiTheme="minorHAnsi" w:hAnsiTheme="minorHAnsi" w:cstheme="minorHAnsi"/>
                <w:color w:val="000000"/>
                <w:sz w:val="18"/>
                <w:szCs w:val="18"/>
                <w:lang w:val="fr-FR" w:eastAsia="en-GB"/>
              </w:rPr>
              <w:t>postaderare</w:t>
            </w:r>
            <w:proofErr w:type="spellEnd"/>
          </w:p>
        </w:tc>
        <w:tc>
          <w:tcPr>
            <w:tcW w:w="676" w:type="dxa"/>
            <w:tcBorders>
              <w:top w:val="nil"/>
              <w:left w:val="nil"/>
              <w:bottom w:val="single" w:sz="4" w:space="0" w:color="auto"/>
              <w:right w:val="single" w:sz="4" w:space="0" w:color="auto"/>
            </w:tcBorders>
            <w:vAlign w:val="center"/>
            <w:hideMark/>
          </w:tcPr>
          <w:p w14:paraId="0227BE82" w14:textId="77777777" w:rsidR="00F16EB8" w:rsidRPr="00B63409" w:rsidRDefault="00F16EB8" w:rsidP="00BE6FF5">
            <w:pPr>
              <w:spacing w:line="276" w:lineRule="auto"/>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CA</w:t>
            </w:r>
          </w:p>
        </w:tc>
        <w:tc>
          <w:tcPr>
            <w:tcW w:w="987" w:type="dxa"/>
            <w:tcBorders>
              <w:top w:val="nil"/>
              <w:left w:val="nil"/>
              <w:bottom w:val="single" w:sz="4" w:space="0" w:color="auto"/>
              <w:right w:val="single" w:sz="4" w:space="0" w:color="auto"/>
            </w:tcBorders>
            <w:noWrap/>
            <w:vAlign w:val="bottom"/>
            <w:hideMark/>
          </w:tcPr>
          <w:p w14:paraId="49C42A70"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35</w:t>
            </w:r>
          </w:p>
        </w:tc>
        <w:tc>
          <w:tcPr>
            <w:tcW w:w="882" w:type="dxa"/>
            <w:tcBorders>
              <w:top w:val="nil"/>
              <w:left w:val="nil"/>
              <w:bottom w:val="single" w:sz="4" w:space="0" w:color="auto"/>
              <w:right w:val="single" w:sz="4" w:space="0" w:color="auto"/>
            </w:tcBorders>
            <w:noWrap/>
            <w:vAlign w:val="bottom"/>
            <w:hideMark/>
          </w:tcPr>
          <w:p w14:paraId="059CE0C9"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7</w:t>
            </w:r>
          </w:p>
        </w:tc>
        <w:tc>
          <w:tcPr>
            <w:tcW w:w="1123" w:type="dxa"/>
            <w:tcBorders>
              <w:top w:val="nil"/>
              <w:left w:val="nil"/>
              <w:bottom w:val="single" w:sz="4" w:space="0" w:color="auto"/>
              <w:right w:val="single" w:sz="4" w:space="0" w:color="auto"/>
            </w:tcBorders>
            <w:noWrap/>
            <w:vAlign w:val="bottom"/>
            <w:hideMark/>
          </w:tcPr>
          <w:p w14:paraId="6E683E2E"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35</w:t>
            </w:r>
          </w:p>
        </w:tc>
        <w:tc>
          <w:tcPr>
            <w:tcW w:w="1009" w:type="dxa"/>
            <w:tcBorders>
              <w:top w:val="nil"/>
              <w:left w:val="nil"/>
              <w:bottom w:val="single" w:sz="4" w:space="0" w:color="auto"/>
              <w:right w:val="single" w:sz="4" w:space="0" w:color="auto"/>
            </w:tcBorders>
            <w:noWrap/>
            <w:vAlign w:val="bottom"/>
            <w:hideMark/>
          </w:tcPr>
          <w:p w14:paraId="30266FA3"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7</w:t>
            </w:r>
          </w:p>
        </w:tc>
        <w:tc>
          <w:tcPr>
            <w:tcW w:w="870" w:type="dxa"/>
            <w:tcBorders>
              <w:top w:val="nil"/>
              <w:left w:val="nil"/>
              <w:bottom w:val="single" w:sz="4" w:space="0" w:color="auto"/>
              <w:right w:val="single" w:sz="4" w:space="0" w:color="auto"/>
            </w:tcBorders>
            <w:noWrap/>
            <w:vAlign w:val="bottom"/>
            <w:hideMark/>
          </w:tcPr>
          <w:p w14:paraId="4D957CAE"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19" w:type="dxa"/>
            <w:tcBorders>
              <w:top w:val="nil"/>
              <w:left w:val="nil"/>
              <w:bottom w:val="single" w:sz="4" w:space="0" w:color="auto"/>
              <w:right w:val="single" w:sz="4" w:space="0" w:color="auto"/>
            </w:tcBorders>
            <w:noWrap/>
            <w:vAlign w:val="bottom"/>
            <w:hideMark/>
          </w:tcPr>
          <w:p w14:paraId="7ADD0F73"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810" w:type="dxa"/>
            <w:tcBorders>
              <w:top w:val="nil"/>
              <w:left w:val="nil"/>
              <w:bottom w:val="single" w:sz="4" w:space="0" w:color="auto"/>
              <w:right w:val="single" w:sz="4" w:space="0" w:color="auto"/>
            </w:tcBorders>
            <w:noWrap/>
            <w:vAlign w:val="bottom"/>
            <w:hideMark/>
          </w:tcPr>
          <w:p w14:paraId="0DA6B2BB"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19" w:type="dxa"/>
            <w:tcBorders>
              <w:top w:val="nil"/>
              <w:left w:val="nil"/>
              <w:bottom w:val="single" w:sz="4" w:space="0" w:color="auto"/>
              <w:right w:val="single" w:sz="4" w:space="0" w:color="auto"/>
            </w:tcBorders>
            <w:noWrap/>
            <w:vAlign w:val="bottom"/>
            <w:hideMark/>
          </w:tcPr>
          <w:p w14:paraId="4F235E77"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19" w:type="dxa"/>
            <w:tcBorders>
              <w:top w:val="nil"/>
              <w:left w:val="nil"/>
              <w:bottom w:val="single" w:sz="4" w:space="0" w:color="auto"/>
              <w:right w:val="single" w:sz="4" w:space="0" w:color="auto"/>
            </w:tcBorders>
            <w:noWrap/>
            <w:vAlign w:val="bottom"/>
            <w:hideMark/>
          </w:tcPr>
          <w:p w14:paraId="1AEBCD5B"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39" w:type="dxa"/>
            <w:tcBorders>
              <w:top w:val="nil"/>
              <w:left w:val="nil"/>
              <w:bottom w:val="single" w:sz="4" w:space="0" w:color="auto"/>
              <w:right w:val="single" w:sz="4" w:space="0" w:color="auto"/>
            </w:tcBorders>
            <w:noWrap/>
            <w:vAlign w:val="bottom"/>
            <w:hideMark/>
          </w:tcPr>
          <w:p w14:paraId="6331D288"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r>
      <w:tr w:rsidR="00F16EB8" w:rsidRPr="00B63409" w14:paraId="11860622" w14:textId="77777777" w:rsidTr="00BE6FF5">
        <w:trPr>
          <w:trHeight w:val="300"/>
        </w:trPr>
        <w:tc>
          <w:tcPr>
            <w:tcW w:w="1207" w:type="dxa"/>
            <w:vMerge/>
            <w:tcBorders>
              <w:top w:val="nil"/>
              <w:left w:val="single" w:sz="4" w:space="0" w:color="auto"/>
              <w:bottom w:val="single" w:sz="4" w:space="0" w:color="000000"/>
              <w:right w:val="single" w:sz="4" w:space="0" w:color="auto"/>
            </w:tcBorders>
            <w:vAlign w:val="center"/>
            <w:hideMark/>
          </w:tcPr>
          <w:p w14:paraId="3D603011" w14:textId="77777777" w:rsidR="00F16EB8" w:rsidRPr="00B63409" w:rsidRDefault="00F16EB8" w:rsidP="00BE6FF5">
            <w:pPr>
              <w:spacing w:line="276" w:lineRule="auto"/>
              <w:rPr>
                <w:rFonts w:asciiTheme="minorHAnsi" w:hAnsiTheme="minorHAnsi" w:cstheme="minorHAnsi"/>
                <w:color w:val="000000"/>
                <w:sz w:val="18"/>
                <w:szCs w:val="18"/>
                <w:lang w:val="en-GB" w:eastAsia="en-GB"/>
              </w:rPr>
            </w:pPr>
          </w:p>
        </w:tc>
        <w:tc>
          <w:tcPr>
            <w:tcW w:w="676" w:type="dxa"/>
            <w:tcBorders>
              <w:top w:val="nil"/>
              <w:left w:val="nil"/>
              <w:bottom w:val="single" w:sz="4" w:space="0" w:color="auto"/>
              <w:right w:val="single" w:sz="4" w:space="0" w:color="auto"/>
            </w:tcBorders>
            <w:vAlign w:val="center"/>
            <w:hideMark/>
          </w:tcPr>
          <w:p w14:paraId="2E20D963" w14:textId="77777777" w:rsidR="00F16EB8" w:rsidRPr="00B63409" w:rsidRDefault="00F16EB8" w:rsidP="00BE6FF5">
            <w:pPr>
              <w:spacing w:line="276" w:lineRule="auto"/>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CB</w:t>
            </w:r>
          </w:p>
        </w:tc>
        <w:tc>
          <w:tcPr>
            <w:tcW w:w="987" w:type="dxa"/>
            <w:tcBorders>
              <w:top w:val="nil"/>
              <w:left w:val="nil"/>
              <w:bottom w:val="single" w:sz="4" w:space="0" w:color="auto"/>
              <w:right w:val="single" w:sz="4" w:space="0" w:color="auto"/>
            </w:tcBorders>
            <w:noWrap/>
            <w:vAlign w:val="bottom"/>
            <w:hideMark/>
          </w:tcPr>
          <w:p w14:paraId="3D40834E"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35</w:t>
            </w:r>
          </w:p>
        </w:tc>
        <w:tc>
          <w:tcPr>
            <w:tcW w:w="882" w:type="dxa"/>
            <w:tcBorders>
              <w:top w:val="nil"/>
              <w:left w:val="nil"/>
              <w:bottom w:val="single" w:sz="4" w:space="0" w:color="auto"/>
              <w:right w:val="single" w:sz="4" w:space="0" w:color="auto"/>
            </w:tcBorders>
            <w:noWrap/>
            <w:vAlign w:val="bottom"/>
            <w:hideMark/>
          </w:tcPr>
          <w:p w14:paraId="6EFA2717"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7</w:t>
            </w:r>
          </w:p>
        </w:tc>
        <w:tc>
          <w:tcPr>
            <w:tcW w:w="1123" w:type="dxa"/>
            <w:tcBorders>
              <w:top w:val="nil"/>
              <w:left w:val="nil"/>
              <w:bottom w:val="single" w:sz="4" w:space="0" w:color="auto"/>
              <w:right w:val="single" w:sz="4" w:space="0" w:color="auto"/>
            </w:tcBorders>
            <w:noWrap/>
            <w:vAlign w:val="bottom"/>
            <w:hideMark/>
          </w:tcPr>
          <w:p w14:paraId="0DBAA2CE"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35</w:t>
            </w:r>
          </w:p>
        </w:tc>
        <w:tc>
          <w:tcPr>
            <w:tcW w:w="1009" w:type="dxa"/>
            <w:tcBorders>
              <w:top w:val="nil"/>
              <w:left w:val="nil"/>
              <w:bottom w:val="single" w:sz="4" w:space="0" w:color="auto"/>
              <w:right w:val="single" w:sz="4" w:space="0" w:color="auto"/>
            </w:tcBorders>
            <w:noWrap/>
            <w:vAlign w:val="bottom"/>
            <w:hideMark/>
          </w:tcPr>
          <w:p w14:paraId="4C047FA5"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7</w:t>
            </w:r>
          </w:p>
        </w:tc>
        <w:tc>
          <w:tcPr>
            <w:tcW w:w="870" w:type="dxa"/>
            <w:tcBorders>
              <w:top w:val="nil"/>
              <w:left w:val="nil"/>
              <w:bottom w:val="single" w:sz="4" w:space="0" w:color="auto"/>
              <w:right w:val="single" w:sz="4" w:space="0" w:color="auto"/>
            </w:tcBorders>
            <w:noWrap/>
            <w:vAlign w:val="bottom"/>
            <w:hideMark/>
          </w:tcPr>
          <w:p w14:paraId="63A1A95E"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19" w:type="dxa"/>
            <w:tcBorders>
              <w:top w:val="nil"/>
              <w:left w:val="nil"/>
              <w:bottom w:val="single" w:sz="4" w:space="0" w:color="auto"/>
              <w:right w:val="single" w:sz="4" w:space="0" w:color="auto"/>
            </w:tcBorders>
            <w:noWrap/>
            <w:vAlign w:val="bottom"/>
            <w:hideMark/>
          </w:tcPr>
          <w:p w14:paraId="4BEB5F7A"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810" w:type="dxa"/>
            <w:tcBorders>
              <w:top w:val="nil"/>
              <w:left w:val="nil"/>
              <w:bottom w:val="single" w:sz="4" w:space="0" w:color="auto"/>
              <w:right w:val="single" w:sz="4" w:space="0" w:color="auto"/>
            </w:tcBorders>
            <w:noWrap/>
            <w:vAlign w:val="bottom"/>
            <w:hideMark/>
          </w:tcPr>
          <w:p w14:paraId="1FBAAD7B"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19" w:type="dxa"/>
            <w:tcBorders>
              <w:top w:val="nil"/>
              <w:left w:val="nil"/>
              <w:bottom w:val="single" w:sz="4" w:space="0" w:color="auto"/>
              <w:right w:val="single" w:sz="4" w:space="0" w:color="auto"/>
            </w:tcBorders>
            <w:noWrap/>
            <w:vAlign w:val="bottom"/>
            <w:hideMark/>
          </w:tcPr>
          <w:p w14:paraId="579DF936"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19" w:type="dxa"/>
            <w:tcBorders>
              <w:top w:val="nil"/>
              <w:left w:val="nil"/>
              <w:bottom w:val="single" w:sz="4" w:space="0" w:color="auto"/>
              <w:right w:val="single" w:sz="4" w:space="0" w:color="auto"/>
            </w:tcBorders>
            <w:noWrap/>
            <w:vAlign w:val="bottom"/>
            <w:hideMark/>
          </w:tcPr>
          <w:p w14:paraId="626E68ED"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39" w:type="dxa"/>
            <w:tcBorders>
              <w:top w:val="nil"/>
              <w:left w:val="nil"/>
              <w:bottom w:val="single" w:sz="4" w:space="0" w:color="auto"/>
              <w:right w:val="single" w:sz="4" w:space="0" w:color="auto"/>
            </w:tcBorders>
            <w:noWrap/>
            <w:vAlign w:val="bottom"/>
            <w:hideMark/>
          </w:tcPr>
          <w:p w14:paraId="40BC43E9"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r>
      <w:tr w:rsidR="00F16EB8" w:rsidRPr="00B63409" w14:paraId="4F2CDC59" w14:textId="77777777" w:rsidTr="00BE6FF5">
        <w:trPr>
          <w:trHeight w:val="300"/>
        </w:trPr>
        <w:tc>
          <w:tcPr>
            <w:tcW w:w="1207" w:type="dxa"/>
            <w:vMerge w:val="restart"/>
            <w:tcBorders>
              <w:top w:val="nil"/>
              <w:left w:val="single" w:sz="4" w:space="0" w:color="auto"/>
              <w:bottom w:val="single" w:sz="4" w:space="0" w:color="000000"/>
              <w:right w:val="single" w:sz="4" w:space="0" w:color="auto"/>
            </w:tcBorders>
            <w:vAlign w:val="center"/>
            <w:hideMark/>
          </w:tcPr>
          <w:p w14:paraId="5DA5FA93" w14:textId="77777777" w:rsidR="00F16EB8" w:rsidRPr="007A322D" w:rsidRDefault="00F16EB8" w:rsidP="00BE6FF5">
            <w:pPr>
              <w:spacing w:line="276" w:lineRule="auto"/>
              <w:rPr>
                <w:rFonts w:asciiTheme="minorHAnsi" w:hAnsiTheme="minorHAnsi" w:cstheme="minorHAnsi"/>
                <w:color w:val="000000"/>
                <w:sz w:val="18"/>
                <w:szCs w:val="18"/>
                <w:lang w:val="fr-FR" w:eastAsia="en-GB"/>
              </w:rPr>
            </w:pPr>
            <w:proofErr w:type="spellStart"/>
            <w:r w:rsidRPr="007A322D">
              <w:rPr>
                <w:rFonts w:asciiTheme="minorHAnsi" w:hAnsiTheme="minorHAnsi" w:cstheme="minorHAnsi"/>
                <w:color w:val="000000"/>
                <w:sz w:val="18"/>
                <w:szCs w:val="18"/>
                <w:lang w:val="fr-FR" w:eastAsia="en-GB"/>
              </w:rPr>
              <w:t>Proiecte</w:t>
            </w:r>
            <w:proofErr w:type="spellEnd"/>
            <w:r w:rsidRPr="007A322D">
              <w:rPr>
                <w:rFonts w:asciiTheme="minorHAnsi" w:hAnsiTheme="minorHAnsi" w:cstheme="minorHAnsi"/>
                <w:color w:val="000000"/>
                <w:sz w:val="18"/>
                <w:szCs w:val="18"/>
                <w:lang w:val="fr-FR" w:eastAsia="en-GB"/>
              </w:rPr>
              <w:t xml:space="preserve"> </w:t>
            </w:r>
            <w:proofErr w:type="spellStart"/>
            <w:r w:rsidRPr="007A322D">
              <w:rPr>
                <w:rFonts w:asciiTheme="minorHAnsi" w:hAnsiTheme="minorHAnsi" w:cstheme="minorHAnsi"/>
                <w:color w:val="000000"/>
                <w:sz w:val="18"/>
                <w:szCs w:val="18"/>
                <w:lang w:val="fr-FR" w:eastAsia="en-GB"/>
              </w:rPr>
              <w:t>cu</w:t>
            </w:r>
            <w:proofErr w:type="spellEnd"/>
            <w:r w:rsidRPr="007A322D">
              <w:rPr>
                <w:rFonts w:asciiTheme="minorHAnsi" w:hAnsiTheme="minorHAnsi" w:cstheme="minorHAnsi"/>
                <w:color w:val="000000"/>
                <w:sz w:val="18"/>
                <w:szCs w:val="18"/>
                <w:lang w:val="fr-FR" w:eastAsia="en-GB"/>
              </w:rPr>
              <w:t xml:space="preserve"> </w:t>
            </w:r>
            <w:proofErr w:type="spellStart"/>
            <w:r w:rsidRPr="007A322D">
              <w:rPr>
                <w:rFonts w:asciiTheme="minorHAnsi" w:hAnsiTheme="minorHAnsi" w:cstheme="minorHAnsi"/>
                <w:color w:val="000000"/>
                <w:sz w:val="18"/>
                <w:szCs w:val="18"/>
                <w:lang w:val="fr-FR" w:eastAsia="en-GB"/>
              </w:rPr>
              <w:t>finanțare</w:t>
            </w:r>
            <w:proofErr w:type="spellEnd"/>
            <w:r w:rsidRPr="007A322D">
              <w:rPr>
                <w:rFonts w:asciiTheme="minorHAnsi" w:hAnsiTheme="minorHAnsi" w:cstheme="minorHAnsi"/>
                <w:color w:val="000000"/>
                <w:sz w:val="18"/>
                <w:szCs w:val="18"/>
                <w:lang w:val="fr-FR" w:eastAsia="en-GB"/>
              </w:rPr>
              <w:t xml:space="preserve"> </w:t>
            </w:r>
            <w:proofErr w:type="spellStart"/>
            <w:r w:rsidRPr="007A322D">
              <w:rPr>
                <w:rFonts w:asciiTheme="minorHAnsi" w:hAnsiTheme="minorHAnsi" w:cstheme="minorHAnsi"/>
                <w:color w:val="000000"/>
                <w:sz w:val="18"/>
                <w:szCs w:val="18"/>
                <w:lang w:val="fr-FR" w:eastAsia="en-GB"/>
              </w:rPr>
              <w:t>din</w:t>
            </w:r>
            <w:proofErr w:type="spellEnd"/>
            <w:r w:rsidRPr="007A322D">
              <w:rPr>
                <w:rFonts w:asciiTheme="minorHAnsi" w:hAnsiTheme="minorHAnsi" w:cstheme="minorHAnsi"/>
                <w:color w:val="000000"/>
                <w:sz w:val="18"/>
                <w:szCs w:val="18"/>
                <w:lang w:val="fr-FR" w:eastAsia="en-GB"/>
              </w:rPr>
              <w:t xml:space="preserve"> FEN </w:t>
            </w:r>
            <w:proofErr w:type="spellStart"/>
            <w:r w:rsidRPr="007A322D">
              <w:rPr>
                <w:rFonts w:asciiTheme="minorHAnsi" w:hAnsiTheme="minorHAnsi" w:cstheme="minorHAnsi"/>
                <w:color w:val="000000"/>
                <w:sz w:val="18"/>
                <w:szCs w:val="18"/>
                <w:lang w:val="fr-FR" w:eastAsia="en-GB"/>
              </w:rPr>
              <w:t>aferente</w:t>
            </w:r>
            <w:proofErr w:type="spellEnd"/>
            <w:r w:rsidRPr="007A322D">
              <w:rPr>
                <w:rFonts w:asciiTheme="minorHAnsi" w:hAnsiTheme="minorHAnsi" w:cstheme="minorHAnsi"/>
                <w:color w:val="000000"/>
                <w:sz w:val="18"/>
                <w:szCs w:val="18"/>
                <w:lang w:val="fr-FR" w:eastAsia="en-GB"/>
              </w:rPr>
              <w:t xml:space="preserve"> </w:t>
            </w:r>
            <w:proofErr w:type="spellStart"/>
            <w:r w:rsidRPr="007A322D">
              <w:rPr>
                <w:rFonts w:asciiTheme="minorHAnsi" w:hAnsiTheme="minorHAnsi" w:cstheme="minorHAnsi"/>
                <w:color w:val="000000"/>
                <w:sz w:val="18"/>
                <w:szCs w:val="18"/>
                <w:lang w:val="fr-FR" w:eastAsia="en-GB"/>
              </w:rPr>
              <w:t>cadrului</w:t>
            </w:r>
            <w:proofErr w:type="spellEnd"/>
            <w:r w:rsidRPr="007A322D">
              <w:rPr>
                <w:rFonts w:asciiTheme="minorHAnsi" w:hAnsiTheme="minorHAnsi" w:cstheme="minorHAnsi"/>
                <w:color w:val="000000"/>
                <w:sz w:val="18"/>
                <w:szCs w:val="18"/>
                <w:lang w:val="fr-FR" w:eastAsia="en-GB"/>
              </w:rPr>
              <w:t xml:space="preserve"> </w:t>
            </w:r>
            <w:proofErr w:type="spellStart"/>
            <w:r w:rsidRPr="007A322D">
              <w:rPr>
                <w:rFonts w:asciiTheme="minorHAnsi" w:hAnsiTheme="minorHAnsi" w:cstheme="minorHAnsi"/>
                <w:color w:val="000000"/>
                <w:sz w:val="18"/>
                <w:szCs w:val="18"/>
                <w:lang w:val="fr-FR" w:eastAsia="en-GB"/>
              </w:rPr>
              <w:t>financiar</w:t>
            </w:r>
            <w:proofErr w:type="spellEnd"/>
            <w:r w:rsidRPr="007A322D">
              <w:rPr>
                <w:rFonts w:asciiTheme="minorHAnsi" w:hAnsiTheme="minorHAnsi" w:cstheme="minorHAnsi"/>
                <w:color w:val="000000"/>
                <w:sz w:val="18"/>
                <w:szCs w:val="18"/>
                <w:lang w:val="fr-FR" w:eastAsia="en-GB"/>
              </w:rPr>
              <w:t xml:space="preserve"> 2014-2020</w:t>
            </w:r>
          </w:p>
        </w:tc>
        <w:tc>
          <w:tcPr>
            <w:tcW w:w="676" w:type="dxa"/>
            <w:tcBorders>
              <w:top w:val="nil"/>
              <w:left w:val="nil"/>
              <w:bottom w:val="single" w:sz="4" w:space="0" w:color="auto"/>
              <w:right w:val="single" w:sz="4" w:space="0" w:color="auto"/>
            </w:tcBorders>
            <w:vAlign w:val="center"/>
            <w:hideMark/>
          </w:tcPr>
          <w:p w14:paraId="438ACA65" w14:textId="77777777" w:rsidR="00F16EB8" w:rsidRPr="00B63409" w:rsidRDefault="00F16EB8" w:rsidP="00BE6FF5">
            <w:pPr>
              <w:spacing w:line="276" w:lineRule="auto"/>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CA</w:t>
            </w:r>
          </w:p>
        </w:tc>
        <w:tc>
          <w:tcPr>
            <w:tcW w:w="987" w:type="dxa"/>
            <w:tcBorders>
              <w:top w:val="nil"/>
              <w:left w:val="nil"/>
              <w:bottom w:val="single" w:sz="4" w:space="0" w:color="auto"/>
              <w:right w:val="single" w:sz="4" w:space="0" w:color="auto"/>
            </w:tcBorders>
            <w:noWrap/>
            <w:vAlign w:val="bottom"/>
            <w:hideMark/>
          </w:tcPr>
          <w:p w14:paraId="3E835B3C"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3,365</w:t>
            </w:r>
          </w:p>
        </w:tc>
        <w:tc>
          <w:tcPr>
            <w:tcW w:w="882" w:type="dxa"/>
            <w:tcBorders>
              <w:top w:val="nil"/>
              <w:left w:val="nil"/>
              <w:bottom w:val="single" w:sz="4" w:space="0" w:color="auto"/>
              <w:right w:val="single" w:sz="4" w:space="0" w:color="auto"/>
            </w:tcBorders>
            <w:noWrap/>
            <w:vAlign w:val="bottom"/>
            <w:hideMark/>
          </w:tcPr>
          <w:p w14:paraId="504FDEC5"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673</w:t>
            </w:r>
          </w:p>
        </w:tc>
        <w:tc>
          <w:tcPr>
            <w:tcW w:w="1123" w:type="dxa"/>
            <w:tcBorders>
              <w:top w:val="nil"/>
              <w:left w:val="nil"/>
              <w:bottom w:val="single" w:sz="4" w:space="0" w:color="auto"/>
              <w:right w:val="single" w:sz="4" w:space="0" w:color="auto"/>
            </w:tcBorders>
            <w:noWrap/>
            <w:vAlign w:val="bottom"/>
            <w:hideMark/>
          </w:tcPr>
          <w:p w14:paraId="2321FA78"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2,856</w:t>
            </w:r>
          </w:p>
        </w:tc>
        <w:tc>
          <w:tcPr>
            <w:tcW w:w="1009" w:type="dxa"/>
            <w:tcBorders>
              <w:top w:val="nil"/>
              <w:left w:val="nil"/>
              <w:bottom w:val="single" w:sz="4" w:space="0" w:color="auto"/>
              <w:right w:val="single" w:sz="4" w:space="0" w:color="auto"/>
            </w:tcBorders>
            <w:noWrap/>
            <w:vAlign w:val="bottom"/>
            <w:hideMark/>
          </w:tcPr>
          <w:p w14:paraId="69928B55"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571</w:t>
            </w:r>
          </w:p>
        </w:tc>
        <w:tc>
          <w:tcPr>
            <w:tcW w:w="870" w:type="dxa"/>
            <w:tcBorders>
              <w:top w:val="nil"/>
              <w:left w:val="nil"/>
              <w:bottom w:val="single" w:sz="4" w:space="0" w:color="auto"/>
              <w:right w:val="single" w:sz="4" w:space="0" w:color="auto"/>
            </w:tcBorders>
            <w:noWrap/>
            <w:vAlign w:val="bottom"/>
            <w:hideMark/>
          </w:tcPr>
          <w:p w14:paraId="35F82F7F"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19" w:type="dxa"/>
            <w:tcBorders>
              <w:top w:val="nil"/>
              <w:left w:val="nil"/>
              <w:bottom w:val="single" w:sz="4" w:space="0" w:color="auto"/>
              <w:right w:val="single" w:sz="4" w:space="0" w:color="auto"/>
            </w:tcBorders>
            <w:noWrap/>
            <w:vAlign w:val="bottom"/>
            <w:hideMark/>
          </w:tcPr>
          <w:p w14:paraId="0D42D908"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810" w:type="dxa"/>
            <w:tcBorders>
              <w:top w:val="nil"/>
              <w:left w:val="nil"/>
              <w:bottom w:val="single" w:sz="4" w:space="0" w:color="auto"/>
              <w:right w:val="single" w:sz="4" w:space="0" w:color="auto"/>
            </w:tcBorders>
            <w:noWrap/>
            <w:vAlign w:val="bottom"/>
            <w:hideMark/>
          </w:tcPr>
          <w:p w14:paraId="588CBCBB"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465</w:t>
            </w:r>
          </w:p>
        </w:tc>
        <w:tc>
          <w:tcPr>
            <w:tcW w:w="719" w:type="dxa"/>
            <w:tcBorders>
              <w:top w:val="nil"/>
              <w:left w:val="nil"/>
              <w:bottom w:val="single" w:sz="4" w:space="0" w:color="auto"/>
              <w:right w:val="single" w:sz="4" w:space="0" w:color="auto"/>
            </w:tcBorders>
            <w:noWrap/>
            <w:vAlign w:val="bottom"/>
            <w:hideMark/>
          </w:tcPr>
          <w:p w14:paraId="2A312DF2"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93</w:t>
            </w:r>
          </w:p>
        </w:tc>
        <w:tc>
          <w:tcPr>
            <w:tcW w:w="719" w:type="dxa"/>
            <w:tcBorders>
              <w:top w:val="nil"/>
              <w:left w:val="nil"/>
              <w:bottom w:val="single" w:sz="4" w:space="0" w:color="auto"/>
              <w:right w:val="single" w:sz="4" w:space="0" w:color="auto"/>
            </w:tcBorders>
            <w:noWrap/>
            <w:vAlign w:val="bottom"/>
            <w:hideMark/>
          </w:tcPr>
          <w:p w14:paraId="3BBC78DA"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44</w:t>
            </w:r>
          </w:p>
        </w:tc>
        <w:tc>
          <w:tcPr>
            <w:tcW w:w="739" w:type="dxa"/>
            <w:tcBorders>
              <w:top w:val="nil"/>
              <w:left w:val="nil"/>
              <w:bottom w:val="single" w:sz="4" w:space="0" w:color="auto"/>
              <w:right w:val="single" w:sz="4" w:space="0" w:color="auto"/>
            </w:tcBorders>
            <w:noWrap/>
            <w:vAlign w:val="bottom"/>
            <w:hideMark/>
          </w:tcPr>
          <w:p w14:paraId="4875182A"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9</w:t>
            </w:r>
          </w:p>
        </w:tc>
      </w:tr>
      <w:tr w:rsidR="00F16EB8" w:rsidRPr="00B63409" w14:paraId="2049F0C4" w14:textId="77777777" w:rsidTr="00BE6FF5">
        <w:trPr>
          <w:trHeight w:val="300"/>
        </w:trPr>
        <w:tc>
          <w:tcPr>
            <w:tcW w:w="1207" w:type="dxa"/>
            <w:vMerge/>
            <w:tcBorders>
              <w:top w:val="nil"/>
              <w:left w:val="single" w:sz="4" w:space="0" w:color="auto"/>
              <w:bottom w:val="single" w:sz="4" w:space="0" w:color="000000"/>
              <w:right w:val="single" w:sz="4" w:space="0" w:color="auto"/>
            </w:tcBorders>
            <w:vAlign w:val="center"/>
            <w:hideMark/>
          </w:tcPr>
          <w:p w14:paraId="070E1B0D" w14:textId="77777777" w:rsidR="00F16EB8" w:rsidRPr="00B63409" w:rsidRDefault="00F16EB8" w:rsidP="00BE6FF5">
            <w:pPr>
              <w:spacing w:line="276" w:lineRule="auto"/>
              <w:rPr>
                <w:rFonts w:asciiTheme="minorHAnsi" w:hAnsiTheme="minorHAnsi" w:cstheme="minorHAnsi"/>
                <w:color w:val="000000"/>
                <w:sz w:val="18"/>
                <w:szCs w:val="18"/>
                <w:lang w:val="en-GB" w:eastAsia="en-GB"/>
              </w:rPr>
            </w:pPr>
          </w:p>
        </w:tc>
        <w:tc>
          <w:tcPr>
            <w:tcW w:w="676" w:type="dxa"/>
            <w:tcBorders>
              <w:top w:val="nil"/>
              <w:left w:val="nil"/>
              <w:bottom w:val="single" w:sz="4" w:space="0" w:color="auto"/>
              <w:right w:val="single" w:sz="4" w:space="0" w:color="auto"/>
            </w:tcBorders>
            <w:vAlign w:val="center"/>
            <w:hideMark/>
          </w:tcPr>
          <w:p w14:paraId="43307799" w14:textId="77777777" w:rsidR="00F16EB8" w:rsidRPr="00B63409" w:rsidRDefault="00F16EB8" w:rsidP="00BE6FF5">
            <w:pPr>
              <w:spacing w:line="276" w:lineRule="auto"/>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CB</w:t>
            </w:r>
          </w:p>
        </w:tc>
        <w:tc>
          <w:tcPr>
            <w:tcW w:w="987" w:type="dxa"/>
            <w:tcBorders>
              <w:top w:val="nil"/>
              <w:left w:val="nil"/>
              <w:bottom w:val="single" w:sz="4" w:space="0" w:color="auto"/>
              <w:right w:val="single" w:sz="4" w:space="0" w:color="auto"/>
            </w:tcBorders>
            <w:noWrap/>
            <w:vAlign w:val="bottom"/>
            <w:hideMark/>
          </w:tcPr>
          <w:p w14:paraId="3568F310"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3,365</w:t>
            </w:r>
          </w:p>
        </w:tc>
        <w:tc>
          <w:tcPr>
            <w:tcW w:w="882" w:type="dxa"/>
            <w:tcBorders>
              <w:top w:val="nil"/>
              <w:left w:val="nil"/>
              <w:bottom w:val="single" w:sz="4" w:space="0" w:color="auto"/>
              <w:right w:val="single" w:sz="4" w:space="0" w:color="auto"/>
            </w:tcBorders>
            <w:noWrap/>
            <w:vAlign w:val="bottom"/>
            <w:hideMark/>
          </w:tcPr>
          <w:p w14:paraId="1641756C"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673</w:t>
            </w:r>
          </w:p>
        </w:tc>
        <w:tc>
          <w:tcPr>
            <w:tcW w:w="1123" w:type="dxa"/>
            <w:tcBorders>
              <w:top w:val="nil"/>
              <w:left w:val="nil"/>
              <w:bottom w:val="single" w:sz="4" w:space="0" w:color="auto"/>
              <w:right w:val="single" w:sz="4" w:space="0" w:color="auto"/>
            </w:tcBorders>
            <w:noWrap/>
            <w:vAlign w:val="bottom"/>
            <w:hideMark/>
          </w:tcPr>
          <w:p w14:paraId="68426415"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2,856</w:t>
            </w:r>
          </w:p>
        </w:tc>
        <w:tc>
          <w:tcPr>
            <w:tcW w:w="1009" w:type="dxa"/>
            <w:tcBorders>
              <w:top w:val="nil"/>
              <w:left w:val="nil"/>
              <w:bottom w:val="single" w:sz="4" w:space="0" w:color="auto"/>
              <w:right w:val="single" w:sz="4" w:space="0" w:color="auto"/>
            </w:tcBorders>
            <w:noWrap/>
            <w:vAlign w:val="bottom"/>
            <w:hideMark/>
          </w:tcPr>
          <w:p w14:paraId="56066E24"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571</w:t>
            </w:r>
          </w:p>
        </w:tc>
        <w:tc>
          <w:tcPr>
            <w:tcW w:w="870" w:type="dxa"/>
            <w:tcBorders>
              <w:top w:val="nil"/>
              <w:left w:val="nil"/>
              <w:bottom w:val="single" w:sz="4" w:space="0" w:color="auto"/>
              <w:right w:val="single" w:sz="4" w:space="0" w:color="auto"/>
            </w:tcBorders>
            <w:noWrap/>
            <w:vAlign w:val="bottom"/>
            <w:hideMark/>
          </w:tcPr>
          <w:p w14:paraId="4FBC463A"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19" w:type="dxa"/>
            <w:tcBorders>
              <w:top w:val="nil"/>
              <w:left w:val="nil"/>
              <w:bottom w:val="single" w:sz="4" w:space="0" w:color="auto"/>
              <w:right w:val="single" w:sz="4" w:space="0" w:color="auto"/>
            </w:tcBorders>
            <w:noWrap/>
            <w:vAlign w:val="bottom"/>
            <w:hideMark/>
          </w:tcPr>
          <w:p w14:paraId="04DEEF2C"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810" w:type="dxa"/>
            <w:tcBorders>
              <w:top w:val="nil"/>
              <w:left w:val="nil"/>
              <w:bottom w:val="single" w:sz="4" w:space="0" w:color="auto"/>
              <w:right w:val="single" w:sz="4" w:space="0" w:color="auto"/>
            </w:tcBorders>
            <w:noWrap/>
            <w:vAlign w:val="bottom"/>
            <w:hideMark/>
          </w:tcPr>
          <w:p w14:paraId="778A2520"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465</w:t>
            </w:r>
          </w:p>
        </w:tc>
        <w:tc>
          <w:tcPr>
            <w:tcW w:w="719" w:type="dxa"/>
            <w:tcBorders>
              <w:top w:val="nil"/>
              <w:left w:val="nil"/>
              <w:bottom w:val="single" w:sz="4" w:space="0" w:color="auto"/>
              <w:right w:val="single" w:sz="4" w:space="0" w:color="auto"/>
            </w:tcBorders>
            <w:noWrap/>
            <w:vAlign w:val="bottom"/>
            <w:hideMark/>
          </w:tcPr>
          <w:p w14:paraId="09BF3B08"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93</w:t>
            </w:r>
          </w:p>
        </w:tc>
        <w:tc>
          <w:tcPr>
            <w:tcW w:w="719" w:type="dxa"/>
            <w:tcBorders>
              <w:top w:val="nil"/>
              <w:left w:val="nil"/>
              <w:bottom w:val="single" w:sz="4" w:space="0" w:color="auto"/>
              <w:right w:val="single" w:sz="4" w:space="0" w:color="auto"/>
            </w:tcBorders>
            <w:noWrap/>
            <w:vAlign w:val="bottom"/>
            <w:hideMark/>
          </w:tcPr>
          <w:p w14:paraId="084865DF"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44</w:t>
            </w:r>
          </w:p>
        </w:tc>
        <w:tc>
          <w:tcPr>
            <w:tcW w:w="739" w:type="dxa"/>
            <w:tcBorders>
              <w:top w:val="nil"/>
              <w:left w:val="nil"/>
              <w:bottom w:val="single" w:sz="4" w:space="0" w:color="auto"/>
              <w:right w:val="single" w:sz="4" w:space="0" w:color="auto"/>
            </w:tcBorders>
            <w:noWrap/>
            <w:vAlign w:val="bottom"/>
            <w:hideMark/>
          </w:tcPr>
          <w:p w14:paraId="5C78C5D2"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9</w:t>
            </w:r>
          </w:p>
        </w:tc>
      </w:tr>
      <w:tr w:rsidR="00F16EB8" w:rsidRPr="00B63409" w14:paraId="348A5A2D" w14:textId="77777777" w:rsidTr="00BE6FF5">
        <w:trPr>
          <w:trHeight w:val="300"/>
        </w:trPr>
        <w:tc>
          <w:tcPr>
            <w:tcW w:w="1207" w:type="dxa"/>
            <w:vMerge w:val="restart"/>
            <w:tcBorders>
              <w:top w:val="nil"/>
              <w:left w:val="single" w:sz="4" w:space="0" w:color="auto"/>
              <w:bottom w:val="single" w:sz="4" w:space="0" w:color="000000"/>
              <w:right w:val="single" w:sz="4" w:space="0" w:color="auto"/>
            </w:tcBorders>
            <w:vAlign w:val="center"/>
            <w:hideMark/>
          </w:tcPr>
          <w:p w14:paraId="4FA6631F" w14:textId="77777777" w:rsidR="00F16EB8" w:rsidRPr="00B63409" w:rsidRDefault="00F16EB8" w:rsidP="00BE6FF5">
            <w:pPr>
              <w:spacing w:line="276" w:lineRule="auto"/>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 xml:space="preserve">Alte </w:t>
            </w:r>
            <w:proofErr w:type="spellStart"/>
            <w:r w:rsidRPr="00B63409">
              <w:rPr>
                <w:rFonts w:asciiTheme="minorHAnsi" w:hAnsiTheme="minorHAnsi" w:cstheme="minorHAnsi"/>
                <w:color w:val="000000"/>
                <w:sz w:val="18"/>
                <w:szCs w:val="18"/>
                <w:lang w:val="en-GB" w:eastAsia="en-GB"/>
              </w:rPr>
              <w:t>cheltuieli</w:t>
            </w:r>
            <w:proofErr w:type="spellEnd"/>
          </w:p>
        </w:tc>
        <w:tc>
          <w:tcPr>
            <w:tcW w:w="676" w:type="dxa"/>
            <w:tcBorders>
              <w:top w:val="nil"/>
              <w:left w:val="nil"/>
              <w:bottom w:val="single" w:sz="4" w:space="0" w:color="auto"/>
              <w:right w:val="single" w:sz="4" w:space="0" w:color="auto"/>
            </w:tcBorders>
            <w:vAlign w:val="center"/>
            <w:hideMark/>
          </w:tcPr>
          <w:p w14:paraId="3D3586E3" w14:textId="77777777" w:rsidR="00F16EB8" w:rsidRPr="00B63409" w:rsidRDefault="00F16EB8" w:rsidP="00BE6FF5">
            <w:pPr>
              <w:spacing w:line="276" w:lineRule="auto"/>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CA</w:t>
            </w:r>
          </w:p>
        </w:tc>
        <w:tc>
          <w:tcPr>
            <w:tcW w:w="987" w:type="dxa"/>
            <w:tcBorders>
              <w:top w:val="nil"/>
              <w:left w:val="nil"/>
              <w:bottom w:val="single" w:sz="4" w:space="0" w:color="auto"/>
              <w:right w:val="single" w:sz="4" w:space="0" w:color="auto"/>
            </w:tcBorders>
            <w:noWrap/>
            <w:vAlign w:val="bottom"/>
            <w:hideMark/>
          </w:tcPr>
          <w:p w14:paraId="49847826"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54,947</w:t>
            </w:r>
          </w:p>
        </w:tc>
        <w:tc>
          <w:tcPr>
            <w:tcW w:w="882" w:type="dxa"/>
            <w:tcBorders>
              <w:top w:val="nil"/>
              <w:left w:val="nil"/>
              <w:bottom w:val="single" w:sz="4" w:space="0" w:color="auto"/>
              <w:right w:val="single" w:sz="4" w:space="0" w:color="auto"/>
            </w:tcBorders>
            <w:noWrap/>
            <w:vAlign w:val="bottom"/>
            <w:hideMark/>
          </w:tcPr>
          <w:p w14:paraId="7A0220CB"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10,936</w:t>
            </w:r>
          </w:p>
        </w:tc>
        <w:tc>
          <w:tcPr>
            <w:tcW w:w="1123" w:type="dxa"/>
            <w:tcBorders>
              <w:top w:val="nil"/>
              <w:left w:val="nil"/>
              <w:bottom w:val="single" w:sz="4" w:space="0" w:color="auto"/>
              <w:right w:val="single" w:sz="4" w:space="0" w:color="auto"/>
            </w:tcBorders>
            <w:noWrap/>
            <w:vAlign w:val="bottom"/>
            <w:hideMark/>
          </w:tcPr>
          <w:p w14:paraId="3EB10787"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557</w:t>
            </w:r>
          </w:p>
        </w:tc>
        <w:tc>
          <w:tcPr>
            <w:tcW w:w="1009" w:type="dxa"/>
            <w:tcBorders>
              <w:top w:val="nil"/>
              <w:left w:val="nil"/>
              <w:bottom w:val="single" w:sz="4" w:space="0" w:color="auto"/>
              <w:right w:val="single" w:sz="4" w:space="0" w:color="auto"/>
            </w:tcBorders>
            <w:noWrap/>
            <w:vAlign w:val="bottom"/>
            <w:hideMark/>
          </w:tcPr>
          <w:p w14:paraId="287AA295"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111</w:t>
            </w:r>
          </w:p>
        </w:tc>
        <w:tc>
          <w:tcPr>
            <w:tcW w:w="870" w:type="dxa"/>
            <w:tcBorders>
              <w:top w:val="nil"/>
              <w:left w:val="nil"/>
              <w:bottom w:val="single" w:sz="4" w:space="0" w:color="auto"/>
              <w:right w:val="single" w:sz="4" w:space="0" w:color="auto"/>
            </w:tcBorders>
            <w:noWrap/>
            <w:vAlign w:val="bottom"/>
            <w:hideMark/>
          </w:tcPr>
          <w:p w14:paraId="03BBEE1F"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265</w:t>
            </w:r>
          </w:p>
        </w:tc>
        <w:tc>
          <w:tcPr>
            <w:tcW w:w="719" w:type="dxa"/>
            <w:tcBorders>
              <w:top w:val="nil"/>
              <w:left w:val="nil"/>
              <w:bottom w:val="single" w:sz="4" w:space="0" w:color="auto"/>
              <w:right w:val="single" w:sz="4" w:space="0" w:color="auto"/>
            </w:tcBorders>
            <w:noWrap/>
            <w:vAlign w:val="bottom"/>
            <w:hideMark/>
          </w:tcPr>
          <w:p w14:paraId="5BAAD362"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53</w:t>
            </w:r>
          </w:p>
        </w:tc>
        <w:tc>
          <w:tcPr>
            <w:tcW w:w="810" w:type="dxa"/>
            <w:tcBorders>
              <w:top w:val="nil"/>
              <w:left w:val="nil"/>
              <w:bottom w:val="single" w:sz="4" w:space="0" w:color="auto"/>
              <w:right w:val="single" w:sz="4" w:space="0" w:color="auto"/>
            </w:tcBorders>
            <w:noWrap/>
            <w:vAlign w:val="bottom"/>
            <w:hideMark/>
          </w:tcPr>
          <w:p w14:paraId="437C3250"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51,526</w:t>
            </w:r>
          </w:p>
        </w:tc>
        <w:tc>
          <w:tcPr>
            <w:tcW w:w="719" w:type="dxa"/>
            <w:tcBorders>
              <w:top w:val="nil"/>
              <w:left w:val="nil"/>
              <w:bottom w:val="single" w:sz="4" w:space="0" w:color="auto"/>
              <w:right w:val="single" w:sz="4" w:space="0" w:color="auto"/>
            </w:tcBorders>
            <w:noWrap/>
            <w:vAlign w:val="bottom"/>
            <w:hideMark/>
          </w:tcPr>
          <w:p w14:paraId="0EA30D7E"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10,305</w:t>
            </w:r>
          </w:p>
        </w:tc>
        <w:tc>
          <w:tcPr>
            <w:tcW w:w="719" w:type="dxa"/>
            <w:tcBorders>
              <w:top w:val="nil"/>
              <w:left w:val="nil"/>
              <w:bottom w:val="single" w:sz="4" w:space="0" w:color="auto"/>
              <w:right w:val="single" w:sz="4" w:space="0" w:color="auto"/>
            </w:tcBorders>
            <w:noWrap/>
            <w:vAlign w:val="bottom"/>
            <w:hideMark/>
          </w:tcPr>
          <w:p w14:paraId="204959DE"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2,599</w:t>
            </w:r>
          </w:p>
        </w:tc>
        <w:tc>
          <w:tcPr>
            <w:tcW w:w="739" w:type="dxa"/>
            <w:tcBorders>
              <w:top w:val="nil"/>
              <w:left w:val="nil"/>
              <w:bottom w:val="single" w:sz="4" w:space="0" w:color="auto"/>
              <w:right w:val="single" w:sz="4" w:space="0" w:color="auto"/>
            </w:tcBorders>
            <w:noWrap/>
            <w:vAlign w:val="bottom"/>
            <w:hideMark/>
          </w:tcPr>
          <w:p w14:paraId="39094AE1"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520</w:t>
            </w:r>
          </w:p>
        </w:tc>
      </w:tr>
      <w:tr w:rsidR="00F16EB8" w:rsidRPr="00B63409" w14:paraId="562AC37C" w14:textId="77777777" w:rsidTr="00BE6FF5">
        <w:trPr>
          <w:trHeight w:val="300"/>
        </w:trPr>
        <w:tc>
          <w:tcPr>
            <w:tcW w:w="1207" w:type="dxa"/>
            <w:vMerge/>
            <w:tcBorders>
              <w:top w:val="nil"/>
              <w:left w:val="single" w:sz="4" w:space="0" w:color="auto"/>
              <w:bottom w:val="single" w:sz="4" w:space="0" w:color="000000"/>
              <w:right w:val="single" w:sz="4" w:space="0" w:color="auto"/>
            </w:tcBorders>
            <w:vAlign w:val="center"/>
            <w:hideMark/>
          </w:tcPr>
          <w:p w14:paraId="3AB25248" w14:textId="77777777" w:rsidR="00F16EB8" w:rsidRPr="00B63409" w:rsidRDefault="00F16EB8" w:rsidP="00BE6FF5">
            <w:pPr>
              <w:spacing w:line="276" w:lineRule="auto"/>
              <w:rPr>
                <w:rFonts w:asciiTheme="minorHAnsi" w:hAnsiTheme="minorHAnsi" w:cstheme="minorHAnsi"/>
                <w:color w:val="000000"/>
                <w:sz w:val="18"/>
                <w:szCs w:val="18"/>
                <w:lang w:val="en-GB" w:eastAsia="en-GB"/>
              </w:rPr>
            </w:pPr>
          </w:p>
        </w:tc>
        <w:tc>
          <w:tcPr>
            <w:tcW w:w="676" w:type="dxa"/>
            <w:tcBorders>
              <w:top w:val="nil"/>
              <w:left w:val="nil"/>
              <w:bottom w:val="single" w:sz="4" w:space="0" w:color="auto"/>
              <w:right w:val="single" w:sz="4" w:space="0" w:color="auto"/>
            </w:tcBorders>
            <w:vAlign w:val="center"/>
            <w:hideMark/>
          </w:tcPr>
          <w:p w14:paraId="660B5724" w14:textId="77777777" w:rsidR="00F16EB8" w:rsidRPr="00B63409" w:rsidRDefault="00F16EB8" w:rsidP="00BE6FF5">
            <w:pPr>
              <w:spacing w:line="276" w:lineRule="auto"/>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CB</w:t>
            </w:r>
          </w:p>
        </w:tc>
        <w:tc>
          <w:tcPr>
            <w:tcW w:w="987" w:type="dxa"/>
            <w:tcBorders>
              <w:top w:val="nil"/>
              <w:left w:val="nil"/>
              <w:bottom w:val="single" w:sz="4" w:space="0" w:color="auto"/>
              <w:right w:val="single" w:sz="4" w:space="0" w:color="auto"/>
            </w:tcBorders>
            <w:noWrap/>
            <w:vAlign w:val="bottom"/>
            <w:hideMark/>
          </w:tcPr>
          <w:p w14:paraId="5C1AE8C0"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54,947</w:t>
            </w:r>
          </w:p>
        </w:tc>
        <w:tc>
          <w:tcPr>
            <w:tcW w:w="882" w:type="dxa"/>
            <w:tcBorders>
              <w:top w:val="nil"/>
              <w:left w:val="nil"/>
              <w:bottom w:val="single" w:sz="4" w:space="0" w:color="auto"/>
              <w:right w:val="single" w:sz="4" w:space="0" w:color="auto"/>
            </w:tcBorders>
            <w:noWrap/>
            <w:vAlign w:val="bottom"/>
            <w:hideMark/>
          </w:tcPr>
          <w:p w14:paraId="0F600471"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10,936</w:t>
            </w:r>
          </w:p>
        </w:tc>
        <w:tc>
          <w:tcPr>
            <w:tcW w:w="1123" w:type="dxa"/>
            <w:tcBorders>
              <w:top w:val="nil"/>
              <w:left w:val="nil"/>
              <w:bottom w:val="single" w:sz="4" w:space="0" w:color="auto"/>
              <w:right w:val="single" w:sz="4" w:space="0" w:color="auto"/>
            </w:tcBorders>
            <w:noWrap/>
            <w:vAlign w:val="bottom"/>
            <w:hideMark/>
          </w:tcPr>
          <w:p w14:paraId="71970BBC"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557</w:t>
            </w:r>
          </w:p>
        </w:tc>
        <w:tc>
          <w:tcPr>
            <w:tcW w:w="1009" w:type="dxa"/>
            <w:tcBorders>
              <w:top w:val="nil"/>
              <w:left w:val="nil"/>
              <w:bottom w:val="single" w:sz="4" w:space="0" w:color="auto"/>
              <w:right w:val="single" w:sz="4" w:space="0" w:color="auto"/>
            </w:tcBorders>
            <w:noWrap/>
            <w:vAlign w:val="bottom"/>
            <w:hideMark/>
          </w:tcPr>
          <w:p w14:paraId="4AAA1D56"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111</w:t>
            </w:r>
          </w:p>
        </w:tc>
        <w:tc>
          <w:tcPr>
            <w:tcW w:w="870" w:type="dxa"/>
            <w:tcBorders>
              <w:top w:val="nil"/>
              <w:left w:val="nil"/>
              <w:bottom w:val="single" w:sz="4" w:space="0" w:color="auto"/>
              <w:right w:val="single" w:sz="4" w:space="0" w:color="auto"/>
            </w:tcBorders>
            <w:noWrap/>
            <w:vAlign w:val="bottom"/>
            <w:hideMark/>
          </w:tcPr>
          <w:p w14:paraId="7B3457C3"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265</w:t>
            </w:r>
          </w:p>
        </w:tc>
        <w:tc>
          <w:tcPr>
            <w:tcW w:w="719" w:type="dxa"/>
            <w:tcBorders>
              <w:top w:val="nil"/>
              <w:left w:val="nil"/>
              <w:bottom w:val="single" w:sz="4" w:space="0" w:color="auto"/>
              <w:right w:val="single" w:sz="4" w:space="0" w:color="auto"/>
            </w:tcBorders>
            <w:noWrap/>
            <w:vAlign w:val="bottom"/>
            <w:hideMark/>
          </w:tcPr>
          <w:p w14:paraId="2217C6C8"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53</w:t>
            </w:r>
          </w:p>
        </w:tc>
        <w:tc>
          <w:tcPr>
            <w:tcW w:w="810" w:type="dxa"/>
            <w:tcBorders>
              <w:top w:val="nil"/>
              <w:left w:val="nil"/>
              <w:bottom w:val="single" w:sz="4" w:space="0" w:color="auto"/>
              <w:right w:val="single" w:sz="4" w:space="0" w:color="auto"/>
            </w:tcBorders>
            <w:noWrap/>
            <w:vAlign w:val="bottom"/>
            <w:hideMark/>
          </w:tcPr>
          <w:p w14:paraId="0531B2B6"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51,526</w:t>
            </w:r>
          </w:p>
        </w:tc>
        <w:tc>
          <w:tcPr>
            <w:tcW w:w="719" w:type="dxa"/>
            <w:tcBorders>
              <w:top w:val="nil"/>
              <w:left w:val="nil"/>
              <w:bottom w:val="single" w:sz="4" w:space="0" w:color="auto"/>
              <w:right w:val="single" w:sz="4" w:space="0" w:color="auto"/>
            </w:tcBorders>
            <w:noWrap/>
            <w:vAlign w:val="bottom"/>
            <w:hideMark/>
          </w:tcPr>
          <w:p w14:paraId="5EA1B19A"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10,305</w:t>
            </w:r>
          </w:p>
        </w:tc>
        <w:tc>
          <w:tcPr>
            <w:tcW w:w="719" w:type="dxa"/>
            <w:tcBorders>
              <w:top w:val="nil"/>
              <w:left w:val="nil"/>
              <w:bottom w:val="single" w:sz="4" w:space="0" w:color="auto"/>
              <w:right w:val="single" w:sz="4" w:space="0" w:color="auto"/>
            </w:tcBorders>
            <w:noWrap/>
            <w:vAlign w:val="bottom"/>
            <w:hideMark/>
          </w:tcPr>
          <w:p w14:paraId="7C2757B4"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2,599</w:t>
            </w:r>
          </w:p>
        </w:tc>
        <w:tc>
          <w:tcPr>
            <w:tcW w:w="739" w:type="dxa"/>
            <w:tcBorders>
              <w:top w:val="nil"/>
              <w:left w:val="nil"/>
              <w:bottom w:val="single" w:sz="4" w:space="0" w:color="auto"/>
              <w:right w:val="single" w:sz="4" w:space="0" w:color="auto"/>
            </w:tcBorders>
            <w:noWrap/>
            <w:vAlign w:val="bottom"/>
            <w:hideMark/>
          </w:tcPr>
          <w:p w14:paraId="0C5C90C6"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520</w:t>
            </w:r>
          </w:p>
        </w:tc>
      </w:tr>
      <w:tr w:rsidR="00F16EB8" w:rsidRPr="00B63409" w14:paraId="596E4B3D" w14:textId="77777777" w:rsidTr="00BE6FF5">
        <w:trPr>
          <w:trHeight w:val="289"/>
        </w:trPr>
        <w:tc>
          <w:tcPr>
            <w:tcW w:w="1207" w:type="dxa"/>
            <w:vMerge w:val="restart"/>
            <w:tcBorders>
              <w:top w:val="nil"/>
              <w:left w:val="single" w:sz="4" w:space="0" w:color="auto"/>
              <w:bottom w:val="single" w:sz="4" w:space="0" w:color="000000"/>
              <w:right w:val="single" w:sz="4" w:space="0" w:color="auto"/>
            </w:tcBorders>
            <w:vAlign w:val="center"/>
            <w:hideMark/>
          </w:tcPr>
          <w:p w14:paraId="419A57CB" w14:textId="77777777" w:rsidR="00F16EB8" w:rsidRPr="00B63409" w:rsidRDefault="00F16EB8" w:rsidP="00BE6FF5">
            <w:pPr>
              <w:spacing w:line="276" w:lineRule="auto"/>
              <w:rPr>
                <w:rFonts w:asciiTheme="minorHAnsi" w:hAnsiTheme="minorHAnsi" w:cstheme="minorHAnsi"/>
                <w:color w:val="000000"/>
                <w:sz w:val="18"/>
                <w:szCs w:val="18"/>
                <w:lang w:val="en-GB" w:eastAsia="en-GB"/>
              </w:rPr>
            </w:pPr>
            <w:proofErr w:type="spellStart"/>
            <w:r w:rsidRPr="00B63409">
              <w:rPr>
                <w:rFonts w:asciiTheme="minorHAnsi" w:hAnsiTheme="minorHAnsi" w:cstheme="minorHAnsi"/>
                <w:color w:val="000000"/>
                <w:sz w:val="18"/>
                <w:szCs w:val="18"/>
                <w:lang w:val="en-GB" w:eastAsia="en-GB"/>
              </w:rPr>
              <w:t>Proiecte</w:t>
            </w:r>
            <w:proofErr w:type="spellEnd"/>
            <w:r w:rsidRPr="00B63409">
              <w:rPr>
                <w:rFonts w:asciiTheme="minorHAnsi" w:hAnsiTheme="minorHAnsi" w:cstheme="minorHAnsi"/>
                <w:color w:val="000000"/>
                <w:sz w:val="18"/>
                <w:szCs w:val="18"/>
                <w:lang w:val="en-GB" w:eastAsia="en-GB"/>
              </w:rPr>
              <w:t xml:space="preserve"> cu </w:t>
            </w:r>
            <w:proofErr w:type="spellStart"/>
            <w:r w:rsidRPr="00B63409">
              <w:rPr>
                <w:rFonts w:asciiTheme="minorHAnsi" w:hAnsiTheme="minorHAnsi" w:cstheme="minorHAnsi"/>
                <w:color w:val="000000"/>
                <w:sz w:val="18"/>
                <w:szCs w:val="18"/>
                <w:lang w:val="en-GB" w:eastAsia="en-GB"/>
              </w:rPr>
              <w:t>finanțate</w:t>
            </w:r>
            <w:proofErr w:type="spellEnd"/>
            <w:r w:rsidRPr="00B63409">
              <w:rPr>
                <w:rFonts w:asciiTheme="minorHAnsi" w:hAnsiTheme="minorHAnsi" w:cstheme="minorHAnsi"/>
                <w:color w:val="000000"/>
                <w:sz w:val="18"/>
                <w:szCs w:val="18"/>
                <w:lang w:val="en-GB" w:eastAsia="en-GB"/>
              </w:rPr>
              <w:t xml:space="preserve"> din </w:t>
            </w:r>
            <w:proofErr w:type="spellStart"/>
            <w:r w:rsidRPr="00B63409">
              <w:rPr>
                <w:rFonts w:asciiTheme="minorHAnsi" w:hAnsiTheme="minorHAnsi" w:cstheme="minorHAnsi"/>
                <w:color w:val="000000"/>
                <w:sz w:val="18"/>
                <w:szCs w:val="18"/>
                <w:lang w:val="en-GB" w:eastAsia="en-GB"/>
              </w:rPr>
              <w:t>sumele</w:t>
            </w:r>
            <w:proofErr w:type="spellEnd"/>
            <w:r w:rsidRPr="00B63409">
              <w:rPr>
                <w:rFonts w:asciiTheme="minorHAnsi" w:hAnsiTheme="minorHAnsi" w:cstheme="minorHAnsi"/>
                <w:color w:val="000000"/>
                <w:sz w:val="18"/>
                <w:szCs w:val="18"/>
                <w:lang w:val="en-GB" w:eastAsia="en-GB"/>
              </w:rPr>
              <w:t xml:space="preserve"> </w:t>
            </w:r>
            <w:proofErr w:type="spellStart"/>
            <w:r w:rsidRPr="00B63409">
              <w:rPr>
                <w:rFonts w:asciiTheme="minorHAnsi" w:hAnsiTheme="minorHAnsi" w:cstheme="minorHAnsi"/>
                <w:color w:val="000000"/>
                <w:sz w:val="18"/>
                <w:szCs w:val="18"/>
                <w:lang w:val="en-GB" w:eastAsia="en-GB"/>
              </w:rPr>
              <w:t>reprezentând</w:t>
            </w:r>
            <w:proofErr w:type="spellEnd"/>
            <w:r w:rsidRPr="00B63409">
              <w:rPr>
                <w:rFonts w:asciiTheme="minorHAnsi" w:hAnsiTheme="minorHAnsi" w:cstheme="minorHAnsi"/>
                <w:color w:val="000000"/>
                <w:sz w:val="18"/>
                <w:szCs w:val="18"/>
                <w:lang w:val="en-GB" w:eastAsia="en-GB"/>
              </w:rPr>
              <w:t xml:space="preserve"> </w:t>
            </w:r>
            <w:proofErr w:type="spellStart"/>
            <w:r w:rsidRPr="00B63409">
              <w:rPr>
                <w:rFonts w:asciiTheme="minorHAnsi" w:hAnsiTheme="minorHAnsi" w:cstheme="minorHAnsi"/>
                <w:color w:val="000000"/>
                <w:sz w:val="18"/>
                <w:szCs w:val="18"/>
                <w:lang w:val="en-GB" w:eastAsia="en-GB"/>
              </w:rPr>
              <w:t>asistență</w:t>
            </w:r>
            <w:proofErr w:type="spellEnd"/>
            <w:r w:rsidRPr="00B63409">
              <w:rPr>
                <w:rFonts w:asciiTheme="minorHAnsi" w:hAnsiTheme="minorHAnsi" w:cstheme="minorHAnsi"/>
                <w:color w:val="000000"/>
                <w:sz w:val="18"/>
                <w:szCs w:val="18"/>
                <w:lang w:val="en-GB" w:eastAsia="en-GB"/>
              </w:rPr>
              <w:t xml:space="preserve"> </w:t>
            </w:r>
            <w:proofErr w:type="spellStart"/>
            <w:r w:rsidRPr="00B63409">
              <w:rPr>
                <w:rFonts w:asciiTheme="minorHAnsi" w:hAnsiTheme="minorHAnsi" w:cstheme="minorHAnsi"/>
                <w:color w:val="000000"/>
                <w:sz w:val="18"/>
                <w:szCs w:val="18"/>
                <w:lang w:val="en-GB" w:eastAsia="en-GB"/>
              </w:rPr>
              <w:t>financiară</w:t>
            </w:r>
            <w:proofErr w:type="spellEnd"/>
            <w:r w:rsidRPr="00B63409">
              <w:rPr>
                <w:rFonts w:asciiTheme="minorHAnsi" w:hAnsiTheme="minorHAnsi" w:cstheme="minorHAnsi"/>
                <w:color w:val="000000"/>
                <w:sz w:val="18"/>
                <w:szCs w:val="18"/>
                <w:lang w:val="en-GB" w:eastAsia="en-GB"/>
              </w:rPr>
              <w:t xml:space="preserve"> </w:t>
            </w:r>
          </w:p>
        </w:tc>
        <w:tc>
          <w:tcPr>
            <w:tcW w:w="676" w:type="dxa"/>
            <w:tcBorders>
              <w:top w:val="nil"/>
              <w:left w:val="nil"/>
              <w:bottom w:val="single" w:sz="4" w:space="0" w:color="auto"/>
              <w:right w:val="single" w:sz="4" w:space="0" w:color="auto"/>
            </w:tcBorders>
            <w:vAlign w:val="center"/>
            <w:hideMark/>
          </w:tcPr>
          <w:p w14:paraId="5926E83A" w14:textId="77777777" w:rsidR="00F16EB8" w:rsidRPr="00B63409" w:rsidRDefault="00F16EB8" w:rsidP="00BE6FF5">
            <w:pPr>
              <w:spacing w:line="276" w:lineRule="auto"/>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CA</w:t>
            </w:r>
          </w:p>
        </w:tc>
        <w:tc>
          <w:tcPr>
            <w:tcW w:w="987" w:type="dxa"/>
            <w:tcBorders>
              <w:top w:val="nil"/>
              <w:left w:val="nil"/>
              <w:bottom w:val="single" w:sz="4" w:space="0" w:color="auto"/>
              <w:right w:val="single" w:sz="4" w:space="0" w:color="auto"/>
            </w:tcBorders>
            <w:noWrap/>
            <w:vAlign w:val="bottom"/>
            <w:hideMark/>
          </w:tcPr>
          <w:p w14:paraId="44A7DEF9"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658</w:t>
            </w:r>
          </w:p>
        </w:tc>
        <w:tc>
          <w:tcPr>
            <w:tcW w:w="882" w:type="dxa"/>
            <w:tcBorders>
              <w:top w:val="nil"/>
              <w:left w:val="nil"/>
              <w:bottom w:val="single" w:sz="4" w:space="0" w:color="auto"/>
              <w:right w:val="single" w:sz="4" w:space="0" w:color="auto"/>
            </w:tcBorders>
            <w:noWrap/>
            <w:vAlign w:val="bottom"/>
            <w:hideMark/>
          </w:tcPr>
          <w:p w14:paraId="7721D17E"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132</w:t>
            </w:r>
          </w:p>
        </w:tc>
        <w:tc>
          <w:tcPr>
            <w:tcW w:w="1123" w:type="dxa"/>
            <w:tcBorders>
              <w:top w:val="nil"/>
              <w:left w:val="nil"/>
              <w:bottom w:val="single" w:sz="4" w:space="0" w:color="auto"/>
              <w:right w:val="single" w:sz="4" w:space="0" w:color="auto"/>
            </w:tcBorders>
            <w:noWrap/>
            <w:vAlign w:val="bottom"/>
            <w:hideMark/>
          </w:tcPr>
          <w:p w14:paraId="676EC336"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658</w:t>
            </w:r>
          </w:p>
        </w:tc>
        <w:tc>
          <w:tcPr>
            <w:tcW w:w="1009" w:type="dxa"/>
            <w:tcBorders>
              <w:top w:val="nil"/>
              <w:left w:val="nil"/>
              <w:bottom w:val="single" w:sz="4" w:space="0" w:color="auto"/>
              <w:right w:val="single" w:sz="4" w:space="0" w:color="auto"/>
            </w:tcBorders>
            <w:noWrap/>
            <w:vAlign w:val="bottom"/>
            <w:hideMark/>
          </w:tcPr>
          <w:p w14:paraId="1F43D2F3"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132</w:t>
            </w:r>
          </w:p>
        </w:tc>
        <w:tc>
          <w:tcPr>
            <w:tcW w:w="870" w:type="dxa"/>
            <w:tcBorders>
              <w:top w:val="nil"/>
              <w:left w:val="nil"/>
              <w:bottom w:val="single" w:sz="4" w:space="0" w:color="auto"/>
              <w:right w:val="single" w:sz="4" w:space="0" w:color="auto"/>
            </w:tcBorders>
            <w:noWrap/>
            <w:vAlign w:val="bottom"/>
            <w:hideMark/>
          </w:tcPr>
          <w:p w14:paraId="08007013"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19" w:type="dxa"/>
            <w:tcBorders>
              <w:top w:val="nil"/>
              <w:left w:val="nil"/>
              <w:bottom w:val="single" w:sz="4" w:space="0" w:color="auto"/>
              <w:right w:val="single" w:sz="4" w:space="0" w:color="auto"/>
            </w:tcBorders>
            <w:noWrap/>
            <w:vAlign w:val="bottom"/>
            <w:hideMark/>
          </w:tcPr>
          <w:p w14:paraId="13D83A6F"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810" w:type="dxa"/>
            <w:tcBorders>
              <w:top w:val="nil"/>
              <w:left w:val="nil"/>
              <w:bottom w:val="single" w:sz="4" w:space="0" w:color="auto"/>
              <w:right w:val="single" w:sz="4" w:space="0" w:color="auto"/>
            </w:tcBorders>
            <w:noWrap/>
            <w:vAlign w:val="bottom"/>
            <w:hideMark/>
          </w:tcPr>
          <w:p w14:paraId="69466A45"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19" w:type="dxa"/>
            <w:tcBorders>
              <w:top w:val="nil"/>
              <w:left w:val="nil"/>
              <w:bottom w:val="single" w:sz="4" w:space="0" w:color="auto"/>
              <w:right w:val="single" w:sz="4" w:space="0" w:color="auto"/>
            </w:tcBorders>
            <w:noWrap/>
            <w:vAlign w:val="bottom"/>
            <w:hideMark/>
          </w:tcPr>
          <w:p w14:paraId="4D67D0E0"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19" w:type="dxa"/>
            <w:tcBorders>
              <w:top w:val="nil"/>
              <w:left w:val="nil"/>
              <w:bottom w:val="single" w:sz="4" w:space="0" w:color="auto"/>
              <w:right w:val="single" w:sz="4" w:space="0" w:color="auto"/>
            </w:tcBorders>
            <w:noWrap/>
            <w:vAlign w:val="bottom"/>
            <w:hideMark/>
          </w:tcPr>
          <w:p w14:paraId="22C50C3A"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39" w:type="dxa"/>
            <w:tcBorders>
              <w:top w:val="nil"/>
              <w:left w:val="nil"/>
              <w:bottom w:val="single" w:sz="4" w:space="0" w:color="auto"/>
              <w:right w:val="single" w:sz="4" w:space="0" w:color="auto"/>
            </w:tcBorders>
            <w:noWrap/>
            <w:vAlign w:val="bottom"/>
            <w:hideMark/>
          </w:tcPr>
          <w:p w14:paraId="7C72C14B"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r>
      <w:tr w:rsidR="00F16EB8" w:rsidRPr="00B63409" w14:paraId="0BA64CBB" w14:textId="77777777" w:rsidTr="00BE6FF5">
        <w:trPr>
          <w:trHeight w:val="300"/>
        </w:trPr>
        <w:tc>
          <w:tcPr>
            <w:tcW w:w="1207" w:type="dxa"/>
            <w:vMerge/>
            <w:tcBorders>
              <w:top w:val="nil"/>
              <w:left w:val="single" w:sz="4" w:space="0" w:color="auto"/>
              <w:bottom w:val="single" w:sz="4" w:space="0" w:color="000000"/>
              <w:right w:val="single" w:sz="4" w:space="0" w:color="auto"/>
            </w:tcBorders>
            <w:vAlign w:val="center"/>
            <w:hideMark/>
          </w:tcPr>
          <w:p w14:paraId="774939B3" w14:textId="77777777" w:rsidR="00F16EB8" w:rsidRPr="00B63409" w:rsidRDefault="00F16EB8" w:rsidP="00BE6FF5">
            <w:pPr>
              <w:spacing w:line="276" w:lineRule="auto"/>
              <w:rPr>
                <w:rFonts w:asciiTheme="minorHAnsi" w:hAnsiTheme="minorHAnsi" w:cstheme="minorHAnsi"/>
                <w:color w:val="000000"/>
                <w:sz w:val="18"/>
                <w:szCs w:val="18"/>
                <w:lang w:val="en-GB" w:eastAsia="en-GB"/>
              </w:rPr>
            </w:pPr>
          </w:p>
        </w:tc>
        <w:tc>
          <w:tcPr>
            <w:tcW w:w="676" w:type="dxa"/>
            <w:tcBorders>
              <w:top w:val="nil"/>
              <w:left w:val="nil"/>
              <w:bottom w:val="single" w:sz="4" w:space="0" w:color="auto"/>
              <w:right w:val="single" w:sz="4" w:space="0" w:color="auto"/>
            </w:tcBorders>
            <w:vAlign w:val="center"/>
            <w:hideMark/>
          </w:tcPr>
          <w:p w14:paraId="4F37805D" w14:textId="77777777" w:rsidR="00F16EB8" w:rsidRPr="00B63409" w:rsidRDefault="00F16EB8" w:rsidP="00BE6FF5">
            <w:pPr>
              <w:spacing w:line="276" w:lineRule="auto"/>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CB</w:t>
            </w:r>
          </w:p>
        </w:tc>
        <w:tc>
          <w:tcPr>
            <w:tcW w:w="987" w:type="dxa"/>
            <w:tcBorders>
              <w:top w:val="nil"/>
              <w:left w:val="nil"/>
              <w:bottom w:val="single" w:sz="4" w:space="0" w:color="auto"/>
              <w:right w:val="single" w:sz="4" w:space="0" w:color="auto"/>
            </w:tcBorders>
            <w:noWrap/>
            <w:vAlign w:val="bottom"/>
            <w:hideMark/>
          </w:tcPr>
          <w:p w14:paraId="1F443ED6"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658</w:t>
            </w:r>
          </w:p>
        </w:tc>
        <w:tc>
          <w:tcPr>
            <w:tcW w:w="882" w:type="dxa"/>
            <w:tcBorders>
              <w:top w:val="nil"/>
              <w:left w:val="nil"/>
              <w:bottom w:val="single" w:sz="4" w:space="0" w:color="auto"/>
              <w:right w:val="single" w:sz="4" w:space="0" w:color="auto"/>
            </w:tcBorders>
            <w:noWrap/>
            <w:vAlign w:val="bottom"/>
            <w:hideMark/>
          </w:tcPr>
          <w:p w14:paraId="182B636C"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132</w:t>
            </w:r>
          </w:p>
        </w:tc>
        <w:tc>
          <w:tcPr>
            <w:tcW w:w="1123" w:type="dxa"/>
            <w:tcBorders>
              <w:top w:val="nil"/>
              <w:left w:val="nil"/>
              <w:bottom w:val="single" w:sz="4" w:space="0" w:color="auto"/>
              <w:right w:val="single" w:sz="4" w:space="0" w:color="auto"/>
            </w:tcBorders>
            <w:noWrap/>
            <w:vAlign w:val="bottom"/>
            <w:hideMark/>
          </w:tcPr>
          <w:p w14:paraId="5391EB3E"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658</w:t>
            </w:r>
          </w:p>
        </w:tc>
        <w:tc>
          <w:tcPr>
            <w:tcW w:w="1009" w:type="dxa"/>
            <w:tcBorders>
              <w:top w:val="nil"/>
              <w:left w:val="nil"/>
              <w:bottom w:val="single" w:sz="4" w:space="0" w:color="auto"/>
              <w:right w:val="single" w:sz="4" w:space="0" w:color="auto"/>
            </w:tcBorders>
            <w:noWrap/>
            <w:vAlign w:val="bottom"/>
            <w:hideMark/>
          </w:tcPr>
          <w:p w14:paraId="1FFA8E87"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132</w:t>
            </w:r>
          </w:p>
        </w:tc>
        <w:tc>
          <w:tcPr>
            <w:tcW w:w="870" w:type="dxa"/>
            <w:tcBorders>
              <w:top w:val="nil"/>
              <w:left w:val="nil"/>
              <w:bottom w:val="single" w:sz="4" w:space="0" w:color="auto"/>
              <w:right w:val="single" w:sz="4" w:space="0" w:color="auto"/>
            </w:tcBorders>
            <w:noWrap/>
            <w:vAlign w:val="bottom"/>
            <w:hideMark/>
          </w:tcPr>
          <w:p w14:paraId="6A3AA52F"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19" w:type="dxa"/>
            <w:tcBorders>
              <w:top w:val="nil"/>
              <w:left w:val="nil"/>
              <w:bottom w:val="single" w:sz="4" w:space="0" w:color="auto"/>
              <w:right w:val="single" w:sz="4" w:space="0" w:color="auto"/>
            </w:tcBorders>
            <w:noWrap/>
            <w:vAlign w:val="bottom"/>
            <w:hideMark/>
          </w:tcPr>
          <w:p w14:paraId="66DFFB9A"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810" w:type="dxa"/>
            <w:tcBorders>
              <w:top w:val="nil"/>
              <w:left w:val="nil"/>
              <w:bottom w:val="single" w:sz="4" w:space="0" w:color="auto"/>
              <w:right w:val="single" w:sz="4" w:space="0" w:color="auto"/>
            </w:tcBorders>
            <w:noWrap/>
            <w:vAlign w:val="bottom"/>
            <w:hideMark/>
          </w:tcPr>
          <w:p w14:paraId="39C422A1"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19" w:type="dxa"/>
            <w:tcBorders>
              <w:top w:val="nil"/>
              <w:left w:val="nil"/>
              <w:bottom w:val="single" w:sz="4" w:space="0" w:color="auto"/>
              <w:right w:val="single" w:sz="4" w:space="0" w:color="auto"/>
            </w:tcBorders>
            <w:noWrap/>
            <w:vAlign w:val="bottom"/>
            <w:hideMark/>
          </w:tcPr>
          <w:p w14:paraId="3471529B"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19" w:type="dxa"/>
            <w:tcBorders>
              <w:top w:val="nil"/>
              <w:left w:val="nil"/>
              <w:bottom w:val="single" w:sz="4" w:space="0" w:color="auto"/>
              <w:right w:val="single" w:sz="4" w:space="0" w:color="auto"/>
            </w:tcBorders>
            <w:noWrap/>
            <w:vAlign w:val="bottom"/>
            <w:hideMark/>
          </w:tcPr>
          <w:p w14:paraId="7A7ACF29"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39" w:type="dxa"/>
            <w:tcBorders>
              <w:top w:val="nil"/>
              <w:left w:val="nil"/>
              <w:bottom w:val="single" w:sz="4" w:space="0" w:color="auto"/>
              <w:right w:val="single" w:sz="4" w:space="0" w:color="auto"/>
            </w:tcBorders>
            <w:noWrap/>
            <w:vAlign w:val="bottom"/>
            <w:hideMark/>
          </w:tcPr>
          <w:p w14:paraId="546A4357"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r>
      <w:tr w:rsidR="00F16EB8" w:rsidRPr="00B63409" w14:paraId="4219FD0D" w14:textId="77777777" w:rsidTr="00BE6FF5">
        <w:trPr>
          <w:trHeight w:val="300"/>
        </w:trPr>
        <w:tc>
          <w:tcPr>
            <w:tcW w:w="1207" w:type="dxa"/>
            <w:vMerge w:val="restart"/>
            <w:tcBorders>
              <w:top w:val="nil"/>
              <w:left w:val="single" w:sz="4" w:space="0" w:color="auto"/>
              <w:bottom w:val="single" w:sz="4" w:space="0" w:color="000000"/>
              <w:right w:val="single" w:sz="4" w:space="0" w:color="auto"/>
            </w:tcBorders>
            <w:vAlign w:val="center"/>
            <w:hideMark/>
          </w:tcPr>
          <w:p w14:paraId="05DA5989" w14:textId="77777777" w:rsidR="00F16EB8" w:rsidRPr="00B63409" w:rsidRDefault="00F16EB8" w:rsidP="00BE6FF5">
            <w:pPr>
              <w:spacing w:line="276" w:lineRule="auto"/>
              <w:rPr>
                <w:rFonts w:asciiTheme="minorHAnsi" w:hAnsiTheme="minorHAnsi" w:cstheme="minorHAnsi"/>
                <w:color w:val="000000"/>
                <w:sz w:val="18"/>
                <w:szCs w:val="18"/>
                <w:lang w:val="en-GB" w:eastAsia="en-GB"/>
              </w:rPr>
            </w:pPr>
            <w:proofErr w:type="spellStart"/>
            <w:r w:rsidRPr="00B63409">
              <w:rPr>
                <w:rFonts w:asciiTheme="minorHAnsi" w:hAnsiTheme="minorHAnsi" w:cstheme="minorHAnsi"/>
                <w:color w:val="000000"/>
                <w:sz w:val="18"/>
                <w:szCs w:val="18"/>
                <w:lang w:val="en-GB" w:eastAsia="en-GB"/>
              </w:rPr>
              <w:t>Cheltuieli</w:t>
            </w:r>
            <w:proofErr w:type="spellEnd"/>
            <w:r w:rsidRPr="00B63409">
              <w:rPr>
                <w:rFonts w:asciiTheme="minorHAnsi" w:hAnsiTheme="minorHAnsi" w:cstheme="minorHAnsi"/>
                <w:color w:val="000000"/>
                <w:sz w:val="18"/>
                <w:szCs w:val="18"/>
                <w:lang w:val="en-GB" w:eastAsia="en-GB"/>
              </w:rPr>
              <w:t xml:space="preserve"> de capital</w:t>
            </w:r>
          </w:p>
        </w:tc>
        <w:tc>
          <w:tcPr>
            <w:tcW w:w="676" w:type="dxa"/>
            <w:tcBorders>
              <w:top w:val="nil"/>
              <w:left w:val="nil"/>
              <w:bottom w:val="single" w:sz="4" w:space="0" w:color="auto"/>
              <w:right w:val="single" w:sz="4" w:space="0" w:color="auto"/>
            </w:tcBorders>
            <w:vAlign w:val="center"/>
            <w:hideMark/>
          </w:tcPr>
          <w:p w14:paraId="24A987B5" w14:textId="77777777" w:rsidR="00F16EB8" w:rsidRPr="00B63409" w:rsidRDefault="00F16EB8" w:rsidP="00BE6FF5">
            <w:pPr>
              <w:spacing w:line="276" w:lineRule="auto"/>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CA</w:t>
            </w:r>
          </w:p>
        </w:tc>
        <w:tc>
          <w:tcPr>
            <w:tcW w:w="987" w:type="dxa"/>
            <w:tcBorders>
              <w:top w:val="nil"/>
              <w:left w:val="nil"/>
              <w:bottom w:val="single" w:sz="4" w:space="0" w:color="auto"/>
              <w:right w:val="single" w:sz="4" w:space="0" w:color="auto"/>
            </w:tcBorders>
            <w:noWrap/>
            <w:vAlign w:val="bottom"/>
            <w:hideMark/>
          </w:tcPr>
          <w:p w14:paraId="16C7E14E"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1,429</w:t>
            </w:r>
          </w:p>
        </w:tc>
        <w:tc>
          <w:tcPr>
            <w:tcW w:w="882" w:type="dxa"/>
            <w:tcBorders>
              <w:top w:val="nil"/>
              <w:left w:val="nil"/>
              <w:bottom w:val="single" w:sz="4" w:space="0" w:color="auto"/>
              <w:right w:val="single" w:sz="4" w:space="0" w:color="auto"/>
            </w:tcBorders>
            <w:noWrap/>
            <w:vAlign w:val="bottom"/>
            <w:hideMark/>
          </w:tcPr>
          <w:p w14:paraId="0D1B29CE"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259</w:t>
            </w:r>
          </w:p>
        </w:tc>
        <w:tc>
          <w:tcPr>
            <w:tcW w:w="1123" w:type="dxa"/>
            <w:tcBorders>
              <w:top w:val="nil"/>
              <w:left w:val="nil"/>
              <w:bottom w:val="single" w:sz="4" w:space="0" w:color="auto"/>
              <w:right w:val="single" w:sz="4" w:space="0" w:color="auto"/>
            </w:tcBorders>
            <w:noWrap/>
            <w:vAlign w:val="bottom"/>
            <w:hideMark/>
          </w:tcPr>
          <w:p w14:paraId="661F8DB7"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1,243</w:t>
            </w:r>
          </w:p>
        </w:tc>
        <w:tc>
          <w:tcPr>
            <w:tcW w:w="1009" w:type="dxa"/>
            <w:tcBorders>
              <w:top w:val="nil"/>
              <w:left w:val="nil"/>
              <w:bottom w:val="single" w:sz="4" w:space="0" w:color="auto"/>
              <w:right w:val="single" w:sz="4" w:space="0" w:color="auto"/>
            </w:tcBorders>
            <w:noWrap/>
            <w:vAlign w:val="bottom"/>
            <w:hideMark/>
          </w:tcPr>
          <w:p w14:paraId="638C8310"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249</w:t>
            </w:r>
          </w:p>
        </w:tc>
        <w:tc>
          <w:tcPr>
            <w:tcW w:w="870" w:type="dxa"/>
            <w:tcBorders>
              <w:top w:val="nil"/>
              <w:left w:val="nil"/>
              <w:bottom w:val="single" w:sz="4" w:space="0" w:color="auto"/>
              <w:right w:val="single" w:sz="4" w:space="0" w:color="auto"/>
            </w:tcBorders>
            <w:noWrap/>
            <w:vAlign w:val="bottom"/>
            <w:hideMark/>
          </w:tcPr>
          <w:p w14:paraId="208CF7FF"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135</w:t>
            </w:r>
          </w:p>
        </w:tc>
        <w:tc>
          <w:tcPr>
            <w:tcW w:w="719" w:type="dxa"/>
            <w:tcBorders>
              <w:top w:val="nil"/>
              <w:left w:val="nil"/>
              <w:bottom w:val="single" w:sz="4" w:space="0" w:color="auto"/>
              <w:right w:val="single" w:sz="4" w:space="0" w:color="auto"/>
            </w:tcBorders>
            <w:noWrap/>
            <w:vAlign w:val="bottom"/>
            <w:hideMark/>
          </w:tcPr>
          <w:p w14:paraId="5B12BCCA"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27</w:t>
            </w:r>
          </w:p>
        </w:tc>
        <w:tc>
          <w:tcPr>
            <w:tcW w:w="810" w:type="dxa"/>
            <w:tcBorders>
              <w:top w:val="nil"/>
              <w:left w:val="nil"/>
              <w:bottom w:val="single" w:sz="4" w:space="0" w:color="auto"/>
              <w:right w:val="single" w:sz="4" w:space="0" w:color="auto"/>
            </w:tcBorders>
            <w:noWrap/>
            <w:vAlign w:val="bottom"/>
            <w:hideMark/>
          </w:tcPr>
          <w:p w14:paraId="78E17256"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27</w:t>
            </w:r>
          </w:p>
        </w:tc>
        <w:tc>
          <w:tcPr>
            <w:tcW w:w="719" w:type="dxa"/>
            <w:tcBorders>
              <w:top w:val="nil"/>
              <w:left w:val="nil"/>
              <w:bottom w:val="single" w:sz="4" w:space="0" w:color="auto"/>
              <w:right w:val="single" w:sz="4" w:space="0" w:color="auto"/>
            </w:tcBorders>
            <w:noWrap/>
            <w:vAlign w:val="bottom"/>
            <w:hideMark/>
          </w:tcPr>
          <w:p w14:paraId="7BEC4F17"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w:t>
            </w:r>
          </w:p>
        </w:tc>
        <w:tc>
          <w:tcPr>
            <w:tcW w:w="719" w:type="dxa"/>
            <w:tcBorders>
              <w:top w:val="nil"/>
              <w:left w:val="nil"/>
              <w:bottom w:val="single" w:sz="4" w:space="0" w:color="auto"/>
              <w:right w:val="single" w:sz="4" w:space="0" w:color="auto"/>
            </w:tcBorders>
            <w:noWrap/>
            <w:vAlign w:val="bottom"/>
            <w:hideMark/>
          </w:tcPr>
          <w:p w14:paraId="33A31D51"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24</w:t>
            </w:r>
          </w:p>
        </w:tc>
        <w:tc>
          <w:tcPr>
            <w:tcW w:w="739" w:type="dxa"/>
            <w:tcBorders>
              <w:top w:val="nil"/>
              <w:left w:val="nil"/>
              <w:bottom w:val="single" w:sz="4" w:space="0" w:color="auto"/>
              <w:right w:val="single" w:sz="4" w:space="0" w:color="auto"/>
            </w:tcBorders>
            <w:noWrap/>
            <w:vAlign w:val="bottom"/>
            <w:hideMark/>
          </w:tcPr>
          <w:p w14:paraId="13A87EED"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w:t>
            </w:r>
          </w:p>
        </w:tc>
      </w:tr>
      <w:tr w:rsidR="00F16EB8" w:rsidRPr="00B63409" w14:paraId="514C0466" w14:textId="77777777" w:rsidTr="00BE6FF5">
        <w:trPr>
          <w:trHeight w:val="300"/>
        </w:trPr>
        <w:tc>
          <w:tcPr>
            <w:tcW w:w="1207" w:type="dxa"/>
            <w:vMerge/>
            <w:tcBorders>
              <w:top w:val="nil"/>
              <w:left w:val="single" w:sz="4" w:space="0" w:color="auto"/>
              <w:bottom w:val="single" w:sz="4" w:space="0" w:color="000000"/>
              <w:right w:val="single" w:sz="4" w:space="0" w:color="auto"/>
            </w:tcBorders>
            <w:vAlign w:val="center"/>
            <w:hideMark/>
          </w:tcPr>
          <w:p w14:paraId="7A0DA2FA" w14:textId="77777777" w:rsidR="00F16EB8" w:rsidRPr="00B63409" w:rsidRDefault="00F16EB8" w:rsidP="00BE6FF5">
            <w:pPr>
              <w:spacing w:line="276" w:lineRule="auto"/>
              <w:rPr>
                <w:rFonts w:asciiTheme="minorHAnsi" w:hAnsiTheme="minorHAnsi" w:cstheme="minorHAnsi"/>
                <w:color w:val="000000"/>
                <w:sz w:val="18"/>
                <w:szCs w:val="18"/>
                <w:lang w:val="en-GB" w:eastAsia="en-GB"/>
              </w:rPr>
            </w:pPr>
          </w:p>
        </w:tc>
        <w:tc>
          <w:tcPr>
            <w:tcW w:w="676" w:type="dxa"/>
            <w:tcBorders>
              <w:top w:val="nil"/>
              <w:left w:val="nil"/>
              <w:bottom w:val="single" w:sz="4" w:space="0" w:color="auto"/>
              <w:right w:val="single" w:sz="4" w:space="0" w:color="auto"/>
            </w:tcBorders>
            <w:noWrap/>
            <w:vAlign w:val="bottom"/>
            <w:hideMark/>
          </w:tcPr>
          <w:p w14:paraId="7832470E" w14:textId="77777777" w:rsidR="00F16EB8" w:rsidRPr="00B63409" w:rsidRDefault="00F16EB8" w:rsidP="00BE6FF5">
            <w:pPr>
              <w:spacing w:line="276" w:lineRule="auto"/>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CB</w:t>
            </w:r>
          </w:p>
        </w:tc>
        <w:tc>
          <w:tcPr>
            <w:tcW w:w="987" w:type="dxa"/>
            <w:tcBorders>
              <w:top w:val="nil"/>
              <w:left w:val="nil"/>
              <w:bottom w:val="single" w:sz="4" w:space="0" w:color="auto"/>
              <w:right w:val="single" w:sz="4" w:space="0" w:color="auto"/>
            </w:tcBorders>
            <w:noWrap/>
            <w:vAlign w:val="bottom"/>
            <w:hideMark/>
          </w:tcPr>
          <w:p w14:paraId="3BDCD634"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1,429</w:t>
            </w:r>
          </w:p>
        </w:tc>
        <w:tc>
          <w:tcPr>
            <w:tcW w:w="882" w:type="dxa"/>
            <w:tcBorders>
              <w:top w:val="nil"/>
              <w:left w:val="nil"/>
              <w:bottom w:val="single" w:sz="4" w:space="0" w:color="auto"/>
              <w:right w:val="single" w:sz="4" w:space="0" w:color="auto"/>
            </w:tcBorders>
            <w:noWrap/>
            <w:vAlign w:val="bottom"/>
            <w:hideMark/>
          </w:tcPr>
          <w:p w14:paraId="221254F2"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259</w:t>
            </w:r>
          </w:p>
        </w:tc>
        <w:tc>
          <w:tcPr>
            <w:tcW w:w="1123" w:type="dxa"/>
            <w:tcBorders>
              <w:top w:val="nil"/>
              <w:left w:val="nil"/>
              <w:bottom w:val="single" w:sz="4" w:space="0" w:color="auto"/>
              <w:right w:val="single" w:sz="4" w:space="0" w:color="auto"/>
            </w:tcBorders>
            <w:noWrap/>
            <w:vAlign w:val="bottom"/>
            <w:hideMark/>
          </w:tcPr>
          <w:p w14:paraId="34518967"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1,243</w:t>
            </w:r>
          </w:p>
        </w:tc>
        <w:tc>
          <w:tcPr>
            <w:tcW w:w="1009" w:type="dxa"/>
            <w:tcBorders>
              <w:top w:val="nil"/>
              <w:left w:val="nil"/>
              <w:bottom w:val="single" w:sz="4" w:space="0" w:color="auto"/>
              <w:right w:val="single" w:sz="4" w:space="0" w:color="auto"/>
            </w:tcBorders>
            <w:noWrap/>
            <w:vAlign w:val="bottom"/>
            <w:hideMark/>
          </w:tcPr>
          <w:p w14:paraId="371104D1"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249</w:t>
            </w:r>
          </w:p>
        </w:tc>
        <w:tc>
          <w:tcPr>
            <w:tcW w:w="870" w:type="dxa"/>
            <w:tcBorders>
              <w:top w:val="nil"/>
              <w:left w:val="nil"/>
              <w:bottom w:val="single" w:sz="4" w:space="0" w:color="auto"/>
              <w:right w:val="single" w:sz="4" w:space="0" w:color="auto"/>
            </w:tcBorders>
            <w:noWrap/>
            <w:vAlign w:val="bottom"/>
            <w:hideMark/>
          </w:tcPr>
          <w:p w14:paraId="22F29BF2"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135</w:t>
            </w:r>
          </w:p>
        </w:tc>
        <w:tc>
          <w:tcPr>
            <w:tcW w:w="719" w:type="dxa"/>
            <w:tcBorders>
              <w:top w:val="nil"/>
              <w:left w:val="nil"/>
              <w:bottom w:val="single" w:sz="4" w:space="0" w:color="auto"/>
              <w:right w:val="single" w:sz="4" w:space="0" w:color="auto"/>
            </w:tcBorders>
            <w:noWrap/>
            <w:vAlign w:val="bottom"/>
            <w:hideMark/>
          </w:tcPr>
          <w:p w14:paraId="50555A78"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27</w:t>
            </w:r>
          </w:p>
        </w:tc>
        <w:tc>
          <w:tcPr>
            <w:tcW w:w="810" w:type="dxa"/>
            <w:tcBorders>
              <w:top w:val="nil"/>
              <w:left w:val="nil"/>
              <w:bottom w:val="single" w:sz="4" w:space="0" w:color="auto"/>
              <w:right w:val="single" w:sz="4" w:space="0" w:color="auto"/>
            </w:tcBorders>
            <w:noWrap/>
            <w:vAlign w:val="bottom"/>
            <w:hideMark/>
          </w:tcPr>
          <w:p w14:paraId="757C9956"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27</w:t>
            </w:r>
          </w:p>
        </w:tc>
        <w:tc>
          <w:tcPr>
            <w:tcW w:w="719" w:type="dxa"/>
            <w:tcBorders>
              <w:top w:val="nil"/>
              <w:left w:val="nil"/>
              <w:bottom w:val="single" w:sz="4" w:space="0" w:color="auto"/>
              <w:right w:val="single" w:sz="4" w:space="0" w:color="auto"/>
            </w:tcBorders>
            <w:noWrap/>
            <w:vAlign w:val="bottom"/>
            <w:hideMark/>
          </w:tcPr>
          <w:p w14:paraId="48138016"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w:t>
            </w:r>
          </w:p>
        </w:tc>
        <w:tc>
          <w:tcPr>
            <w:tcW w:w="719" w:type="dxa"/>
            <w:tcBorders>
              <w:top w:val="nil"/>
              <w:left w:val="nil"/>
              <w:bottom w:val="single" w:sz="4" w:space="0" w:color="auto"/>
              <w:right w:val="single" w:sz="4" w:space="0" w:color="auto"/>
            </w:tcBorders>
            <w:noWrap/>
            <w:vAlign w:val="bottom"/>
            <w:hideMark/>
          </w:tcPr>
          <w:p w14:paraId="2F25B1F9"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24</w:t>
            </w:r>
          </w:p>
        </w:tc>
        <w:tc>
          <w:tcPr>
            <w:tcW w:w="739" w:type="dxa"/>
            <w:tcBorders>
              <w:top w:val="nil"/>
              <w:left w:val="nil"/>
              <w:bottom w:val="single" w:sz="4" w:space="0" w:color="auto"/>
              <w:right w:val="single" w:sz="4" w:space="0" w:color="auto"/>
            </w:tcBorders>
            <w:noWrap/>
            <w:vAlign w:val="bottom"/>
            <w:hideMark/>
          </w:tcPr>
          <w:p w14:paraId="54295919" w14:textId="77777777" w:rsidR="00F16EB8" w:rsidRPr="00B63409" w:rsidRDefault="00F16EB8" w:rsidP="00BE6FF5">
            <w:pPr>
              <w:spacing w:line="276" w:lineRule="auto"/>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w:t>
            </w:r>
          </w:p>
        </w:tc>
      </w:tr>
    </w:tbl>
    <w:p w14:paraId="736A1E45" w14:textId="486FA3F7" w:rsidR="00F95196" w:rsidRPr="00F95196" w:rsidRDefault="00F95196" w:rsidP="009E3AD8">
      <w:pPr>
        <w:spacing w:line="276" w:lineRule="auto"/>
        <w:jc w:val="center"/>
        <w:rPr>
          <w:rFonts w:ascii="Calibri" w:eastAsia="SimSun" w:hAnsi="Calibri" w:cs="Calibri"/>
          <w:b/>
          <w:bCs/>
          <w:sz w:val="26"/>
          <w:szCs w:val="26"/>
          <w:lang w:eastAsia="zh-CN"/>
        </w:rPr>
      </w:pPr>
    </w:p>
    <w:p w14:paraId="49183ADF" w14:textId="77777777" w:rsidR="00F95196" w:rsidRPr="00F95196" w:rsidRDefault="00F95196" w:rsidP="009E3AD8">
      <w:pPr>
        <w:spacing w:line="276" w:lineRule="auto"/>
        <w:jc w:val="center"/>
        <w:rPr>
          <w:rFonts w:ascii="Calibri" w:eastAsia="SimSun" w:hAnsi="Calibri" w:cs="Calibri"/>
          <w:b/>
          <w:bCs/>
          <w:sz w:val="26"/>
          <w:szCs w:val="26"/>
          <w:lang w:eastAsia="zh-CN"/>
        </w:rPr>
      </w:pPr>
      <w:r w:rsidRPr="00F95196">
        <w:rPr>
          <w:rFonts w:ascii="Calibri" w:hAnsi="Calibri" w:cs="Calibri"/>
          <w:sz w:val="26"/>
          <w:szCs w:val="26"/>
        </w:rPr>
        <w:tab/>
      </w:r>
      <w:r w:rsidRPr="00F95196">
        <w:rPr>
          <w:rFonts w:ascii="Calibri" w:hAnsi="Calibri" w:cs="Calibri"/>
          <w:sz w:val="26"/>
          <w:szCs w:val="26"/>
        </w:rPr>
        <w:tab/>
      </w:r>
      <w:r w:rsidRPr="00F95196">
        <w:rPr>
          <w:rFonts w:ascii="Calibri" w:hAnsi="Calibri" w:cs="Calibri"/>
          <w:sz w:val="26"/>
          <w:szCs w:val="26"/>
        </w:rPr>
        <w:tab/>
      </w:r>
      <w:r w:rsidRPr="00F95196">
        <w:rPr>
          <w:rFonts w:ascii="Calibri" w:hAnsi="Calibri" w:cs="Calibri"/>
          <w:sz w:val="26"/>
          <w:szCs w:val="26"/>
        </w:rPr>
        <w:tab/>
      </w:r>
      <w:r w:rsidRPr="00F95196">
        <w:rPr>
          <w:rFonts w:ascii="Calibri" w:hAnsi="Calibri" w:cs="Calibri"/>
          <w:sz w:val="26"/>
          <w:szCs w:val="26"/>
        </w:rPr>
        <w:tab/>
      </w:r>
      <w:r w:rsidRPr="00F95196">
        <w:rPr>
          <w:rFonts w:ascii="Calibri" w:hAnsi="Calibri" w:cs="Calibri"/>
          <w:sz w:val="26"/>
          <w:szCs w:val="26"/>
        </w:rPr>
        <w:tab/>
        <w:t xml:space="preserve">         </w:t>
      </w:r>
      <w:r w:rsidRPr="00F95196">
        <w:rPr>
          <w:rFonts w:ascii="Calibri" w:hAnsi="Calibri" w:cs="Calibri"/>
          <w:sz w:val="26"/>
          <w:szCs w:val="26"/>
        </w:rPr>
        <w:tab/>
      </w:r>
      <w:r w:rsidRPr="00F95196">
        <w:rPr>
          <w:rFonts w:ascii="Calibri" w:hAnsi="Calibri" w:cs="Calibri"/>
          <w:sz w:val="26"/>
          <w:szCs w:val="26"/>
        </w:rPr>
        <w:tab/>
      </w:r>
      <w:r w:rsidRPr="00F95196">
        <w:rPr>
          <w:rFonts w:ascii="Calibri" w:hAnsi="Calibri" w:cs="Calibri"/>
          <w:sz w:val="26"/>
          <w:szCs w:val="26"/>
        </w:rPr>
        <w:tab/>
      </w:r>
      <w:r w:rsidRPr="00F95196">
        <w:rPr>
          <w:rFonts w:ascii="Calibri" w:hAnsi="Calibri" w:cs="Calibri"/>
          <w:sz w:val="26"/>
          <w:szCs w:val="26"/>
        </w:rPr>
        <w:tab/>
      </w:r>
      <w:r w:rsidRPr="00F95196">
        <w:rPr>
          <w:rFonts w:ascii="Calibri" w:hAnsi="Calibri" w:cs="Calibri"/>
          <w:sz w:val="26"/>
          <w:szCs w:val="26"/>
        </w:rPr>
        <w:tab/>
      </w:r>
      <w:r w:rsidRPr="00F95196">
        <w:rPr>
          <w:rFonts w:ascii="Calibri" w:hAnsi="Calibri" w:cs="Calibri"/>
          <w:sz w:val="26"/>
          <w:szCs w:val="26"/>
        </w:rPr>
        <w:tab/>
        <w:t xml:space="preserve">  </w:t>
      </w:r>
      <w:r w:rsidRPr="00F95196">
        <w:rPr>
          <w:rFonts w:ascii="Calibri" w:eastAsia="SimSun" w:hAnsi="Calibri" w:cs="Calibri"/>
          <w:b/>
          <w:bCs/>
          <w:sz w:val="26"/>
          <w:szCs w:val="26"/>
          <w:lang w:eastAsia="zh-CN"/>
        </w:rPr>
        <w:t>miilei/euro</w:t>
      </w:r>
      <w:r w:rsidRPr="00F95196">
        <w:rPr>
          <w:rFonts w:ascii="Calibri" w:hAnsi="Calibri" w:cs="Calibri"/>
          <w:sz w:val="26"/>
          <w:szCs w:val="26"/>
        </w:rPr>
        <w:tab/>
      </w:r>
    </w:p>
    <w:tbl>
      <w:tblPr>
        <w:tblW w:w="10525" w:type="dxa"/>
        <w:tblLook w:val="04A0" w:firstRow="1" w:lastRow="0" w:firstColumn="1" w:lastColumn="0" w:noHBand="0" w:noVBand="1"/>
      </w:tblPr>
      <w:tblGrid>
        <w:gridCol w:w="1683"/>
        <w:gridCol w:w="680"/>
        <w:gridCol w:w="993"/>
        <w:gridCol w:w="887"/>
        <w:gridCol w:w="866"/>
        <w:gridCol w:w="810"/>
        <w:gridCol w:w="766"/>
        <w:gridCol w:w="720"/>
        <w:gridCol w:w="766"/>
        <w:gridCol w:w="794"/>
        <w:gridCol w:w="766"/>
        <w:gridCol w:w="794"/>
      </w:tblGrid>
      <w:tr w:rsidR="00F16EB8" w:rsidRPr="00B63409" w14:paraId="52988E1F" w14:textId="77777777" w:rsidTr="00BE6FF5">
        <w:trPr>
          <w:trHeight w:val="315"/>
        </w:trPr>
        <w:tc>
          <w:tcPr>
            <w:tcW w:w="1683" w:type="dxa"/>
            <w:tcBorders>
              <w:top w:val="single" w:sz="4" w:space="0" w:color="auto"/>
              <w:left w:val="single" w:sz="4" w:space="0" w:color="auto"/>
              <w:bottom w:val="single" w:sz="4" w:space="0" w:color="auto"/>
              <w:right w:val="single" w:sz="4" w:space="0" w:color="auto"/>
            </w:tcBorders>
            <w:shd w:val="clear" w:color="000000" w:fill="DBDBDB"/>
            <w:vAlign w:val="center"/>
            <w:hideMark/>
          </w:tcPr>
          <w:p w14:paraId="3B284DE0" w14:textId="77777777" w:rsidR="00F16EB8" w:rsidRPr="00B63409" w:rsidRDefault="00F16EB8" w:rsidP="00BE6FF5">
            <w:pP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ANUL 2025</w:t>
            </w:r>
          </w:p>
        </w:tc>
        <w:tc>
          <w:tcPr>
            <w:tcW w:w="680" w:type="dxa"/>
            <w:tcBorders>
              <w:top w:val="single" w:sz="4" w:space="0" w:color="auto"/>
              <w:left w:val="nil"/>
              <w:bottom w:val="single" w:sz="4" w:space="0" w:color="auto"/>
              <w:right w:val="single" w:sz="4" w:space="0" w:color="auto"/>
            </w:tcBorders>
            <w:shd w:val="clear" w:color="000000" w:fill="D9D9D9"/>
            <w:vAlign w:val="center"/>
            <w:hideMark/>
          </w:tcPr>
          <w:p w14:paraId="14406A36" w14:textId="77777777" w:rsidR="00F16EB8" w:rsidRPr="00B63409" w:rsidRDefault="00F16EB8" w:rsidP="00BE6FF5">
            <w:pP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 </w:t>
            </w:r>
          </w:p>
        </w:tc>
        <w:tc>
          <w:tcPr>
            <w:tcW w:w="1880"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0637594F" w14:textId="77777777" w:rsidR="00F16EB8" w:rsidRPr="00B63409" w:rsidRDefault="00F16EB8" w:rsidP="00BE6FF5">
            <w:pPr>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TOTAL</w:t>
            </w:r>
          </w:p>
        </w:tc>
        <w:tc>
          <w:tcPr>
            <w:tcW w:w="1676"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1469EE50" w14:textId="77777777" w:rsidR="00F16EB8" w:rsidRPr="00B63409" w:rsidRDefault="00F16EB8" w:rsidP="00BE6FF5">
            <w:pPr>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CSM APARAT PROPRIU</w:t>
            </w:r>
          </w:p>
        </w:tc>
        <w:tc>
          <w:tcPr>
            <w:tcW w:w="1486"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3EE838E5" w14:textId="77777777" w:rsidR="00F16EB8" w:rsidRPr="00B63409" w:rsidRDefault="00F16EB8" w:rsidP="00BE6FF5">
            <w:pPr>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INSPECTIA JUDICIARA</w:t>
            </w:r>
          </w:p>
        </w:tc>
        <w:tc>
          <w:tcPr>
            <w:tcW w:w="1560"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6DDB8E1E" w14:textId="77777777" w:rsidR="00F16EB8" w:rsidRPr="00B63409" w:rsidRDefault="00F16EB8" w:rsidP="00BE6FF5">
            <w:pPr>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INM</w:t>
            </w:r>
          </w:p>
        </w:tc>
        <w:tc>
          <w:tcPr>
            <w:tcW w:w="1560"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1AE80871" w14:textId="77777777" w:rsidR="00F16EB8" w:rsidRPr="00B63409" w:rsidRDefault="00F16EB8" w:rsidP="00BE6FF5">
            <w:pPr>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SNG</w:t>
            </w:r>
          </w:p>
        </w:tc>
      </w:tr>
      <w:tr w:rsidR="00F16EB8" w:rsidRPr="00B63409" w14:paraId="21EC2886" w14:textId="77777777" w:rsidTr="00BE6FF5">
        <w:trPr>
          <w:trHeight w:val="125"/>
        </w:trPr>
        <w:tc>
          <w:tcPr>
            <w:tcW w:w="1683" w:type="dxa"/>
            <w:tcBorders>
              <w:top w:val="nil"/>
              <w:left w:val="single" w:sz="4" w:space="0" w:color="auto"/>
              <w:bottom w:val="single" w:sz="4" w:space="0" w:color="auto"/>
              <w:right w:val="single" w:sz="4" w:space="0" w:color="auto"/>
            </w:tcBorders>
            <w:shd w:val="clear" w:color="000000" w:fill="D9D9D9"/>
            <w:vAlign w:val="center"/>
            <w:hideMark/>
          </w:tcPr>
          <w:p w14:paraId="41912882" w14:textId="77777777" w:rsidR="00F16EB8" w:rsidRPr="00B63409" w:rsidRDefault="00F16EB8" w:rsidP="00BE6FF5">
            <w:pP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BUGET  CSM</w:t>
            </w:r>
          </w:p>
        </w:tc>
        <w:tc>
          <w:tcPr>
            <w:tcW w:w="680" w:type="dxa"/>
            <w:tcBorders>
              <w:top w:val="nil"/>
              <w:left w:val="nil"/>
              <w:bottom w:val="single" w:sz="4" w:space="0" w:color="auto"/>
              <w:right w:val="single" w:sz="4" w:space="0" w:color="auto"/>
            </w:tcBorders>
            <w:shd w:val="clear" w:color="000000" w:fill="D9D9D9"/>
            <w:vAlign w:val="bottom"/>
            <w:hideMark/>
          </w:tcPr>
          <w:p w14:paraId="78CBD69E" w14:textId="77777777" w:rsidR="00F16EB8" w:rsidRPr="00B63409" w:rsidRDefault="00F16EB8" w:rsidP="00BE6FF5">
            <w:pPr>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 </w:t>
            </w:r>
          </w:p>
        </w:tc>
        <w:tc>
          <w:tcPr>
            <w:tcW w:w="993" w:type="dxa"/>
            <w:tcBorders>
              <w:top w:val="nil"/>
              <w:left w:val="nil"/>
              <w:bottom w:val="single" w:sz="4" w:space="0" w:color="auto"/>
              <w:right w:val="single" w:sz="4" w:space="0" w:color="auto"/>
            </w:tcBorders>
            <w:shd w:val="clear" w:color="000000" w:fill="D9D9D9"/>
            <w:noWrap/>
            <w:vAlign w:val="bottom"/>
            <w:hideMark/>
          </w:tcPr>
          <w:p w14:paraId="3EF571F8" w14:textId="77777777" w:rsidR="00F16EB8" w:rsidRPr="00B63409" w:rsidRDefault="00F16EB8" w:rsidP="00BE6FF5">
            <w:pPr>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LEI</w:t>
            </w:r>
          </w:p>
        </w:tc>
        <w:tc>
          <w:tcPr>
            <w:tcW w:w="887" w:type="dxa"/>
            <w:tcBorders>
              <w:top w:val="nil"/>
              <w:left w:val="nil"/>
              <w:bottom w:val="single" w:sz="4" w:space="0" w:color="auto"/>
              <w:right w:val="single" w:sz="4" w:space="0" w:color="auto"/>
            </w:tcBorders>
            <w:shd w:val="clear" w:color="000000" w:fill="D9D9D9"/>
            <w:noWrap/>
            <w:vAlign w:val="bottom"/>
            <w:hideMark/>
          </w:tcPr>
          <w:p w14:paraId="6922199F" w14:textId="77777777" w:rsidR="00F16EB8" w:rsidRPr="00B63409" w:rsidRDefault="00F16EB8" w:rsidP="00BE6FF5">
            <w:pPr>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EURO</w:t>
            </w:r>
          </w:p>
        </w:tc>
        <w:tc>
          <w:tcPr>
            <w:tcW w:w="866" w:type="dxa"/>
            <w:tcBorders>
              <w:top w:val="nil"/>
              <w:left w:val="nil"/>
              <w:bottom w:val="single" w:sz="4" w:space="0" w:color="auto"/>
              <w:right w:val="single" w:sz="4" w:space="0" w:color="auto"/>
            </w:tcBorders>
            <w:shd w:val="clear" w:color="000000" w:fill="D9D9D9"/>
            <w:noWrap/>
            <w:vAlign w:val="bottom"/>
            <w:hideMark/>
          </w:tcPr>
          <w:p w14:paraId="5C3DE37E" w14:textId="77777777" w:rsidR="00F16EB8" w:rsidRPr="00B63409" w:rsidRDefault="00F16EB8" w:rsidP="00BE6FF5">
            <w:pPr>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LEI</w:t>
            </w:r>
          </w:p>
        </w:tc>
        <w:tc>
          <w:tcPr>
            <w:tcW w:w="810" w:type="dxa"/>
            <w:tcBorders>
              <w:top w:val="nil"/>
              <w:left w:val="nil"/>
              <w:bottom w:val="single" w:sz="4" w:space="0" w:color="auto"/>
              <w:right w:val="single" w:sz="4" w:space="0" w:color="auto"/>
            </w:tcBorders>
            <w:shd w:val="clear" w:color="000000" w:fill="D9D9D9"/>
            <w:noWrap/>
            <w:vAlign w:val="bottom"/>
            <w:hideMark/>
          </w:tcPr>
          <w:p w14:paraId="4D4D46D8" w14:textId="77777777" w:rsidR="00F16EB8" w:rsidRPr="00B63409" w:rsidRDefault="00F16EB8" w:rsidP="00BE6FF5">
            <w:pPr>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EURO</w:t>
            </w:r>
          </w:p>
        </w:tc>
        <w:tc>
          <w:tcPr>
            <w:tcW w:w="766" w:type="dxa"/>
            <w:tcBorders>
              <w:top w:val="nil"/>
              <w:left w:val="nil"/>
              <w:bottom w:val="single" w:sz="4" w:space="0" w:color="auto"/>
              <w:right w:val="single" w:sz="4" w:space="0" w:color="auto"/>
            </w:tcBorders>
            <w:shd w:val="clear" w:color="000000" w:fill="D9D9D9"/>
            <w:noWrap/>
            <w:vAlign w:val="bottom"/>
            <w:hideMark/>
          </w:tcPr>
          <w:p w14:paraId="28A39FCA" w14:textId="77777777" w:rsidR="00F16EB8" w:rsidRPr="00B63409" w:rsidRDefault="00F16EB8" w:rsidP="00BE6FF5">
            <w:pPr>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 </w:t>
            </w:r>
          </w:p>
        </w:tc>
        <w:tc>
          <w:tcPr>
            <w:tcW w:w="720" w:type="dxa"/>
            <w:tcBorders>
              <w:top w:val="nil"/>
              <w:left w:val="nil"/>
              <w:bottom w:val="single" w:sz="4" w:space="0" w:color="auto"/>
              <w:right w:val="single" w:sz="4" w:space="0" w:color="auto"/>
            </w:tcBorders>
            <w:shd w:val="clear" w:color="000000" w:fill="D9D9D9"/>
            <w:noWrap/>
            <w:vAlign w:val="bottom"/>
            <w:hideMark/>
          </w:tcPr>
          <w:p w14:paraId="2835E1A0" w14:textId="77777777" w:rsidR="00F16EB8" w:rsidRPr="00B63409" w:rsidRDefault="00F16EB8" w:rsidP="00BE6FF5">
            <w:pPr>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 </w:t>
            </w:r>
          </w:p>
        </w:tc>
        <w:tc>
          <w:tcPr>
            <w:tcW w:w="766" w:type="dxa"/>
            <w:tcBorders>
              <w:top w:val="nil"/>
              <w:left w:val="nil"/>
              <w:bottom w:val="single" w:sz="4" w:space="0" w:color="auto"/>
              <w:right w:val="single" w:sz="4" w:space="0" w:color="auto"/>
            </w:tcBorders>
            <w:shd w:val="clear" w:color="000000" w:fill="D9D9D9"/>
            <w:noWrap/>
            <w:vAlign w:val="bottom"/>
            <w:hideMark/>
          </w:tcPr>
          <w:p w14:paraId="361D776A" w14:textId="77777777" w:rsidR="00F16EB8" w:rsidRPr="00B63409" w:rsidRDefault="00F16EB8" w:rsidP="00BE6FF5">
            <w:pPr>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LEI</w:t>
            </w:r>
          </w:p>
        </w:tc>
        <w:tc>
          <w:tcPr>
            <w:tcW w:w="794" w:type="dxa"/>
            <w:tcBorders>
              <w:top w:val="nil"/>
              <w:left w:val="nil"/>
              <w:bottom w:val="single" w:sz="4" w:space="0" w:color="auto"/>
              <w:right w:val="single" w:sz="4" w:space="0" w:color="auto"/>
            </w:tcBorders>
            <w:shd w:val="clear" w:color="000000" w:fill="D9D9D9"/>
            <w:noWrap/>
            <w:vAlign w:val="bottom"/>
            <w:hideMark/>
          </w:tcPr>
          <w:p w14:paraId="237AF181" w14:textId="77777777" w:rsidR="00F16EB8" w:rsidRPr="00B63409" w:rsidRDefault="00F16EB8" w:rsidP="00BE6FF5">
            <w:pPr>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EURO</w:t>
            </w:r>
          </w:p>
        </w:tc>
        <w:tc>
          <w:tcPr>
            <w:tcW w:w="766" w:type="dxa"/>
            <w:tcBorders>
              <w:top w:val="nil"/>
              <w:left w:val="nil"/>
              <w:bottom w:val="single" w:sz="4" w:space="0" w:color="auto"/>
              <w:right w:val="single" w:sz="4" w:space="0" w:color="auto"/>
            </w:tcBorders>
            <w:shd w:val="clear" w:color="000000" w:fill="D9D9D9"/>
            <w:noWrap/>
            <w:vAlign w:val="bottom"/>
            <w:hideMark/>
          </w:tcPr>
          <w:p w14:paraId="3E8FAD17" w14:textId="77777777" w:rsidR="00F16EB8" w:rsidRPr="00B63409" w:rsidRDefault="00F16EB8" w:rsidP="00BE6FF5">
            <w:pPr>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LEI</w:t>
            </w:r>
          </w:p>
        </w:tc>
        <w:tc>
          <w:tcPr>
            <w:tcW w:w="794" w:type="dxa"/>
            <w:tcBorders>
              <w:top w:val="nil"/>
              <w:left w:val="nil"/>
              <w:bottom w:val="single" w:sz="4" w:space="0" w:color="auto"/>
              <w:right w:val="single" w:sz="4" w:space="0" w:color="auto"/>
            </w:tcBorders>
            <w:shd w:val="clear" w:color="000000" w:fill="D9D9D9"/>
            <w:noWrap/>
            <w:vAlign w:val="bottom"/>
            <w:hideMark/>
          </w:tcPr>
          <w:p w14:paraId="28F03348" w14:textId="77777777" w:rsidR="00F16EB8" w:rsidRPr="00B63409" w:rsidRDefault="00F16EB8" w:rsidP="00BE6FF5">
            <w:pPr>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EURO</w:t>
            </w:r>
          </w:p>
        </w:tc>
      </w:tr>
      <w:tr w:rsidR="00F16EB8" w:rsidRPr="00B63409" w14:paraId="01BE6C87" w14:textId="77777777" w:rsidTr="00BE6FF5">
        <w:trPr>
          <w:trHeight w:val="300"/>
        </w:trPr>
        <w:tc>
          <w:tcPr>
            <w:tcW w:w="1683" w:type="dxa"/>
            <w:vMerge w:val="restart"/>
            <w:tcBorders>
              <w:top w:val="nil"/>
              <w:left w:val="single" w:sz="4" w:space="0" w:color="auto"/>
              <w:bottom w:val="single" w:sz="4" w:space="0" w:color="000000"/>
              <w:right w:val="single" w:sz="4" w:space="0" w:color="auto"/>
            </w:tcBorders>
            <w:vAlign w:val="center"/>
            <w:hideMark/>
          </w:tcPr>
          <w:p w14:paraId="7BDB6E93" w14:textId="77777777" w:rsidR="00F16EB8" w:rsidRPr="00B63409" w:rsidRDefault="00F16EB8" w:rsidP="00BE6FF5">
            <w:pPr>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TOTAL  din care:</w:t>
            </w:r>
          </w:p>
        </w:tc>
        <w:tc>
          <w:tcPr>
            <w:tcW w:w="680" w:type="dxa"/>
            <w:tcBorders>
              <w:top w:val="nil"/>
              <w:left w:val="nil"/>
              <w:bottom w:val="single" w:sz="4" w:space="0" w:color="auto"/>
              <w:right w:val="single" w:sz="4" w:space="0" w:color="auto"/>
            </w:tcBorders>
            <w:vAlign w:val="center"/>
            <w:hideMark/>
          </w:tcPr>
          <w:p w14:paraId="2C2DEBB3" w14:textId="77777777" w:rsidR="00F16EB8" w:rsidRPr="00B63409" w:rsidRDefault="00F16EB8" w:rsidP="00BE6FF5">
            <w:pP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CA</w:t>
            </w:r>
          </w:p>
        </w:tc>
        <w:tc>
          <w:tcPr>
            <w:tcW w:w="993" w:type="dxa"/>
            <w:tcBorders>
              <w:top w:val="nil"/>
              <w:left w:val="nil"/>
              <w:bottom w:val="single" w:sz="4" w:space="0" w:color="auto"/>
              <w:right w:val="single" w:sz="4" w:space="0" w:color="auto"/>
            </w:tcBorders>
            <w:noWrap/>
            <w:vAlign w:val="bottom"/>
            <w:hideMark/>
          </w:tcPr>
          <w:p w14:paraId="78B7F3E3" w14:textId="77777777" w:rsidR="00F16EB8" w:rsidRPr="00B63409" w:rsidRDefault="00F16EB8" w:rsidP="00BE6FF5">
            <w:pPr>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281,040</w:t>
            </w:r>
          </w:p>
        </w:tc>
        <w:tc>
          <w:tcPr>
            <w:tcW w:w="887" w:type="dxa"/>
            <w:tcBorders>
              <w:top w:val="nil"/>
              <w:left w:val="nil"/>
              <w:bottom w:val="single" w:sz="4" w:space="0" w:color="auto"/>
              <w:right w:val="single" w:sz="4" w:space="0" w:color="auto"/>
            </w:tcBorders>
            <w:noWrap/>
            <w:vAlign w:val="bottom"/>
            <w:hideMark/>
          </w:tcPr>
          <w:p w14:paraId="44143EB4" w14:textId="77777777" w:rsidR="00F16EB8" w:rsidRPr="00B63409" w:rsidRDefault="00F16EB8" w:rsidP="00BE6FF5">
            <w:pPr>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47,230</w:t>
            </w:r>
          </w:p>
        </w:tc>
        <w:tc>
          <w:tcPr>
            <w:tcW w:w="866" w:type="dxa"/>
            <w:tcBorders>
              <w:top w:val="nil"/>
              <w:left w:val="nil"/>
              <w:bottom w:val="single" w:sz="4" w:space="0" w:color="auto"/>
              <w:right w:val="single" w:sz="4" w:space="0" w:color="auto"/>
            </w:tcBorders>
            <w:noWrap/>
            <w:vAlign w:val="bottom"/>
            <w:hideMark/>
          </w:tcPr>
          <w:p w14:paraId="57B66751" w14:textId="77777777" w:rsidR="00F16EB8" w:rsidRPr="00B63409" w:rsidRDefault="00F16EB8" w:rsidP="00BE6FF5">
            <w:pPr>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120,318</w:t>
            </w:r>
          </w:p>
        </w:tc>
        <w:tc>
          <w:tcPr>
            <w:tcW w:w="810" w:type="dxa"/>
            <w:tcBorders>
              <w:top w:val="nil"/>
              <w:left w:val="nil"/>
              <w:bottom w:val="single" w:sz="4" w:space="0" w:color="auto"/>
              <w:right w:val="single" w:sz="4" w:space="0" w:color="auto"/>
            </w:tcBorders>
            <w:noWrap/>
            <w:vAlign w:val="bottom"/>
            <w:hideMark/>
          </w:tcPr>
          <w:p w14:paraId="0BA665CC" w14:textId="77777777" w:rsidR="00F16EB8" w:rsidRPr="00B63409" w:rsidRDefault="00F16EB8" w:rsidP="00BE6FF5">
            <w:pPr>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24,063</w:t>
            </w:r>
          </w:p>
        </w:tc>
        <w:tc>
          <w:tcPr>
            <w:tcW w:w="766" w:type="dxa"/>
            <w:tcBorders>
              <w:top w:val="nil"/>
              <w:left w:val="nil"/>
              <w:bottom w:val="single" w:sz="4" w:space="0" w:color="auto"/>
              <w:right w:val="single" w:sz="4" w:space="0" w:color="auto"/>
            </w:tcBorders>
            <w:noWrap/>
            <w:vAlign w:val="bottom"/>
            <w:hideMark/>
          </w:tcPr>
          <w:p w14:paraId="099BEEA5" w14:textId="77777777" w:rsidR="00F16EB8" w:rsidRPr="00B63409" w:rsidRDefault="00F16EB8" w:rsidP="00BE6FF5">
            <w:pPr>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44,258</w:t>
            </w:r>
          </w:p>
        </w:tc>
        <w:tc>
          <w:tcPr>
            <w:tcW w:w="720" w:type="dxa"/>
            <w:tcBorders>
              <w:top w:val="nil"/>
              <w:left w:val="nil"/>
              <w:bottom w:val="single" w:sz="4" w:space="0" w:color="auto"/>
              <w:right w:val="single" w:sz="4" w:space="0" w:color="auto"/>
            </w:tcBorders>
            <w:noWrap/>
            <w:vAlign w:val="bottom"/>
            <w:hideMark/>
          </w:tcPr>
          <w:p w14:paraId="3E1EF7DF" w14:textId="77777777" w:rsidR="00F16EB8" w:rsidRPr="00B63409" w:rsidRDefault="00F16EB8" w:rsidP="00BE6FF5">
            <w:pPr>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8,851</w:t>
            </w:r>
          </w:p>
        </w:tc>
        <w:tc>
          <w:tcPr>
            <w:tcW w:w="766" w:type="dxa"/>
            <w:tcBorders>
              <w:top w:val="nil"/>
              <w:left w:val="nil"/>
              <w:bottom w:val="single" w:sz="4" w:space="0" w:color="auto"/>
              <w:right w:val="single" w:sz="4" w:space="0" w:color="auto"/>
            </w:tcBorders>
            <w:noWrap/>
            <w:vAlign w:val="bottom"/>
            <w:hideMark/>
          </w:tcPr>
          <w:p w14:paraId="45180E3D" w14:textId="77777777" w:rsidR="00F16EB8" w:rsidRPr="00B63409" w:rsidRDefault="00F16EB8" w:rsidP="00BE6FF5">
            <w:pPr>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95,821</w:t>
            </w:r>
          </w:p>
        </w:tc>
        <w:tc>
          <w:tcPr>
            <w:tcW w:w="794" w:type="dxa"/>
            <w:tcBorders>
              <w:top w:val="nil"/>
              <w:left w:val="nil"/>
              <w:bottom w:val="single" w:sz="4" w:space="0" w:color="auto"/>
              <w:right w:val="single" w:sz="4" w:space="0" w:color="auto"/>
            </w:tcBorders>
            <w:noWrap/>
            <w:vAlign w:val="bottom"/>
            <w:hideMark/>
          </w:tcPr>
          <w:p w14:paraId="46E70709" w14:textId="77777777" w:rsidR="00F16EB8" w:rsidRPr="00B63409" w:rsidRDefault="00F16EB8" w:rsidP="00BE6FF5">
            <w:pPr>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19,165</w:t>
            </w:r>
          </w:p>
        </w:tc>
        <w:tc>
          <w:tcPr>
            <w:tcW w:w="766" w:type="dxa"/>
            <w:tcBorders>
              <w:top w:val="nil"/>
              <w:left w:val="nil"/>
              <w:bottom w:val="single" w:sz="4" w:space="0" w:color="auto"/>
              <w:right w:val="single" w:sz="4" w:space="0" w:color="auto"/>
            </w:tcBorders>
            <w:noWrap/>
            <w:vAlign w:val="bottom"/>
            <w:hideMark/>
          </w:tcPr>
          <w:p w14:paraId="2805CC0C" w14:textId="77777777" w:rsidR="00F16EB8" w:rsidRPr="00B63409" w:rsidRDefault="00F16EB8" w:rsidP="00BE6FF5">
            <w:pPr>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20,643</w:t>
            </w:r>
          </w:p>
        </w:tc>
        <w:tc>
          <w:tcPr>
            <w:tcW w:w="794" w:type="dxa"/>
            <w:tcBorders>
              <w:top w:val="nil"/>
              <w:left w:val="nil"/>
              <w:bottom w:val="single" w:sz="4" w:space="0" w:color="auto"/>
              <w:right w:val="single" w:sz="4" w:space="0" w:color="auto"/>
            </w:tcBorders>
            <w:noWrap/>
            <w:vAlign w:val="bottom"/>
            <w:hideMark/>
          </w:tcPr>
          <w:p w14:paraId="0171B1CB" w14:textId="77777777" w:rsidR="00F16EB8" w:rsidRPr="00B63409" w:rsidRDefault="00F16EB8" w:rsidP="00BE6FF5">
            <w:pPr>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4,129</w:t>
            </w:r>
          </w:p>
        </w:tc>
      </w:tr>
      <w:tr w:rsidR="00F16EB8" w:rsidRPr="00B63409" w14:paraId="05B146E1" w14:textId="77777777" w:rsidTr="00BE6FF5">
        <w:trPr>
          <w:trHeight w:val="300"/>
        </w:trPr>
        <w:tc>
          <w:tcPr>
            <w:tcW w:w="1683" w:type="dxa"/>
            <w:vMerge/>
            <w:tcBorders>
              <w:top w:val="nil"/>
              <w:left w:val="single" w:sz="4" w:space="0" w:color="auto"/>
              <w:bottom w:val="single" w:sz="4" w:space="0" w:color="000000"/>
              <w:right w:val="single" w:sz="4" w:space="0" w:color="auto"/>
            </w:tcBorders>
            <w:vAlign w:val="center"/>
            <w:hideMark/>
          </w:tcPr>
          <w:p w14:paraId="015617DE" w14:textId="77777777" w:rsidR="00F16EB8" w:rsidRPr="00B63409" w:rsidRDefault="00F16EB8" w:rsidP="00BE6FF5">
            <w:pPr>
              <w:rPr>
                <w:rFonts w:asciiTheme="minorHAnsi" w:hAnsiTheme="minorHAnsi" w:cstheme="minorHAnsi"/>
                <w:b/>
                <w:bCs/>
                <w:color w:val="000000"/>
                <w:sz w:val="18"/>
                <w:szCs w:val="18"/>
                <w:lang w:val="en-GB" w:eastAsia="en-GB"/>
              </w:rPr>
            </w:pPr>
          </w:p>
        </w:tc>
        <w:tc>
          <w:tcPr>
            <w:tcW w:w="680" w:type="dxa"/>
            <w:tcBorders>
              <w:top w:val="nil"/>
              <w:left w:val="nil"/>
              <w:bottom w:val="single" w:sz="4" w:space="0" w:color="auto"/>
              <w:right w:val="single" w:sz="4" w:space="0" w:color="auto"/>
            </w:tcBorders>
            <w:vAlign w:val="center"/>
            <w:hideMark/>
          </w:tcPr>
          <w:p w14:paraId="5EDE4DB0" w14:textId="77777777" w:rsidR="00F16EB8" w:rsidRPr="00B63409" w:rsidRDefault="00F16EB8" w:rsidP="00BE6FF5">
            <w:pP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CB</w:t>
            </w:r>
          </w:p>
        </w:tc>
        <w:tc>
          <w:tcPr>
            <w:tcW w:w="993" w:type="dxa"/>
            <w:tcBorders>
              <w:top w:val="nil"/>
              <w:left w:val="nil"/>
              <w:bottom w:val="single" w:sz="4" w:space="0" w:color="auto"/>
              <w:right w:val="single" w:sz="4" w:space="0" w:color="auto"/>
            </w:tcBorders>
            <w:noWrap/>
            <w:vAlign w:val="bottom"/>
            <w:hideMark/>
          </w:tcPr>
          <w:p w14:paraId="115746AE" w14:textId="77777777" w:rsidR="00F16EB8" w:rsidRPr="00B63409" w:rsidRDefault="00F16EB8" w:rsidP="00BE6FF5">
            <w:pPr>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276,186</w:t>
            </w:r>
          </w:p>
        </w:tc>
        <w:tc>
          <w:tcPr>
            <w:tcW w:w="887" w:type="dxa"/>
            <w:tcBorders>
              <w:top w:val="nil"/>
              <w:left w:val="nil"/>
              <w:bottom w:val="single" w:sz="4" w:space="0" w:color="auto"/>
              <w:right w:val="single" w:sz="4" w:space="0" w:color="auto"/>
            </w:tcBorders>
            <w:noWrap/>
            <w:vAlign w:val="bottom"/>
            <w:hideMark/>
          </w:tcPr>
          <w:p w14:paraId="5C3F4C23" w14:textId="77777777" w:rsidR="00F16EB8" w:rsidRPr="00B63409" w:rsidRDefault="00F16EB8" w:rsidP="00BE6FF5">
            <w:pPr>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46,259</w:t>
            </w:r>
          </w:p>
        </w:tc>
        <w:tc>
          <w:tcPr>
            <w:tcW w:w="866" w:type="dxa"/>
            <w:tcBorders>
              <w:top w:val="nil"/>
              <w:left w:val="nil"/>
              <w:bottom w:val="single" w:sz="4" w:space="0" w:color="auto"/>
              <w:right w:val="single" w:sz="4" w:space="0" w:color="auto"/>
            </w:tcBorders>
            <w:noWrap/>
            <w:vAlign w:val="bottom"/>
            <w:hideMark/>
          </w:tcPr>
          <w:p w14:paraId="0358CD22" w14:textId="77777777" w:rsidR="00F16EB8" w:rsidRPr="00B63409" w:rsidRDefault="00F16EB8" w:rsidP="00BE6FF5">
            <w:pPr>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117,681</w:t>
            </w:r>
          </w:p>
        </w:tc>
        <w:tc>
          <w:tcPr>
            <w:tcW w:w="810" w:type="dxa"/>
            <w:tcBorders>
              <w:top w:val="nil"/>
              <w:left w:val="nil"/>
              <w:bottom w:val="single" w:sz="4" w:space="0" w:color="auto"/>
              <w:right w:val="single" w:sz="4" w:space="0" w:color="auto"/>
            </w:tcBorders>
            <w:noWrap/>
            <w:vAlign w:val="bottom"/>
            <w:hideMark/>
          </w:tcPr>
          <w:p w14:paraId="00C252D8" w14:textId="77777777" w:rsidR="00F16EB8" w:rsidRPr="00B63409" w:rsidRDefault="00F16EB8" w:rsidP="00BE6FF5">
            <w:pPr>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23,536</w:t>
            </w:r>
          </w:p>
        </w:tc>
        <w:tc>
          <w:tcPr>
            <w:tcW w:w="766" w:type="dxa"/>
            <w:tcBorders>
              <w:top w:val="nil"/>
              <w:left w:val="nil"/>
              <w:bottom w:val="single" w:sz="4" w:space="0" w:color="auto"/>
              <w:right w:val="single" w:sz="4" w:space="0" w:color="auto"/>
            </w:tcBorders>
            <w:noWrap/>
            <w:vAlign w:val="bottom"/>
            <w:hideMark/>
          </w:tcPr>
          <w:p w14:paraId="39F0D281" w14:textId="77777777" w:rsidR="00F16EB8" w:rsidRPr="00B63409" w:rsidRDefault="00F16EB8" w:rsidP="00BE6FF5">
            <w:pPr>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44,258</w:t>
            </w:r>
          </w:p>
        </w:tc>
        <w:tc>
          <w:tcPr>
            <w:tcW w:w="720" w:type="dxa"/>
            <w:tcBorders>
              <w:top w:val="nil"/>
              <w:left w:val="nil"/>
              <w:bottom w:val="single" w:sz="4" w:space="0" w:color="auto"/>
              <w:right w:val="single" w:sz="4" w:space="0" w:color="auto"/>
            </w:tcBorders>
            <w:noWrap/>
            <w:vAlign w:val="bottom"/>
            <w:hideMark/>
          </w:tcPr>
          <w:p w14:paraId="66C874E1" w14:textId="77777777" w:rsidR="00F16EB8" w:rsidRPr="00B63409" w:rsidRDefault="00F16EB8" w:rsidP="00BE6FF5">
            <w:pPr>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8,851</w:t>
            </w:r>
          </w:p>
        </w:tc>
        <w:tc>
          <w:tcPr>
            <w:tcW w:w="766" w:type="dxa"/>
            <w:tcBorders>
              <w:top w:val="nil"/>
              <w:left w:val="nil"/>
              <w:bottom w:val="single" w:sz="4" w:space="0" w:color="auto"/>
              <w:right w:val="single" w:sz="4" w:space="0" w:color="auto"/>
            </w:tcBorders>
            <w:noWrap/>
            <w:vAlign w:val="bottom"/>
            <w:hideMark/>
          </w:tcPr>
          <w:p w14:paraId="3338D520" w14:textId="77777777" w:rsidR="00F16EB8" w:rsidRPr="00B63409" w:rsidRDefault="00F16EB8" w:rsidP="00BE6FF5">
            <w:pPr>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93,628</w:t>
            </w:r>
          </w:p>
        </w:tc>
        <w:tc>
          <w:tcPr>
            <w:tcW w:w="794" w:type="dxa"/>
            <w:tcBorders>
              <w:top w:val="nil"/>
              <w:left w:val="nil"/>
              <w:bottom w:val="single" w:sz="4" w:space="0" w:color="auto"/>
              <w:right w:val="single" w:sz="4" w:space="0" w:color="auto"/>
            </w:tcBorders>
            <w:noWrap/>
            <w:vAlign w:val="bottom"/>
            <w:hideMark/>
          </w:tcPr>
          <w:p w14:paraId="2654E9FE" w14:textId="77777777" w:rsidR="00F16EB8" w:rsidRPr="00B63409" w:rsidRDefault="00F16EB8" w:rsidP="00BE6FF5">
            <w:pPr>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18,726</w:t>
            </w:r>
          </w:p>
        </w:tc>
        <w:tc>
          <w:tcPr>
            <w:tcW w:w="766" w:type="dxa"/>
            <w:tcBorders>
              <w:top w:val="nil"/>
              <w:left w:val="nil"/>
              <w:bottom w:val="single" w:sz="4" w:space="0" w:color="auto"/>
              <w:right w:val="single" w:sz="4" w:space="0" w:color="auto"/>
            </w:tcBorders>
            <w:noWrap/>
            <w:vAlign w:val="bottom"/>
            <w:hideMark/>
          </w:tcPr>
          <w:p w14:paraId="22A1860C" w14:textId="77777777" w:rsidR="00F16EB8" w:rsidRPr="00B63409" w:rsidRDefault="00F16EB8" w:rsidP="00BE6FF5">
            <w:pPr>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20,619</w:t>
            </w:r>
          </w:p>
        </w:tc>
        <w:tc>
          <w:tcPr>
            <w:tcW w:w="794" w:type="dxa"/>
            <w:tcBorders>
              <w:top w:val="nil"/>
              <w:left w:val="nil"/>
              <w:bottom w:val="single" w:sz="4" w:space="0" w:color="auto"/>
              <w:right w:val="single" w:sz="4" w:space="0" w:color="auto"/>
            </w:tcBorders>
            <w:noWrap/>
            <w:vAlign w:val="bottom"/>
            <w:hideMark/>
          </w:tcPr>
          <w:p w14:paraId="29A04CDB" w14:textId="77777777" w:rsidR="00F16EB8" w:rsidRPr="00B63409" w:rsidRDefault="00F16EB8" w:rsidP="00BE6FF5">
            <w:pPr>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4,124</w:t>
            </w:r>
          </w:p>
        </w:tc>
      </w:tr>
      <w:tr w:rsidR="00F16EB8" w:rsidRPr="00B63409" w14:paraId="4E09CD33" w14:textId="77777777" w:rsidTr="00BE6FF5">
        <w:trPr>
          <w:trHeight w:val="300"/>
        </w:trPr>
        <w:tc>
          <w:tcPr>
            <w:tcW w:w="1683" w:type="dxa"/>
            <w:vMerge w:val="restart"/>
            <w:tcBorders>
              <w:top w:val="nil"/>
              <w:left w:val="single" w:sz="4" w:space="0" w:color="auto"/>
              <w:bottom w:val="single" w:sz="4" w:space="0" w:color="000000"/>
              <w:right w:val="single" w:sz="4" w:space="0" w:color="auto"/>
            </w:tcBorders>
            <w:vAlign w:val="center"/>
            <w:hideMark/>
          </w:tcPr>
          <w:p w14:paraId="7CF8C6A1" w14:textId="77777777" w:rsidR="00F16EB8" w:rsidRPr="00B63409" w:rsidRDefault="00F16EB8" w:rsidP="00BE6FF5">
            <w:pPr>
              <w:rPr>
                <w:rFonts w:asciiTheme="minorHAnsi" w:hAnsiTheme="minorHAnsi" w:cstheme="minorHAnsi"/>
                <w:color w:val="000000"/>
                <w:sz w:val="18"/>
                <w:szCs w:val="18"/>
                <w:lang w:val="en-GB" w:eastAsia="en-GB"/>
              </w:rPr>
            </w:pPr>
            <w:proofErr w:type="spellStart"/>
            <w:r w:rsidRPr="00B63409">
              <w:rPr>
                <w:rFonts w:asciiTheme="minorHAnsi" w:hAnsiTheme="minorHAnsi" w:cstheme="minorHAnsi"/>
                <w:color w:val="000000"/>
                <w:sz w:val="18"/>
                <w:szCs w:val="18"/>
                <w:lang w:val="en-GB" w:eastAsia="en-GB"/>
              </w:rPr>
              <w:t>Cheltuieli</w:t>
            </w:r>
            <w:proofErr w:type="spellEnd"/>
            <w:r w:rsidRPr="00B63409">
              <w:rPr>
                <w:rFonts w:asciiTheme="minorHAnsi" w:hAnsiTheme="minorHAnsi" w:cstheme="minorHAnsi"/>
                <w:color w:val="000000"/>
                <w:sz w:val="18"/>
                <w:szCs w:val="18"/>
                <w:lang w:val="en-GB" w:eastAsia="en-GB"/>
              </w:rPr>
              <w:t xml:space="preserve"> de personal</w:t>
            </w:r>
          </w:p>
        </w:tc>
        <w:tc>
          <w:tcPr>
            <w:tcW w:w="680" w:type="dxa"/>
            <w:tcBorders>
              <w:top w:val="nil"/>
              <w:left w:val="nil"/>
              <w:bottom w:val="single" w:sz="4" w:space="0" w:color="auto"/>
              <w:right w:val="single" w:sz="4" w:space="0" w:color="auto"/>
            </w:tcBorders>
            <w:vAlign w:val="center"/>
            <w:hideMark/>
          </w:tcPr>
          <w:p w14:paraId="6EE904B9"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CA</w:t>
            </w:r>
          </w:p>
        </w:tc>
        <w:tc>
          <w:tcPr>
            <w:tcW w:w="993" w:type="dxa"/>
            <w:tcBorders>
              <w:top w:val="nil"/>
              <w:left w:val="nil"/>
              <w:bottom w:val="single" w:sz="4" w:space="0" w:color="auto"/>
              <w:right w:val="single" w:sz="4" w:space="0" w:color="auto"/>
            </w:tcBorders>
            <w:noWrap/>
            <w:vAlign w:val="bottom"/>
            <w:hideMark/>
          </w:tcPr>
          <w:p w14:paraId="7C671F52"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197,561</w:t>
            </w:r>
          </w:p>
        </w:tc>
        <w:tc>
          <w:tcPr>
            <w:tcW w:w="887" w:type="dxa"/>
            <w:tcBorders>
              <w:top w:val="nil"/>
              <w:left w:val="nil"/>
              <w:bottom w:val="single" w:sz="4" w:space="0" w:color="auto"/>
              <w:right w:val="single" w:sz="4" w:space="0" w:color="auto"/>
            </w:tcBorders>
            <w:noWrap/>
            <w:vAlign w:val="bottom"/>
            <w:hideMark/>
          </w:tcPr>
          <w:p w14:paraId="1B297F35"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31,228</w:t>
            </w:r>
          </w:p>
        </w:tc>
        <w:tc>
          <w:tcPr>
            <w:tcW w:w="866" w:type="dxa"/>
            <w:tcBorders>
              <w:top w:val="nil"/>
              <w:left w:val="nil"/>
              <w:bottom w:val="single" w:sz="4" w:space="0" w:color="auto"/>
              <w:right w:val="single" w:sz="4" w:space="0" w:color="auto"/>
            </w:tcBorders>
            <w:noWrap/>
            <w:vAlign w:val="bottom"/>
            <w:hideMark/>
          </w:tcPr>
          <w:p w14:paraId="2201D5D1"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104,351</w:t>
            </w:r>
          </w:p>
        </w:tc>
        <w:tc>
          <w:tcPr>
            <w:tcW w:w="810" w:type="dxa"/>
            <w:tcBorders>
              <w:top w:val="nil"/>
              <w:left w:val="nil"/>
              <w:bottom w:val="single" w:sz="4" w:space="0" w:color="auto"/>
              <w:right w:val="single" w:sz="4" w:space="0" w:color="auto"/>
            </w:tcBorders>
            <w:noWrap/>
            <w:vAlign w:val="bottom"/>
            <w:hideMark/>
          </w:tcPr>
          <w:p w14:paraId="3B748A4B"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20,870</w:t>
            </w:r>
          </w:p>
        </w:tc>
        <w:tc>
          <w:tcPr>
            <w:tcW w:w="766" w:type="dxa"/>
            <w:tcBorders>
              <w:top w:val="nil"/>
              <w:left w:val="nil"/>
              <w:bottom w:val="single" w:sz="4" w:space="0" w:color="auto"/>
              <w:right w:val="single" w:sz="4" w:space="0" w:color="auto"/>
            </w:tcBorders>
            <w:noWrap/>
            <w:vAlign w:val="bottom"/>
            <w:hideMark/>
          </w:tcPr>
          <w:p w14:paraId="00EA3126"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41,420</w:t>
            </w:r>
          </w:p>
        </w:tc>
        <w:tc>
          <w:tcPr>
            <w:tcW w:w="720" w:type="dxa"/>
            <w:tcBorders>
              <w:top w:val="nil"/>
              <w:left w:val="nil"/>
              <w:bottom w:val="single" w:sz="4" w:space="0" w:color="auto"/>
              <w:right w:val="single" w:sz="4" w:space="0" w:color="auto"/>
            </w:tcBorders>
            <w:noWrap/>
            <w:vAlign w:val="bottom"/>
            <w:hideMark/>
          </w:tcPr>
          <w:p w14:paraId="336C2060"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8,284</w:t>
            </w:r>
          </w:p>
        </w:tc>
        <w:tc>
          <w:tcPr>
            <w:tcW w:w="766" w:type="dxa"/>
            <w:tcBorders>
              <w:top w:val="nil"/>
              <w:left w:val="nil"/>
              <w:bottom w:val="single" w:sz="4" w:space="0" w:color="auto"/>
              <w:right w:val="single" w:sz="4" w:space="0" w:color="auto"/>
            </w:tcBorders>
            <w:noWrap/>
            <w:vAlign w:val="bottom"/>
            <w:hideMark/>
          </w:tcPr>
          <w:p w14:paraId="5622C4BD"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35,560</w:t>
            </w:r>
          </w:p>
        </w:tc>
        <w:tc>
          <w:tcPr>
            <w:tcW w:w="794" w:type="dxa"/>
            <w:tcBorders>
              <w:top w:val="nil"/>
              <w:left w:val="nil"/>
              <w:bottom w:val="single" w:sz="4" w:space="0" w:color="auto"/>
              <w:right w:val="single" w:sz="4" w:space="0" w:color="auto"/>
            </w:tcBorders>
            <w:noWrap/>
            <w:vAlign w:val="bottom"/>
            <w:hideMark/>
          </w:tcPr>
          <w:p w14:paraId="0EE25F0B"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7,112</w:t>
            </w:r>
          </w:p>
        </w:tc>
        <w:tc>
          <w:tcPr>
            <w:tcW w:w="766" w:type="dxa"/>
            <w:tcBorders>
              <w:top w:val="nil"/>
              <w:left w:val="nil"/>
              <w:bottom w:val="single" w:sz="4" w:space="0" w:color="auto"/>
              <w:right w:val="single" w:sz="4" w:space="0" w:color="auto"/>
            </w:tcBorders>
            <w:noWrap/>
            <w:vAlign w:val="bottom"/>
            <w:hideMark/>
          </w:tcPr>
          <w:p w14:paraId="1D64D2A9"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16,230</w:t>
            </w:r>
          </w:p>
        </w:tc>
        <w:tc>
          <w:tcPr>
            <w:tcW w:w="794" w:type="dxa"/>
            <w:tcBorders>
              <w:top w:val="nil"/>
              <w:left w:val="nil"/>
              <w:bottom w:val="single" w:sz="4" w:space="0" w:color="auto"/>
              <w:right w:val="single" w:sz="4" w:space="0" w:color="auto"/>
            </w:tcBorders>
            <w:noWrap/>
            <w:vAlign w:val="bottom"/>
            <w:hideMark/>
          </w:tcPr>
          <w:p w14:paraId="3FF25092"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3,246</w:t>
            </w:r>
          </w:p>
        </w:tc>
      </w:tr>
      <w:tr w:rsidR="00F16EB8" w:rsidRPr="00B63409" w14:paraId="713916B0" w14:textId="77777777" w:rsidTr="00BE6FF5">
        <w:trPr>
          <w:trHeight w:val="300"/>
        </w:trPr>
        <w:tc>
          <w:tcPr>
            <w:tcW w:w="1683" w:type="dxa"/>
            <w:vMerge/>
            <w:tcBorders>
              <w:top w:val="nil"/>
              <w:left w:val="single" w:sz="4" w:space="0" w:color="auto"/>
              <w:bottom w:val="single" w:sz="4" w:space="0" w:color="000000"/>
              <w:right w:val="single" w:sz="4" w:space="0" w:color="auto"/>
            </w:tcBorders>
            <w:vAlign w:val="center"/>
            <w:hideMark/>
          </w:tcPr>
          <w:p w14:paraId="69120766" w14:textId="77777777" w:rsidR="00F16EB8" w:rsidRPr="00B63409" w:rsidRDefault="00F16EB8" w:rsidP="00BE6FF5">
            <w:pPr>
              <w:rPr>
                <w:rFonts w:asciiTheme="minorHAnsi" w:hAnsiTheme="minorHAnsi" w:cstheme="minorHAnsi"/>
                <w:color w:val="000000"/>
                <w:sz w:val="18"/>
                <w:szCs w:val="18"/>
                <w:lang w:val="en-GB" w:eastAsia="en-GB"/>
              </w:rPr>
            </w:pPr>
          </w:p>
        </w:tc>
        <w:tc>
          <w:tcPr>
            <w:tcW w:w="680" w:type="dxa"/>
            <w:tcBorders>
              <w:top w:val="nil"/>
              <w:left w:val="nil"/>
              <w:bottom w:val="single" w:sz="4" w:space="0" w:color="auto"/>
              <w:right w:val="single" w:sz="4" w:space="0" w:color="auto"/>
            </w:tcBorders>
            <w:vAlign w:val="center"/>
            <w:hideMark/>
          </w:tcPr>
          <w:p w14:paraId="73B2C724"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CB</w:t>
            </w:r>
          </w:p>
        </w:tc>
        <w:tc>
          <w:tcPr>
            <w:tcW w:w="993" w:type="dxa"/>
            <w:tcBorders>
              <w:top w:val="nil"/>
              <w:left w:val="nil"/>
              <w:bottom w:val="single" w:sz="4" w:space="0" w:color="auto"/>
              <w:right w:val="single" w:sz="4" w:space="0" w:color="auto"/>
            </w:tcBorders>
            <w:noWrap/>
            <w:vAlign w:val="bottom"/>
            <w:hideMark/>
          </w:tcPr>
          <w:p w14:paraId="2C8EB048"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197,561</w:t>
            </w:r>
          </w:p>
        </w:tc>
        <w:tc>
          <w:tcPr>
            <w:tcW w:w="887" w:type="dxa"/>
            <w:tcBorders>
              <w:top w:val="nil"/>
              <w:left w:val="nil"/>
              <w:bottom w:val="single" w:sz="4" w:space="0" w:color="auto"/>
              <w:right w:val="single" w:sz="4" w:space="0" w:color="auto"/>
            </w:tcBorders>
            <w:noWrap/>
            <w:vAlign w:val="bottom"/>
            <w:hideMark/>
          </w:tcPr>
          <w:p w14:paraId="790D8BE6"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31,228</w:t>
            </w:r>
          </w:p>
        </w:tc>
        <w:tc>
          <w:tcPr>
            <w:tcW w:w="866" w:type="dxa"/>
            <w:tcBorders>
              <w:top w:val="nil"/>
              <w:left w:val="nil"/>
              <w:bottom w:val="single" w:sz="4" w:space="0" w:color="auto"/>
              <w:right w:val="single" w:sz="4" w:space="0" w:color="auto"/>
            </w:tcBorders>
            <w:noWrap/>
            <w:vAlign w:val="bottom"/>
            <w:hideMark/>
          </w:tcPr>
          <w:p w14:paraId="17BCFD47"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104,351</w:t>
            </w:r>
          </w:p>
        </w:tc>
        <w:tc>
          <w:tcPr>
            <w:tcW w:w="810" w:type="dxa"/>
            <w:tcBorders>
              <w:top w:val="nil"/>
              <w:left w:val="nil"/>
              <w:bottom w:val="single" w:sz="4" w:space="0" w:color="auto"/>
              <w:right w:val="single" w:sz="4" w:space="0" w:color="auto"/>
            </w:tcBorders>
            <w:noWrap/>
            <w:vAlign w:val="bottom"/>
            <w:hideMark/>
          </w:tcPr>
          <w:p w14:paraId="484D570C"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20,870</w:t>
            </w:r>
          </w:p>
        </w:tc>
        <w:tc>
          <w:tcPr>
            <w:tcW w:w="766" w:type="dxa"/>
            <w:tcBorders>
              <w:top w:val="nil"/>
              <w:left w:val="nil"/>
              <w:bottom w:val="single" w:sz="4" w:space="0" w:color="auto"/>
              <w:right w:val="single" w:sz="4" w:space="0" w:color="auto"/>
            </w:tcBorders>
            <w:noWrap/>
            <w:vAlign w:val="bottom"/>
            <w:hideMark/>
          </w:tcPr>
          <w:p w14:paraId="5A11416C"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41,420</w:t>
            </w:r>
          </w:p>
        </w:tc>
        <w:tc>
          <w:tcPr>
            <w:tcW w:w="720" w:type="dxa"/>
            <w:tcBorders>
              <w:top w:val="nil"/>
              <w:left w:val="nil"/>
              <w:bottom w:val="single" w:sz="4" w:space="0" w:color="auto"/>
              <w:right w:val="single" w:sz="4" w:space="0" w:color="auto"/>
            </w:tcBorders>
            <w:noWrap/>
            <w:vAlign w:val="bottom"/>
            <w:hideMark/>
          </w:tcPr>
          <w:p w14:paraId="6307B2CF"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8,284</w:t>
            </w:r>
          </w:p>
        </w:tc>
        <w:tc>
          <w:tcPr>
            <w:tcW w:w="766" w:type="dxa"/>
            <w:tcBorders>
              <w:top w:val="nil"/>
              <w:left w:val="nil"/>
              <w:bottom w:val="single" w:sz="4" w:space="0" w:color="auto"/>
              <w:right w:val="single" w:sz="4" w:space="0" w:color="auto"/>
            </w:tcBorders>
            <w:noWrap/>
            <w:vAlign w:val="bottom"/>
            <w:hideMark/>
          </w:tcPr>
          <w:p w14:paraId="3963A297"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35,560</w:t>
            </w:r>
          </w:p>
        </w:tc>
        <w:tc>
          <w:tcPr>
            <w:tcW w:w="794" w:type="dxa"/>
            <w:tcBorders>
              <w:top w:val="nil"/>
              <w:left w:val="nil"/>
              <w:bottom w:val="single" w:sz="4" w:space="0" w:color="auto"/>
              <w:right w:val="single" w:sz="4" w:space="0" w:color="auto"/>
            </w:tcBorders>
            <w:noWrap/>
            <w:vAlign w:val="bottom"/>
            <w:hideMark/>
          </w:tcPr>
          <w:p w14:paraId="3E614A34"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7,112</w:t>
            </w:r>
          </w:p>
        </w:tc>
        <w:tc>
          <w:tcPr>
            <w:tcW w:w="766" w:type="dxa"/>
            <w:tcBorders>
              <w:top w:val="nil"/>
              <w:left w:val="nil"/>
              <w:bottom w:val="single" w:sz="4" w:space="0" w:color="auto"/>
              <w:right w:val="single" w:sz="4" w:space="0" w:color="auto"/>
            </w:tcBorders>
            <w:noWrap/>
            <w:vAlign w:val="bottom"/>
            <w:hideMark/>
          </w:tcPr>
          <w:p w14:paraId="35689471"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16,230</w:t>
            </w:r>
          </w:p>
        </w:tc>
        <w:tc>
          <w:tcPr>
            <w:tcW w:w="794" w:type="dxa"/>
            <w:tcBorders>
              <w:top w:val="nil"/>
              <w:left w:val="nil"/>
              <w:bottom w:val="single" w:sz="4" w:space="0" w:color="auto"/>
              <w:right w:val="single" w:sz="4" w:space="0" w:color="auto"/>
            </w:tcBorders>
            <w:noWrap/>
            <w:vAlign w:val="bottom"/>
            <w:hideMark/>
          </w:tcPr>
          <w:p w14:paraId="08138DF1"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3,246</w:t>
            </w:r>
          </w:p>
        </w:tc>
      </w:tr>
      <w:tr w:rsidR="00F16EB8" w:rsidRPr="00B63409" w14:paraId="2DD1F08A" w14:textId="77777777" w:rsidTr="00BE6FF5">
        <w:trPr>
          <w:trHeight w:val="300"/>
        </w:trPr>
        <w:tc>
          <w:tcPr>
            <w:tcW w:w="1683" w:type="dxa"/>
            <w:vMerge w:val="restart"/>
            <w:tcBorders>
              <w:top w:val="nil"/>
              <w:left w:val="single" w:sz="4" w:space="0" w:color="auto"/>
              <w:bottom w:val="single" w:sz="4" w:space="0" w:color="000000"/>
              <w:right w:val="single" w:sz="4" w:space="0" w:color="auto"/>
            </w:tcBorders>
            <w:vAlign w:val="center"/>
            <w:hideMark/>
          </w:tcPr>
          <w:p w14:paraId="36284A5C" w14:textId="77777777" w:rsidR="00F16EB8" w:rsidRPr="00B63409" w:rsidRDefault="00F16EB8" w:rsidP="00BE6FF5">
            <w:pPr>
              <w:rPr>
                <w:rFonts w:asciiTheme="minorHAnsi" w:hAnsiTheme="minorHAnsi" w:cstheme="minorHAnsi"/>
                <w:color w:val="000000"/>
                <w:sz w:val="18"/>
                <w:szCs w:val="18"/>
                <w:lang w:val="en-GB" w:eastAsia="en-GB"/>
              </w:rPr>
            </w:pPr>
            <w:proofErr w:type="spellStart"/>
            <w:r w:rsidRPr="00B63409">
              <w:rPr>
                <w:rFonts w:asciiTheme="minorHAnsi" w:hAnsiTheme="minorHAnsi" w:cstheme="minorHAnsi"/>
                <w:color w:val="000000"/>
                <w:sz w:val="18"/>
                <w:szCs w:val="18"/>
                <w:lang w:val="en-GB" w:eastAsia="en-GB"/>
              </w:rPr>
              <w:t>Bunuri</w:t>
            </w:r>
            <w:proofErr w:type="spellEnd"/>
            <w:r w:rsidRPr="00B63409">
              <w:rPr>
                <w:rFonts w:asciiTheme="minorHAnsi" w:hAnsiTheme="minorHAnsi" w:cstheme="minorHAnsi"/>
                <w:color w:val="000000"/>
                <w:sz w:val="18"/>
                <w:szCs w:val="18"/>
                <w:lang w:val="en-GB" w:eastAsia="en-GB"/>
              </w:rPr>
              <w:t xml:space="preserve"> </w:t>
            </w:r>
            <w:proofErr w:type="spellStart"/>
            <w:r w:rsidRPr="00B63409">
              <w:rPr>
                <w:rFonts w:asciiTheme="minorHAnsi" w:hAnsiTheme="minorHAnsi" w:cstheme="minorHAnsi"/>
                <w:color w:val="000000"/>
                <w:sz w:val="18"/>
                <w:szCs w:val="18"/>
                <w:lang w:val="en-GB" w:eastAsia="en-GB"/>
              </w:rPr>
              <w:t>și</w:t>
            </w:r>
            <w:proofErr w:type="spellEnd"/>
            <w:r w:rsidRPr="00B63409">
              <w:rPr>
                <w:rFonts w:asciiTheme="minorHAnsi" w:hAnsiTheme="minorHAnsi" w:cstheme="minorHAnsi"/>
                <w:color w:val="000000"/>
                <w:sz w:val="18"/>
                <w:szCs w:val="18"/>
                <w:lang w:val="en-GB" w:eastAsia="en-GB"/>
              </w:rPr>
              <w:t xml:space="preserve"> </w:t>
            </w:r>
            <w:proofErr w:type="spellStart"/>
            <w:r w:rsidRPr="00B63409">
              <w:rPr>
                <w:rFonts w:asciiTheme="minorHAnsi" w:hAnsiTheme="minorHAnsi" w:cstheme="minorHAnsi"/>
                <w:color w:val="000000"/>
                <w:sz w:val="18"/>
                <w:szCs w:val="18"/>
                <w:lang w:val="en-GB" w:eastAsia="en-GB"/>
              </w:rPr>
              <w:t>servicii</w:t>
            </w:r>
            <w:proofErr w:type="spellEnd"/>
          </w:p>
        </w:tc>
        <w:tc>
          <w:tcPr>
            <w:tcW w:w="680" w:type="dxa"/>
            <w:tcBorders>
              <w:top w:val="nil"/>
              <w:left w:val="nil"/>
              <w:bottom w:val="single" w:sz="4" w:space="0" w:color="auto"/>
              <w:right w:val="single" w:sz="4" w:space="0" w:color="auto"/>
            </w:tcBorders>
            <w:vAlign w:val="center"/>
            <w:hideMark/>
          </w:tcPr>
          <w:p w14:paraId="42B97EF8"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CA</w:t>
            </w:r>
          </w:p>
        </w:tc>
        <w:tc>
          <w:tcPr>
            <w:tcW w:w="993" w:type="dxa"/>
            <w:tcBorders>
              <w:top w:val="nil"/>
              <w:left w:val="nil"/>
              <w:bottom w:val="single" w:sz="4" w:space="0" w:color="auto"/>
              <w:right w:val="single" w:sz="4" w:space="0" w:color="auto"/>
            </w:tcBorders>
            <w:noWrap/>
            <w:vAlign w:val="bottom"/>
            <w:hideMark/>
          </w:tcPr>
          <w:p w14:paraId="6148B7E0"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17,458</w:t>
            </w:r>
          </w:p>
        </w:tc>
        <w:tc>
          <w:tcPr>
            <w:tcW w:w="887" w:type="dxa"/>
            <w:tcBorders>
              <w:top w:val="nil"/>
              <w:left w:val="nil"/>
              <w:bottom w:val="single" w:sz="4" w:space="0" w:color="auto"/>
              <w:right w:val="single" w:sz="4" w:space="0" w:color="auto"/>
            </w:tcBorders>
            <w:noWrap/>
            <w:vAlign w:val="bottom"/>
            <w:hideMark/>
          </w:tcPr>
          <w:p w14:paraId="3DC2E6AA"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3,011</w:t>
            </w:r>
          </w:p>
        </w:tc>
        <w:tc>
          <w:tcPr>
            <w:tcW w:w="866" w:type="dxa"/>
            <w:tcBorders>
              <w:top w:val="nil"/>
              <w:left w:val="nil"/>
              <w:bottom w:val="single" w:sz="4" w:space="0" w:color="auto"/>
              <w:right w:val="single" w:sz="4" w:space="0" w:color="auto"/>
            </w:tcBorders>
            <w:noWrap/>
            <w:vAlign w:val="bottom"/>
            <w:hideMark/>
          </w:tcPr>
          <w:p w14:paraId="7917DCE0"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9,770</w:t>
            </w:r>
          </w:p>
        </w:tc>
        <w:tc>
          <w:tcPr>
            <w:tcW w:w="810" w:type="dxa"/>
            <w:tcBorders>
              <w:top w:val="nil"/>
              <w:left w:val="nil"/>
              <w:bottom w:val="single" w:sz="4" w:space="0" w:color="auto"/>
              <w:right w:val="single" w:sz="4" w:space="0" w:color="auto"/>
            </w:tcBorders>
            <w:noWrap/>
            <w:vAlign w:val="bottom"/>
            <w:hideMark/>
          </w:tcPr>
          <w:p w14:paraId="23816467"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1,954</w:t>
            </w:r>
          </w:p>
        </w:tc>
        <w:tc>
          <w:tcPr>
            <w:tcW w:w="766" w:type="dxa"/>
            <w:tcBorders>
              <w:top w:val="nil"/>
              <w:left w:val="nil"/>
              <w:bottom w:val="single" w:sz="4" w:space="0" w:color="auto"/>
              <w:right w:val="single" w:sz="4" w:space="0" w:color="auto"/>
            </w:tcBorders>
            <w:noWrap/>
            <w:vAlign w:val="bottom"/>
            <w:hideMark/>
          </w:tcPr>
          <w:p w14:paraId="35F593F8"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2,406</w:t>
            </w:r>
          </w:p>
        </w:tc>
        <w:tc>
          <w:tcPr>
            <w:tcW w:w="720" w:type="dxa"/>
            <w:tcBorders>
              <w:top w:val="nil"/>
              <w:left w:val="nil"/>
              <w:bottom w:val="single" w:sz="4" w:space="0" w:color="auto"/>
              <w:right w:val="single" w:sz="4" w:space="0" w:color="auto"/>
            </w:tcBorders>
            <w:noWrap/>
            <w:vAlign w:val="bottom"/>
            <w:hideMark/>
          </w:tcPr>
          <w:p w14:paraId="293A4EB0"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481</w:t>
            </w:r>
          </w:p>
        </w:tc>
        <w:tc>
          <w:tcPr>
            <w:tcW w:w="766" w:type="dxa"/>
            <w:tcBorders>
              <w:top w:val="nil"/>
              <w:left w:val="nil"/>
              <w:bottom w:val="single" w:sz="4" w:space="0" w:color="auto"/>
              <w:right w:val="single" w:sz="4" w:space="0" w:color="auto"/>
            </w:tcBorders>
            <w:noWrap/>
            <w:vAlign w:val="bottom"/>
            <w:hideMark/>
          </w:tcPr>
          <w:p w14:paraId="3CE97541"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4,233</w:t>
            </w:r>
          </w:p>
        </w:tc>
        <w:tc>
          <w:tcPr>
            <w:tcW w:w="794" w:type="dxa"/>
            <w:tcBorders>
              <w:top w:val="nil"/>
              <w:left w:val="nil"/>
              <w:bottom w:val="single" w:sz="4" w:space="0" w:color="auto"/>
              <w:right w:val="single" w:sz="4" w:space="0" w:color="auto"/>
            </w:tcBorders>
            <w:noWrap/>
            <w:vAlign w:val="bottom"/>
            <w:hideMark/>
          </w:tcPr>
          <w:p w14:paraId="634404BF"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847</w:t>
            </w:r>
          </w:p>
        </w:tc>
        <w:tc>
          <w:tcPr>
            <w:tcW w:w="766" w:type="dxa"/>
            <w:tcBorders>
              <w:top w:val="nil"/>
              <w:left w:val="nil"/>
              <w:bottom w:val="single" w:sz="4" w:space="0" w:color="auto"/>
              <w:right w:val="single" w:sz="4" w:space="0" w:color="auto"/>
            </w:tcBorders>
            <w:noWrap/>
            <w:vAlign w:val="bottom"/>
            <w:hideMark/>
          </w:tcPr>
          <w:p w14:paraId="4376EDD3"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1,049</w:t>
            </w:r>
          </w:p>
        </w:tc>
        <w:tc>
          <w:tcPr>
            <w:tcW w:w="794" w:type="dxa"/>
            <w:tcBorders>
              <w:top w:val="nil"/>
              <w:left w:val="nil"/>
              <w:bottom w:val="single" w:sz="4" w:space="0" w:color="auto"/>
              <w:right w:val="single" w:sz="4" w:space="0" w:color="auto"/>
            </w:tcBorders>
            <w:noWrap/>
            <w:vAlign w:val="bottom"/>
            <w:hideMark/>
          </w:tcPr>
          <w:p w14:paraId="448E9AB5"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210</w:t>
            </w:r>
          </w:p>
        </w:tc>
      </w:tr>
      <w:tr w:rsidR="00F16EB8" w:rsidRPr="00B63409" w14:paraId="0218E2A2" w14:textId="77777777" w:rsidTr="00BE6FF5">
        <w:trPr>
          <w:trHeight w:val="315"/>
        </w:trPr>
        <w:tc>
          <w:tcPr>
            <w:tcW w:w="1683" w:type="dxa"/>
            <w:vMerge/>
            <w:tcBorders>
              <w:top w:val="nil"/>
              <w:left w:val="single" w:sz="4" w:space="0" w:color="auto"/>
              <w:bottom w:val="single" w:sz="4" w:space="0" w:color="000000"/>
              <w:right w:val="single" w:sz="4" w:space="0" w:color="auto"/>
            </w:tcBorders>
            <w:vAlign w:val="center"/>
            <w:hideMark/>
          </w:tcPr>
          <w:p w14:paraId="6A05AF5A" w14:textId="77777777" w:rsidR="00F16EB8" w:rsidRPr="00B63409" w:rsidRDefault="00F16EB8" w:rsidP="00BE6FF5">
            <w:pPr>
              <w:rPr>
                <w:rFonts w:asciiTheme="minorHAnsi" w:hAnsiTheme="minorHAnsi" w:cstheme="minorHAnsi"/>
                <w:color w:val="000000"/>
                <w:sz w:val="18"/>
                <w:szCs w:val="18"/>
                <w:lang w:val="en-GB" w:eastAsia="en-GB"/>
              </w:rPr>
            </w:pPr>
          </w:p>
        </w:tc>
        <w:tc>
          <w:tcPr>
            <w:tcW w:w="680" w:type="dxa"/>
            <w:tcBorders>
              <w:top w:val="nil"/>
              <w:left w:val="nil"/>
              <w:bottom w:val="single" w:sz="4" w:space="0" w:color="auto"/>
              <w:right w:val="single" w:sz="4" w:space="0" w:color="auto"/>
            </w:tcBorders>
            <w:vAlign w:val="center"/>
            <w:hideMark/>
          </w:tcPr>
          <w:p w14:paraId="77250C00"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CB</w:t>
            </w:r>
          </w:p>
        </w:tc>
        <w:tc>
          <w:tcPr>
            <w:tcW w:w="993" w:type="dxa"/>
            <w:tcBorders>
              <w:top w:val="nil"/>
              <w:left w:val="nil"/>
              <w:bottom w:val="single" w:sz="4" w:space="0" w:color="auto"/>
              <w:right w:val="single" w:sz="4" w:space="0" w:color="auto"/>
            </w:tcBorders>
            <w:noWrap/>
            <w:vAlign w:val="bottom"/>
            <w:hideMark/>
          </w:tcPr>
          <w:p w14:paraId="634A42F3"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17,458</w:t>
            </w:r>
          </w:p>
        </w:tc>
        <w:tc>
          <w:tcPr>
            <w:tcW w:w="887" w:type="dxa"/>
            <w:tcBorders>
              <w:top w:val="nil"/>
              <w:left w:val="nil"/>
              <w:bottom w:val="single" w:sz="4" w:space="0" w:color="auto"/>
              <w:right w:val="single" w:sz="4" w:space="0" w:color="auto"/>
            </w:tcBorders>
            <w:noWrap/>
            <w:vAlign w:val="bottom"/>
            <w:hideMark/>
          </w:tcPr>
          <w:p w14:paraId="32F7544C"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3,011</w:t>
            </w:r>
          </w:p>
        </w:tc>
        <w:tc>
          <w:tcPr>
            <w:tcW w:w="866" w:type="dxa"/>
            <w:tcBorders>
              <w:top w:val="nil"/>
              <w:left w:val="nil"/>
              <w:bottom w:val="single" w:sz="4" w:space="0" w:color="auto"/>
              <w:right w:val="single" w:sz="4" w:space="0" w:color="auto"/>
            </w:tcBorders>
            <w:noWrap/>
            <w:vAlign w:val="bottom"/>
            <w:hideMark/>
          </w:tcPr>
          <w:p w14:paraId="5569B04A"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9,770</w:t>
            </w:r>
          </w:p>
        </w:tc>
        <w:tc>
          <w:tcPr>
            <w:tcW w:w="810" w:type="dxa"/>
            <w:tcBorders>
              <w:top w:val="nil"/>
              <w:left w:val="nil"/>
              <w:bottom w:val="single" w:sz="4" w:space="0" w:color="auto"/>
              <w:right w:val="single" w:sz="4" w:space="0" w:color="auto"/>
            </w:tcBorders>
            <w:noWrap/>
            <w:vAlign w:val="bottom"/>
            <w:hideMark/>
          </w:tcPr>
          <w:p w14:paraId="529CE810"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1,954</w:t>
            </w:r>
          </w:p>
        </w:tc>
        <w:tc>
          <w:tcPr>
            <w:tcW w:w="766" w:type="dxa"/>
            <w:tcBorders>
              <w:top w:val="nil"/>
              <w:left w:val="nil"/>
              <w:bottom w:val="single" w:sz="4" w:space="0" w:color="auto"/>
              <w:right w:val="single" w:sz="4" w:space="0" w:color="auto"/>
            </w:tcBorders>
            <w:noWrap/>
            <w:vAlign w:val="bottom"/>
            <w:hideMark/>
          </w:tcPr>
          <w:p w14:paraId="687F9E34"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2,406</w:t>
            </w:r>
          </w:p>
        </w:tc>
        <w:tc>
          <w:tcPr>
            <w:tcW w:w="720" w:type="dxa"/>
            <w:tcBorders>
              <w:top w:val="nil"/>
              <w:left w:val="nil"/>
              <w:bottom w:val="single" w:sz="4" w:space="0" w:color="auto"/>
              <w:right w:val="single" w:sz="4" w:space="0" w:color="auto"/>
            </w:tcBorders>
            <w:noWrap/>
            <w:vAlign w:val="bottom"/>
            <w:hideMark/>
          </w:tcPr>
          <w:p w14:paraId="02E51C6B"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481</w:t>
            </w:r>
          </w:p>
        </w:tc>
        <w:tc>
          <w:tcPr>
            <w:tcW w:w="766" w:type="dxa"/>
            <w:tcBorders>
              <w:top w:val="nil"/>
              <w:left w:val="nil"/>
              <w:bottom w:val="single" w:sz="4" w:space="0" w:color="auto"/>
              <w:right w:val="single" w:sz="4" w:space="0" w:color="auto"/>
            </w:tcBorders>
            <w:noWrap/>
            <w:vAlign w:val="bottom"/>
            <w:hideMark/>
          </w:tcPr>
          <w:p w14:paraId="2A7FDB16"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4,233</w:t>
            </w:r>
          </w:p>
        </w:tc>
        <w:tc>
          <w:tcPr>
            <w:tcW w:w="794" w:type="dxa"/>
            <w:tcBorders>
              <w:top w:val="nil"/>
              <w:left w:val="nil"/>
              <w:bottom w:val="single" w:sz="4" w:space="0" w:color="auto"/>
              <w:right w:val="single" w:sz="4" w:space="0" w:color="auto"/>
            </w:tcBorders>
            <w:noWrap/>
            <w:vAlign w:val="bottom"/>
            <w:hideMark/>
          </w:tcPr>
          <w:p w14:paraId="0604A6E7"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847</w:t>
            </w:r>
          </w:p>
        </w:tc>
        <w:tc>
          <w:tcPr>
            <w:tcW w:w="766" w:type="dxa"/>
            <w:tcBorders>
              <w:top w:val="nil"/>
              <w:left w:val="nil"/>
              <w:bottom w:val="single" w:sz="4" w:space="0" w:color="auto"/>
              <w:right w:val="single" w:sz="4" w:space="0" w:color="auto"/>
            </w:tcBorders>
            <w:noWrap/>
            <w:vAlign w:val="bottom"/>
            <w:hideMark/>
          </w:tcPr>
          <w:p w14:paraId="7B83901B"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1,049</w:t>
            </w:r>
          </w:p>
        </w:tc>
        <w:tc>
          <w:tcPr>
            <w:tcW w:w="794" w:type="dxa"/>
            <w:tcBorders>
              <w:top w:val="nil"/>
              <w:left w:val="nil"/>
              <w:bottom w:val="single" w:sz="4" w:space="0" w:color="auto"/>
              <w:right w:val="single" w:sz="4" w:space="0" w:color="auto"/>
            </w:tcBorders>
            <w:noWrap/>
            <w:vAlign w:val="bottom"/>
            <w:hideMark/>
          </w:tcPr>
          <w:p w14:paraId="013C51C0"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210</w:t>
            </w:r>
          </w:p>
        </w:tc>
      </w:tr>
      <w:tr w:rsidR="00F16EB8" w:rsidRPr="00B63409" w14:paraId="212C253D" w14:textId="77777777" w:rsidTr="00BE6FF5">
        <w:trPr>
          <w:trHeight w:val="300"/>
        </w:trPr>
        <w:tc>
          <w:tcPr>
            <w:tcW w:w="1683" w:type="dxa"/>
            <w:vMerge w:val="restart"/>
            <w:tcBorders>
              <w:top w:val="nil"/>
              <w:left w:val="single" w:sz="4" w:space="0" w:color="auto"/>
              <w:bottom w:val="single" w:sz="4" w:space="0" w:color="000000"/>
              <w:right w:val="single" w:sz="4" w:space="0" w:color="auto"/>
            </w:tcBorders>
            <w:vAlign w:val="center"/>
            <w:hideMark/>
          </w:tcPr>
          <w:p w14:paraId="0FBB16F4" w14:textId="77777777" w:rsidR="00F16EB8" w:rsidRPr="00B63409" w:rsidRDefault="00F16EB8" w:rsidP="00BE6FF5">
            <w:pPr>
              <w:rPr>
                <w:rFonts w:asciiTheme="minorHAnsi" w:hAnsiTheme="minorHAnsi" w:cstheme="minorHAnsi"/>
                <w:color w:val="000000"/>
                <w:sz w:val="18"/>
                <w:szCs w:val="18"/>
                <w:lang w:val="en-GB" w:eastAsia="en-GB"/>
              </w:rPr>
            </w:pPr>
            <w:proofErr w:type="spellStart"/>
            <w:r w:rsidRPr="00B63409">
              <w:rPr>
                <w:rFonts w:asciiTheme="minorHAnsi" w:hAnsiTheme="minorHAnsi" w:cstheme="minorHAnsi"/>
                <w:color w:val="000000"/>
                <w:sz w:val="18"/>
                <w:szCs w:val="18"/>
                <w:lang w:val="en-GB" w:eastAsia="en-GB"/>
              </w:rPr>
              <w:t>Transferuri</w:t>
            </w:r>
            <w:proofErr w:type="spellEnd"/>
          </w:p>
        </w:tc>
        <w:tc>
          <w:tcPr>
            <w:tcW w:w="680" w:type="dxa"/>
            <w:tcBorders>
              <w:top w:val="nil"/>
              <w:left w:val="nil"/>
              <w:bottom w:val="single" w:sz="4" w:space="0" w:color="auto"/>
              <w:right w:val="single" w:sz="4" w:space="0" w:color="auto"/>
            </w:tcBorders>
            <w:vAlign w:val="center"/>
            <w:hideMark/>
          </w:tcPr>
          <w:p w14:paraId="176C532A"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CA</w:t>
            </w:r>
          </w:p>
        </w:tc>
        <w:tc>
          <w:tcPr>
            <w:tcW w:w="993" w:type="dxa"/>
            <w:tcBorders>
              <w:top w:val="nil"/>
              <w:left w:val="nil"/>
              <w:bottom w:val="single" w:sz="4" w:space="0" w:color="auto"/>
              <w:right w:val="single" w:sz="4" w:space="0" w:color="auto"/>
            </w:tcBorders>
            <w:noWrap/>
            <w:vAlign w:val="bottom"/>
            <w:hideMark/>
          </w:tcPr>
          <w:p w14:paraId="31BF2626"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w:t>
            </w:r>
          </w:p>
        </w:tc>
        <w:tc>
          <w:tcPr>
            <w:tcW w:w="887" w:type="dxa"/>
            <w:tcBorders>
              <w:top w:val="nil"/>
              <w:left w:val="nil"/>
              <w:bottom w:val="single" w:sz="4" w:space="0" w:color="auto"/>
              <w:right w:val="single" w:sz="4" w:space="0" w:color="auto"/>
            </w:tcBorders>
            <w:noWrap/>
            <w:vAlign w:val="bottom"/>
            <w:hideMark/>
          </w:tcPr>
          <w:p w14:paraId="0D273E43"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w:t>
            </w:r>
          </w:p>
        </w:tc>
        <w:tc>
          <w:tcPr>
            <w:tcW w:w="866" w:type="dxa"/>
            <w:tcBorders>
              <w:top w:val="nil"/>
              <w:left w:val="nil"/>
              <w:bottom w:val="single" w:sz="4" w:space="0" w:color="auto"/>
              <w:right w:val="single" w:sz="4" w:space="0" w:color="auto"/>
            </w:tcBorders>
            <w:noWrap/>
            <w:vAlign w:val="bottom"/>
            <w:hideMark/>
          </w:tcPr>
          <w:p w14:paraId="358C3FE2"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810" w:type="dxa"/>
            <w:tcBorders>
              <w:top w:val="nil"/>
              <w:left w:val="nil"/>
              <w:bottom w:val="single" w:sz="4" w:space="0" w:color="auto"/>
              <w:right w:val="single" w:sz="4" w:space="0" w:color="auto"/>
            </w:tcBorders>
            <w:noWrap/>
            <w:vAlign w:val="bottom"/>
            <w:hideMark/>
          </w:tcPr>
          <w:p w14:paraId="607B9163"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66" w:type="dxa"/>
            <w:tcBorders>
              <w:top w:val="nil"/>
              <w:left w:val="nil"/>
              <w:bottom w:val="single" w:sz="4" w:space="0" w:color="auto"/>
              <w:right w:val="single" w:sz="4" w:space="0" w:color="auto"/>
            </w:tcBorders>
            <w:noWrap/>
            <w:vAlign w:val="bottom"/>
            <w:hideMark/>
          </w:tcPr>
          <w:p w14:paraId="7F8561AC"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20" w:type="dxa"/>
            <w:tcBorders>
              <w:top w:val="nil"/>
              <w:left w:val="nil"/>
              <w:bottom w:val="single" w:sz="4" w:space="0" w:color="auto"/>
              <w:right w:val="single" w:sz="4" w:space="0" w:color="auto"/>
            </w:tcBorders>
            <w:noWrap/>
            <w:vAlign w:val="bottom"/>
            <w:hideMark/>
          </w:tcPr>
          <w:p w14:paraId="3B00F41A"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66" w:type="dxa"/>
            <w:tcBorders>
              <w:top w:val="nil"/>
              <w:left w:val="nil"/>
              <w:bottom w:val="single" w:sz="4" w:space="0" w:color="auto"/>
              <w:right w:val="single" w:sz="4" w:space="0" w:color="auto"/>
            </w:tcBorders>
            <w:noWrap/>
            <w:vAlign w:val="bottom"/>
            <w:hideMark/>
          </w:tcPr>
          <w:p w14:paraId="2EA16396"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w:t>
            </w:r>
          </w:p>
        </w:tc>
        <w:tc>
          <w:tcPr>
            <w:tcW w:w="794" w:type="dxa"/>
            <w:tcBorders>
              <w:top w:val="nil"/>
              <w:left w:val="nil"/>
              <w:bottom w:val="single" w:sz="4" w:space="0" w:color="auto"/>
              <w:right w:val="single" w:sz="4" w:space="0" w:color="auto"/>
            </w:tcBorders>
            <w:noWrap/>
            <w:vAlign w:val="bottom"/>
            <w:hideMark/>
          </w:tcPr>
          <w:p w14:paraId="007638AE"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w:t>
            </w:r>
          </w:p>
        </w:tc>
        <w:tc>
          <w:tcPr>
            <w:tcW w:w="766" w:type="dxa"/>
            <w:tcBorders>
              <w:top w:val="nil"/>
              <w:left w:val="nil"/>
              <w:bottom w:val="single" w:sz="4" w:space="0" w:color="auto"/>
              <w:right w:val="single" w:sz="4" w:space="0" w:color="auto"/>
            </w:tcBorders>
            <w:noWrap/>
            <w:vAlign w:val="bottom"/>
            <w:hideMark/>
          </w:tcPr>
          <w:p w14:paraId="52690DC1"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94" w:type="dxa"/>
            <w:tcBorders>
              <w:top w:val="nil"/>
              <w:left w:val="nil"/>
              <w:bottom w:val="single" w:sz="4" w:space="0" w:color="auto"/>
              <w:right w:val="single" w:sz="4" w:space="0" w:color="auto"/>
            </w:tcBorders>
            <w:noWrap/>
            <w:vAlign w:val="bottom"/>
            <w:hideMark/>
          </w:tcPr>
          <w:p w14:paraId="234174D7"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r>
      <w:tr w:rsidR="00F16EB8" w:rsidRPr="00B63409" w14:paraId="18866B3F" w14:textId="77777777" w:rsidTr="00BE6FF5">
        <w:trPr>
          <w:trHeight w:val="300"/>
        </w:trPr>
        <w:tc>
          <w:tcPr>
            <w:tcW w:w="1683" w:type="dxa"/>
            <w:vMerge/>
            <w:tcBorders>
              <w:top w:val="nil"/>
              <w:left w:val="single" w:sz="4" w:space="0" w:color="auto"/>
              <w:bottom w:val="single" w:sz="4" w:space="0" w:color="000000"/>
              <w:right w:val="single" w:sz="4" w:space="0" w:color="auto"/>
            </w:tcBorders>
            <w:vAlign w:val="center"/>
            <w:hideMark/>
          </w:tcPr>
          <w:p w14:paraId="359D536D" w14:textId="77777777" w:rsidR="00F16EB8" w:rsidRPr="00B63409" w:rsidRDefault="00F16EB8" w:rsidP="00BE6FF5">
            <w:pPr>
              <w:rPr>
                <w:rFonts w:asciiTheme="minorHAnsi" w:hAnsiTheme="minorHAnsi" w:cstheme="minorHAnsi"/>
                <w:color w:val="000000"/>
                <w:sz w:val="18"/>
                <w:szCs w:val="18"/>
                <w:lang w:val="en-GB" w:eastAsia="en-GB"/>
              </w:rPr>
            </w:pPr>
          </w:p>
        </w:tc>
        <w:tc>
          <w:tcPr>
            <w:tcW w:w="680" w:type="dxa"/>
            <w:tcBorders>
              <w:top w:val="nil"/>
              <w:left w:val="nil"/>
              <w:bottom w:val="single" w:sz="4" w:space="0" w:color="auto"/>
              <w:right w:val="single" w:sz="4" w:space="0" w:color="auto"/>
            </w:tcBorders>
            <w:vAlign w:val="center"/>
            <w:hideMark/>
          </w:tcPr>
          <w:p w14:paraId="6F965443"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CB</w:t>
            </w:r>
          </w:p>
        </w:tc>
        <w:tc>
          <w:tcPr>
            <w:tcW w:w="993" w:type="dxa"/>
            <w:tcBorders>
              <w:top w:val="nil"/>
              <w:left w:val="nil"/>
              <w:bottom w:val="single" w:sz="4" w:space="0" w:color="auto"/>
              <w:right w:val="single" w:sz="4" w:space="0" w:color="auto"/>
            </w:tcBorders>
            <w:noWrap/>
            <w:vAlign w:val="bottom"/>
            <w:hideMark/>
          </w:tcPr>
          <w:p w14:paraId="752B7C1B"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w:t>
            </w:r>
          </w:p>
        </w:tc>
        <w:tc>
          <w:tcPr>
            <w:tcW w:w="887" w:type="dxa"/>
            <w:tcBorders>
              <w:top w:val="nil"/>
              <w:left w:val="nil"/>
              <w:bottom w:val="single" w:sz="4" w:space="0" w:color="auto"/>
              <w:right w:val="single" w:sz="4" w:space="0" w:color="auto"/>
            </w:tcBorders>
            <w:noWrap/>
            <w:vAlign w:val="bottom"/>
            <w:hideMark/>
          </w:tcPr>
          <w:p w14:paraId="20451C0F"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w:t>
            </w:r>
          </w:p>
        </w:tc>
        <w:tc>
          <w:tcPr>
            <w:tcW w:w="866" w:type="dxa"/>
            <w:tcBorders>
              <w:top w:val="nil"/>
              <w:left w:val="nil"/>
              <w:bottom w:val="single" w:sz="4" w:space="0" w:color="auto"/>
              <w:right w:val="single" w:sz="4" w:space="0" w:color="auto"/>
            </w:tcBorders>
            <w:noWrap/>
            <w:vAlign w:val="bottom"/>
            <w:hideMark/>
          </w:tcPr>
          <w:p w14:paraId="165235DB"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810" w:type="dxa"/>
            <w:tcBorders>
              <w:top w:val="nil"/>
              <w:left w:val="nil"/>
              <w:bottom w:val="single" w:sz="4" w:space="0" w:color="auto"/>
              <w:right w:val="single" w:sz="4" w:space="0" w:color="auto"/>
            </w:tcBorders>
            <w:noWrap/>
            <w:vAlign w:val="bottom"/>
            <w:hideMark/>
          </w:tcPr>
          <w:p w14:paraId="6AE8D432"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66" w:type="dxa"/>
            <w:tcBorders>
              <w:top w:val="nil"/>
              <w:left w:val="nil"/>
              <w:bottom w:val="single" w:sz="4" w:space="0" w:color="auto"/>
              <w:right w:val="single" w:sz="4" w:space="0" w:color="auto"/>
            </w:tcBorders>
            <w:noWrap/>
            <w:vAlign w:val="bottom"/>
            <w:hideMark/>
          </w:tcPr>
          <w:p w14:paraId="01216081"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20" w:type="dxa"/>
            <w:tcBorders>
              <w:top w:val="nil"/>
              <w:left w:val="nil"/>
              <w:bottom w:val="single" w:sz="4" w:space="0" w:color="auto"/>
              <w:right w:val="single" w:sz="4" w:space="0" w:color="auto"/>
            </w:tcBorders>
            <w:noWrap/>
            <w:vAlign w:val="bottom"/>
            <w:hideMark/>
          </w:tcPr>
          <w:p w14:paraId="787FDC59"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66" w:type="dxa"/>
            <w:tcBorders>
              <w:top w:val="nil"/>
              <w:left w:val="nil"/>
              <w:bottom w:val="single" w:sz="4" w:space="0" w:color="auto"/>
              <w:right w:val="single" w:sz="4" w:space="0" w:color="auto"/>
            </w:tcBorders>
            <w:noWrap/>
            <w:vAlign w:val="bottom"/>
            <w:hideMark/>
          </w:tcPr>
          <w:p w14:paraId="5C3537F8"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w:t>
            </w:r>
          </w:p>
        </w:tc>
        <w:tc>
          <w:tcPr>
            <w:tcW w:w="794" w:type="dxa"/>
            <w:tcBorders>
              <w:top w:val="nil"/>
              <w:left w:val="nil"/>
              <w:bottom w:val="single" w:sz="4" w:space="0" w:color="auto"/>
              <w:right w:val="single" w:sz="4" w:space="0" w:color="auto"/>
            </w:tcBorders>
            <w:noWrap/>
            <w:vAlign w:val="bottom"/>
            <w:hideMark/>
          </w:tcPr>
          <w:p w14:paraId="00B11138"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w:t>
            </w:r>
          </w:p>
        </w:tc>
        <w:tc>
          <w:tcPr>
            <w:tcW w:w="766" w:type="dxa"/>
            <w:tcBorders>
              <w:top w:val="nil"/>
              <w:left w:val="nil"/>
              <w:bottom w:val="single" w:sz="4" w:space="0" w:color="auto"/>
              <w:right w:val="single" w:sz="4" w:space="0" w:color="auto"/>
            </w:tcBorders>
            <w:noWrap/>
            <w:vAlign w:val="bottom"/>
            <w:hideMark/>
          </w:tcPr>
          <w:p w14:paraId="23EE48F1"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94" w:type="dxa"/>
            <w:tcBorders>
              <w:top w:val="nil"/>
              <w:left w:val="nil"/>
              <w:bottom w:val="single" w:sz="4" w:space="0" w:color="auto"/>
              <w:right w:val="single" w:sz="4" w:space="0" w:color="auto"/>
            </w:tcBorders>
            <w:noWrap/>
            <w:vAlign w:val="bottom"/>
            <w:hideMark/>
          </w:tcPr>
          <w:p w14:paraId="077116DA"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r>
      <w:tr w:rsidR="00F16EB8" w:rsidRPr="00B63409" w14:paraId="26F4A636" w14:textId="77777777" w:rsidTr="00BE6FF5">
        <w:trPr>
          <w:trHeight w:val="300"/>
        </w:trPr>
        <w:tc>
          <w:tcPr>
            <w:tcW w:w="1683" w:type="dxa"/>
            <w:vMerge w:val="restart"/>
            <w:tcBorders>
              <w:top w:val="nil"/>
              <w:left w:val="single" w:sz="4" w:space="0" w:color="auto"/>
              <w:bottom w:val="single" w:sz="4" w:space="0" w:color="000000"/>
              <w:right w:val="single" w:sz="4" w:space="0" w:color="auto"/>
            </w:tcBorders>
            <w:vAlign w:val="center"/>
            <w:hideMark/>
          </w:tcPr>
          <w:p w14:paraId="77CD1B00"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 xml:space="preserve">Alte </w:t>
            </w:r>
            <w:proofErr w:type="spellStart"/>
            <w:r w:rsidRPr="00B63409">
              <w:rPr>
                <w:rFonts w:asciiTheme="minorHAnsi" w:hAnsiTheme="minorHAnsi" w:cstheme="minorHAnsi"/>
                <w:color w:val="000000"/>
                <w:sz w:val="18"/>
                <w:szCs w:val="18"/>
                <w:lang w:val="en-GB" w:eastAsia="en-GB"/>
              </w:rPr>
              <w:t>transferuri</w:t>
            </w:r>
            <w:proofErr w:type="spellEnd"/>
          </w:p>
        </w:tc>
        <w:tc>
          <w:tcPr>
            <w:tcW w:w="680" w:type="dxa"/>
            <w:tcBorders>
              <w:top w:val="nil"/>
              <w:left w:val="nil"/>
              <w:bottom w:val="single" w:sz="4" w:space="0" w:color="auto"/>
              <w:right w:val="single" w:sz="4" w:space="0" w:color="auto"/>
            </w:tcBorders>
            <w:vAlign w:val="center"/>
            <w:hideMark/>
          </w:tcPr>
          <w:p w14:paraId="1291BFA8"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CA</w:t>
            </w:r>
          </w:p>
        </w:tc>
        <w:tc>
          <w:tcPr>
            <w:tcW w:w="993" w:type="dxa"/>
            <w:tcBorders>
              <w:top w:val="nil"/>
              <w:left w:val="nil"/>
              <w:bottom w:val="single" w:sz="4" w:space="0" w:color="auto"/>
              <w:right w:val="single" w:sz="4" w:space="0" w:color="auto"/>
            </w:tcBorders>
            <w:noWrap/>
            <w:vAlign w:val="bottom"/>
            <w:hideMark/>
          </w:tcPr>
          <w:p w14:paraId="7C725A6F"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156</w:t>
            </w:r>
          </w:p>
        </w:tc>
        <w:tc>
          <w:tcPr>
            <w:tcW w:w="887" w:type="dxa"/>
            <w:tcBorders>
              <w:top w:val="nil"/>
              <w:left w:val="nil"/>
              <w:bottom w:val="single" w:sz="4" w:space="0" w:color="auto"/>
              <w:right w:val="single" w:sz="4" w:space="0" w:color="auto"/>
            </w:tcBorders>
            <w:noWrap/>
            <w:vAlign w:val="bottom"/>
            <w:hideMark/>
          </w:tcPr>
          <w:p w14:paraId="4A043C53"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27</w:t>
            </w:r>
          </w:p>
        </w:tc>
        <w:tc>
          <w:tcPr>
            <w:tcW w:w="866" w:type="dxa"/>
            <w:tcBorders>
              <w:top w:val="nil"/>
              <w:left w:val="nil"/>
              <w:bottom w:val="single" w:sz="4" w:space="0" w:color="auto"/>
              <w:right w:val="single" w:sz="4" w:space="0" w:color="auto"/>
            </w:tcBorders>
            <w:noWrap/>
            <w:vAlign w:val="bottom"/>
            <w:hideMark/>
          </w:tcPr>
          <w:p w14:paraId="1F8B1A7D"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54</w:t>
            </w:r>
          </w:p>
        </w:tc>
        <w:tc>
          <w:tcPr>
            <w:tcW w:w="810" w:type="dxa"/>
            <w:tcBorders>
              <w:top w:val="nil"/>
              <w:left w:val="nil"/>
              <w:bottom w:val="single" w:sz="4" w:space="0" w:color="auto"/>
              <w:right w:val="single" w:sz="4" w:space="0" w:color="auto"/>
            </w:tcBorders>
            <w:noWrap/>
            <w:vAlign w:val="bottom"/>
            <w:hideMark/>
          </w:tcPr>
          <w:p w14:paraId="3683FB30"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11</w:t>
            </w:r>
          </w:p>
        </w:tc>
        <w:tc>
          <w:tcPr>
            <w:tcW w:w="766" w:type="dxa"/>
            <w:tcBorders>
              <w:top w:val="nil"/>
              <w:left w:val="nil"/>
              <w:bottom w:val="single" w:sz="4" w:space="0" w:color="auto"/>
              <w:right w:val="single" w:sz="4" w:space="0" w:color="auto"/>
            </w:tcBorders>
            <w:noWrap/>
            <w:vAlign w:val="bottom"/>
            <w:hideMark/>
          </w:tcPr>
          <w:p w14:paraId="004828BF"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22</w:t>
            </w:r>
          </w:p>
        </w:tc>
        <w:tc>
          <w:tcPr>
            <w:tcW w:w="720" w:type="dxa"/>
            <w:tcBorders>
              <w:top w:val="nil"/>
              <w:left w:val="nil"/>
              <w:bottom w:val="single" w:sz="4" w:space="0" w:color="auto"/>
              <w:right w:val="single" w:sz="4" w:space="0" w:color="auto"/>
            </w:tcBorders>
            <w:noWrap/>
            <w:vAlign w:val="bottom"/>
            <w:hideMark/>
          </w:tcPr>
          <w:p w14:paraId="6B4FE5BA"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4</w:t>
            </w:r>
          </w:p>
        </w:tc>
        <w:tc>
          <w:tcPr>
            <w:tcW w:w="766" w:type="dxa"/>
            <w:tcBorders>
              <w:top w:val="nil"/>
              <w:left w:val="nil"/>
              <w:bottom w:val="single" w:sz="4" w:space="0" w:color="auto"/>
              <w:right w:val="single" w:sz="4" w:space="0" w:color="auto"/>
            </w:tcBorders>
            <w:noWrap/>
            <w:vAlign w:val="bottom"/>
            <w:hideMark/>
          </w:tcPr>
          <w:p w14:paraId="732CEF34"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80</w:t>
            </w:r>
          </w:p>
        </w:tc>
        <w:tc>
          <w:tcPr>
            <w:tcW w:w="794" w:type="dxa"/>
            <w:tcBorders>
              <w:top w:val="nil"/>
              <w:left w:val="nil"/>
              <w:bottom w:val="single" w:sz="4" w:space="0" w:color="auto"/>
              <w:right w:val="single" w:sz="4" w:space="0" w:color="auto"/>
            </w:tcBorders>
            <w:noWrap/>
            <w:vAlign w:val="bottom"/>
            <w:hideMark/>
          </w:tcPr>
          <w:p w14:paraId="1DE19601"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16</w:t>
            </w:r>
          </w:p>
        </w:tc>
        <w:tc>
          <w:tcPr>
            <w:tcW w:w="766" w:type="dxa"/>
            <w:tcBorders>
              <w:top w:val="nil"/>
              <w:left w:val="nil"/>
              <w:bottom w:val="single" w:sz="4" w:space="0" w:color="auto"/>
              <w:right w:val="single" w:sz="4" w:space="0" w:color="auto"/>
            </w:tcBorders>
            <w:noWrap/>
            <w:vAlign w:val="bottom"/>
            <w:hideMark/>
          </w:tcPr>
          <w:p w14:paraId="72445E6E"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94" w:type="dxa"/>
            <w:tcBorders>
              <w:top w:val="nil"/>
              <w:left w:val="nil"/>
              <w:bottom w:val="single" w:sz="4" w:space="0" w:color="auto"/>
              <w:right w:val="single" w:sz="4" w:space="0" w:color="auto"/>
            </w:tcBorders>
            <w:noWrap/>
            <w:vAlign w:val="bottom"/>
            <w:hideMark/>
          </w:tcPr>
          <w:p w14:paraId="43E79966"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r>
      <w:tr w:rsidR="00F16EB8" w:rsidRPr="00B63409" w14:paraId="1E791C42" w14:textId="77777777" w:rsidTr="00BE6FF5">
        <w:trPr>
          <w:trHeight w:val="300"/>
        </w:trPr>
        <w:tc>
          <w:tcPr>
            <w:tcW w:w="1683" w:type="dxa"/>
            <w:vMerge/>
            <w:tcBorders>
              <w:top w:val="nil"/>
              <w:left w:val="single" w:sz="4" w:space="0" w:color="auto"/>
              <w:bottom w:val="single" w:sz="4" w:space="0" w:color="000000"/>
              <w:right w:val="single" w:sz="4" w:space="0" w:color="auto"/>
            </w:tcBorders>
            <w:vAlign w:val="center"/>
            <w:hideMark/>
          </w:tcPr>
          <w:p w14:paraId="12993C63" w14:textId="77777777" w:rsidR="00F16EB8" w:rsidRPr="00B63409" w:rsidRDefault="00F16EB8" w:rsidP="00BE6FF5">
            <w:pPr>
              <w:rPr>
                <w:rFonts w:asciiTheme="minorHAnsi" w:hAnsiTheme="minorHAnsi" w:cstheme="minorHAnsi"/>
                <w:color w:val="000000"/>
                <w:sz w:val="18"/>
                <w:szCs w:val="18"/>
                <w:lang w:val="en-GB" w:eastAsia="en-GB"/>
              </w:rPr>
            </w:pPr>
          </w:p>
        </w:tc>
        <w:tc>
          <w:tcPr>
            <w:tcW w:w="680" w:type="dxa"/>
            <w:tcBorders>
              <w:top w:val="nil"/>
              <w:left w:val="nil"/>
              <w:bottom w:val="single" w:sz="4" w:space="0" w:color="auto"/>
              <w:right w:val="single" w:sz="4" w:space="0" w:color="auto"/>
            </w:tcBorders>
            <w:vAlign w:val="center"/>
            <w:hideMark/>
          </w:tcPr>
          <w:p w14:paraId="1BAE627B"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CB</w:t>
            </w:r>
          </w:p>
        </w:tc>
        <w:tc>
          <w:tcPr>
            <w:tcW w:w="993" w:type="dxa"/>
            <w:tcBorders>
              <w:top w:val="nil"/>
              <w:left w:val="nil"/>
              <w:bottom w:val="single" w:sz="4" w:space="0" w:color="auto"/>
              <w:right w:val="single" w:sz="4" w:space="0" w:color="auto"/>
            </w:tcBorders>
            <w:noWrap/>
            <w:vAlign w:val="bottom"/>
            <w:hideMark/>
          </w:tcPr>
          <w:p w14:paraId="0C04CB39"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156</w:t>
            </w:r>
          </w:p>
        </w:tc>
        <w:tc>
          <w:tcPr>
            <w:tcW w:w="887" w:type="dxa"/>
            <w:tcBorders>
              <w:top w:val="nil"/>
              <w:left w:val="nil"/>
              <w:bottom w:val="single" w:sz="4" w:space="0" w:color="auto"/>
              <w:right w:val="single" w:sz="4" w:space="0" w:color="auto"/>
            </w:tcBorders>
            <w:noWrap/>
            <w:vAlign w:val="bottom"/>
            <w:hideMark/>
          </w:tcPr>
          <w:p w14:paraId="2EF50893"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27</w:t>
            </w:r>
          </w:p>
        </w:tc>
        <w:tc>
          <w:tcPr>
            <w:tcW w:w="866" w:type="dxa"/>
            <w:tcBorders>
              <w:top w:val="nil"/>
              <w:left w:val="nil"/>
              <w:bottom w:val="single" w:sz="4" w:space="0" w:color="auto"/>
              <w:right w:val="single" w:sz="4" w:space="0" w:color="auto"/>
            </w:tcBorders>
            <w:noWrap/>
            <w:vAlign w:val="bottom"/>
            <w:hideMark/>
          </w:tcPr>
          <w:p w14:paraId="0956B218"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54</w:t>
            </w:r>
          </w:p>
        </w:tc>
        <w:tc>
          <w:tcPr>
            <w:tcW w:w="810" w:type="dxa"/>
            <w:tcBorders>
              <w:top w:val="nil"/>
              <w:left w:val="nil"/>
              <w:bottom w:val="single" w:sz="4" w:space="0" w:color="auto"/>
              <w:right w:val="single" w:sz="4" w:space="0" w:color="auto"/>
            </w:tcBorders>
            <w:noWrap/>
            <w:vAlign w:val="bottom"/>
            <w:hideMark/>
          </w:tcPr>
          <w:p w14:paraId="5DFAE928"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11</w:t>
            </w:r>
          </w:p>
        </w:tc>
        <w:tc>
          <w:tcPr>
            <w:tcW w:w="766" w:type="dxa"/>
            <w:tcBorders>
              <w:top w:val="nil"/>
              <w:left w:val="nil"/>
              <w:bottom w:val="single" w:sz="4" w:space="0" w:color="auto"/>
              <w:right w:val="single" w:sz="4" w:space="0" w:color="auto"/>
            </w:tcBorders>
            <w:noWrap/>
            <w:vAlign w:val="bottom"/>
            <w:hideMark/>
          </w:tcPr>
          <w:p w14:paraId="7DCF8456"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22</w:t>
            </w:r>
          </w:p>
        </w:tc>
        <w:tc>
          <w:tcPr>
            <w:tcW w:w="720" w:type="dxa"/>
            <w:tcBorders>
              <w:top w:val="nil"/>
              <w:left w:val="nil"/>
              <w:bottom w:val="single" w:sz="4" w:space="0" w:color="auto"/>
              <w:right w:val="single" w:sz="4" w:space="0" w:color="auto"/>
            </w:tcBorders>
            <w:noWrap/>
            <w:vAlign w:val="bottom"/>
            <w:hideMark/>
          </w:tcPr>
          <w:p w14:paraId="1D14CB29"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4</w:t>
            </w:r>
          </w:p>
        </w:tc>
        <w:tc>
          <w:tcPr>
            <w:tcW w:w="766" w:type="dxa"/>
            <w:tcBorders>
              <w:top w:val="nil"/>
              <w:left w:val="nil"/>
              <w:bottom w:val="single" w:sz="4" w:space="0" w:color="auto"/>
              <w:right w:val="single" w:sz="4" w:space="0" w:color="auto"/>
            </w:tcBorders>
            <w:noWrap/>
            <w:vAlign w:val="bottom"/>
            <w:hideMark/>
          </w:tcPr>
          <w:p w14:paraId="41C2975F"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80</w:t>
            </w:r>
          </w:p>
        </w:tc>
        <w:tc>
          <w:tcPr>
            <w:tcW w:w="794" w:type="dxa"/>
            <w:tcBorders>
              <w:top w:val="nil"/>
              <w:left w:val="nil"/>
              <w:bottom w:val="single" w:sz="4" w:space="0" w:color="auto"/>
              <w:right w:val="single" w:sz="4" w:space="0" w:color="auto"/>
            </w:tcBorders>
            <w:noWrap/>
            <w:vAlign w:val="bottom"/>
            <w:hideMark/>
          </w:tcPr>
          <w:p w14:paraId="6135E92F"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16</w:t>
            </w:r>
          </w:p>
        </w:tc>
        <w:tc>
          <w:tcPr>
            <w:tcW w:w="766" w:type="dxa"/>
            <w:tcBorders>
              <w:top w:val="nil"/>
              <w:left w:val="nil"/>
              <w:bottom w:val="single" w:sz="4" w:space="0" w:color="auto"/>
              <w:right w:val="single" w:sz="4" w:space="0" w:color="auto"/>
            </w:tcBorders>
            <w:noWrap/>
            <w:vAlign w:val="bottom"/>
            <w:hideMark/>
          </w:tcPr>
          <w:p w14:paraId="6C3F8976"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94" w:type="dxa"/>
            <w:tcBorders>
              <w:top w:val="nil"/>
              <w:left w:val="nil"/>
              <w:bottom w:val="single" w:sz="4" w:space="0" w:color="auto"/>
              <w:right w:val="single" w:sz="4" w:space="0" w:color="auto"/>
            </w:tcBorders>
            <w:noWrap/>
            <w:vAlign w:val="bottom"/>
            <w:hideMark/>
          </w:tcPr>
          <w:p w14:paraId="5C896874"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r>
      <w:tr w:rsidR="00F16EB8" w:rsidRPr="00B63409" w14:paraId="33A3AEF4" w14:textId="77777777" w:rsidTr="00BE6FF5">
        <w:trPr>
          <w:trHeight w:val="300"/>
        </w:trPr>
        <w:tc>
          <w:tcPr>
            <w:tcW w:w="1683" w:type="dxa"/>
            <w:vMerge w:val="restart"/>
            <w:tcBorders>
              <w:top w:val="nil"/>
              <w:left w:val="single" w:sz="4" w:space="0" w:color="auto"/>
              <w:bottom w:val="single" w:sz="4" w:space="0" w:color="000000"/>
              <w:right w:val="single" w:sz="4" w:space="0" w:color="auto"/>
            </w:tcBorders>
            <w:vAlign w:val="center"/>
            <w:hideMark/>
          </w:tcPr>
          <w:p w14:paraId="273DDBF5" w14:textId="77777777" w:rsidR="00F16EB8" w:rsidRPr="007A322D" w:rsidRDefault="00F16EB8" w:rsidP="00BE6FF5">
            <w:pPr>
              <w:rPr>
                <w:rFonts w:asciiTheme="minorHAnsi" w:hAnsiTheme="minorHAnsi" w:cstheme="minorHAnsi"/>
                <w:color w:val="000000"/>
                <w:sz w:val="18"/>
                <w:szCs w:val="18"/>
                <w:lang w:val="fr-FR" w:eastAsia="en-GB"/>
              </w:rPr>
            </w:pPr>
            <w:proofErr w:type="spellStart"/>
            <w:r w:rsidRPr="007A322D">
              <w:rPr>
                <w:rFonts w:asciiTheme="minorHAnsi" w:hAnsiTheme="minorHAnsi" w:cstheme="minorHAnsi"/>
                <w:color w:val="000000"/>
                <w:sz w:val="18"/>
                <w:szCs w:val="18"/>
                <w:lang w:val="fr-FR" w:eastAsia="en-GB"/>
              </w:rPr>
              <w:t>Proiecte</w:t>
            </w:r>
            <w:proofErr w:type="spellEnd"/>
            <w:r w:rsidRPr="007A322D">
              <w:rPr>
                <w:rFonts w:asciiTheme="minorHAnsi" w:hAnsiTheme="minorHAnsi" w:cstheme="minorHAnsi"/>
                <w:color w:val="000000"/>
                <w:sz w:val="18"/>
                <w:szCs w:val="18"/>
                <w:lang w:val="fr-FR" w:eastAsia="en-GB"/>
              </w:rPr>
              <w:t xml:space="preserve"> </w:t>
            </w:r>
            <w:proofErr w:type="spellStart"/>
            <w:r w:rsidRPr="007A322D">
              <w:rPr>
                <w:rFonts w:asciiTheme="minorHAnsi" w:hAnsiTheme="minorHAnsi" w:cstheme="minorHAnsi"/>
                <w:color w:val="000000"/>
                <w:sz w:val="18"/>
                <w:szCs w:val="18"/>
                <w:lang w:val="fr-FR" w:eastAsia="en-GB"/>
              </w:rPr>
              <w:t>cu</w:t>
            </w:r>
            <w:proofErr w:type="spellEnd"/>
            <w:r w:rsidRPr="007A322D">
              <w:rPr>
                <w:rFonts w:asciiTheme="minorHAnsi" w:hAnsiTheme="minorHAnsi" w:cstheme="minorHAnsi"/>
                <w:color w:val="000000"/>
                <w:sz w:val="18"/>
                <w:szCs w:val="18"/>
                <w:lang w:val="fr-FR" w:eastAsia="en-GB"/>
              </w:rPr>
              <w:t xml:space="preserve"> </w:t>
            </w:r>
            <w:proofErr w:type="spellStart"/>
            <w:r w:rsidRPr="007A322D">
              <w:rPr>
                <w:rFonts w:asciiTheme="minorHAnsi" w:hAnsiTheme="minorHAnsi" w:cstheme="minorHAnsi"/>
                <w:color w:val="000000"/>
                <w:sz w:val="18"/>
                <w:szCs w:val="18"/>
                <w:lang w:val="fr-FR" w:eastAsia="en-GB"/>
              </w:rPr>
              <w:t>finanțare</w:t>
            </w:r>
            <w:proofErr w:type="spellEnd"/>
            <w:r w:rsidRPr="007A322D">
              <w:rPr>
                <w:rFonts w:asciiTheme="minorHAnsi" w:hAnsiTheme="minorHAnsi" w:cstheme="minorHAnsi"/>
                <w:color w:val="000000"/>
                <w:sz w:val="18"/>
                <w:szCs w:val="18"/>
                <w:lang w:val="fr-FR" w:eastAsia="en-GB"/>
              </w:rPr>
              <w:t xml:space="preserve"> </w:t>
            </w:r>
            <w:proofErr w:type="spellStart"/>
            <w:r w:rsidRPr="007A322D">
              <w:rPr>
                <w:rFonts w:asciiTheme="minorHAnsi" w:hAnsiTheme="minorHAnsi" w:cstheme="minorHAnsi"/>
                <w:color w:val="000000"/>
                <w:sz w:val="18"/>
                <w:szCs w:val="18"/>
                <w:lang w:val="fr-FR" w:eastAsia="en-GB"/>
              </w:rPr>
              <w:t>din</w:t>
            </w:r>
            <w:proofErr w:type="spellEnd"/>
            <w:r w:rsidRPr="007A322D">
              <w:rPr>
                <w:rFonts w:asciiTheme="minorHAnsi" w:hAnsiTheme="minorHAnsi" w:cstheme="minorHAnsi"/>
                <w:color w:val="000000"/>
                <w:sz w:val="18"/>
                <w:szCs w:val="18"/>
                <w:lang w:val="fr-FR" w:eastAsia="en-GB"/>
              </w:rPr>
              <w:t xml:space="preserve"> FEN </w:t>
            </w:r>
            <w:proofErr w:type="spellStart"/>
            <w:r w:rsidRPr="007A322D">
              <w:rPr>
                <w:rFonts w:asciiTheme="minorHAnsi" w:hAnsiTheme="minorHAnsi" w:cstheme="minorHAnsi"/>
                <w:color w:val="000000"/>
                <w:sz w:val="18"/>
                <w:szCs w:val="18"/>
                <w:lang w:val="fr-FR" w:eastAsia="en-GB"/>
              </w:rPr>
              <w:t>postaderare</w:t>
            </w:r>
            <w:proofErr w:type="spellEnd"/>
          </w:p>
        </w:tc>
        <w:tc>
          <w:tcPr>
            <w:tcW w:w="680" w:type="dxa"/>
            <w:tcBorders>
              <w:top w:val="nil"/>
              <w:left w:val="nil"/>
              <w:bottom w:val="single" w:sz="4" w:space="0" w:color="auto"/>
              <w:right w:val="single" w:sz="4" w:space="0" w:color="auto"/>
            </w:tcBorders>
            <w:vAlign w:val="center"/>
            <w:hideMark/>
          </w:tcPr>
          <w:p w14:paraId="0B2C0087"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CA</w:t>
            </w:r>
          </w:p>
        </w:tc>
        <w:tc>
          <w:tcPr>
            <w:tcW w:w="993" w:type="dxa"/>
            <w:tcBorders>
              <w:top w:val="nil"/>
              <w:left w:val="nil"/>
              <w:bottom w:val="single" w:sz="4" w:space="0" w:color="auto"/>
              <w:right w:val="single" w:sz="4" w:space="0" w:color="auto"/>
            </w:tcBorders>
            <w:noWrap/>
            <w:vAlign w:val="bottom"/>
            <w:hideMark/>
          </w:tcPr>
          <w:p w14:paraId="321CE933"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8,849</w:t>
            </w:r>
          </w:p>
        </w:tc>
        <w:tc>
          <w:tcPr>
            <w:tcW w:w="887" w:type="dxa"/>
            <w:tcBorders>
              <w:top w:val="nil"/>
              <w:left w:val="nil"/>
              <w:bottom w:val="single" w:sz="4" w:space="0" w:color="auto"/>
              <w:right w:val="single" w:sz="4" w:space="0" w:color="auto"/>
            </w:tcBorders>
            <w:noWrap/>
            <w:vAlign w:val="bottom"/>
            <w:hideMark/>
          </w:tcPr>
          <w:p w14:paraId="1A2B1F2C"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1,770</w:t>
            </w:r>
          </w:p>
        </w:tc>
        <w:tc>
          <w:tcPr>
            <w:tcW w:w="866" w:type="dxa"/>
            <w:tcBorders>
              <w:top w:val="nil"/>
              <w:left w:val="nil"/>
              <w:bottom w:val="single" w:sz="4" w:space="0" w:color="auto"/>
              <w:right w:val="single" w:sz="4" w:space="0" w:color="auto"/>
            </w:tcBorders>
            <w:noWrap/>
            <w:vAlign w:val="bottom"/>
            <w:hideMark/>
          </w:tcPr>
          <w:p w14:paraId="0357A611"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4,537</w:t>
            </w:r>
          </w:p>
        </w:tc>
        <w:tc>
          <w:tcPr>
            <w:tcW w:w="810" w:type="dxa"/>
            <w:tcBorders>
              <w:top w:val="nil"/>
              <w:left w:val="nil"/>
              <w:bottom w:val="single" w:sz="4" w:space="0" w:color="auto"/>
              <w:right w:val="single" w:sz="4" w:space="0" w:color="auto"/>
            </w:tcBorders>
            <w:noWrap/>
            <w:vAlign w:val="bottom"/>
            <w:hideMark/>
          </w:tcPr>
          <w:p w14:paraId="548A8DCD"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907</w:t>
            </w:r>
          </w:p>
        </w:tc>
        <w:tc>
          <w:tcPr>
            <w:tcW w:w="766" w:type="dxa"/>
            <w:tcBorders>
              <w:top w:val="nil"/>
              <w:left w:val="nil"/>
              <w:bottom w:val="single" w:sz="4" w:space="0" w:color="auto"/>
              <w:right w:val="single" w:sz="4" w:space="0" w:color="auto"/>
            </w:tcBorders>
            <w:noWrap/>
            <w:vAlign w:val="bottom"/>
            <w:hideMark/>
          </w:tcPr>
          <w:p w14:paraId="626ED114"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20" w:type="dxa"/>
            <w:tcBorders>
              <w:top w:val="nil"/>
              <w:left w:val="nil"/>
              <w:bottom w:val="single" w:sz="4" w:space="0" w:color="auto"/>
              <w:right w:val="single" w:sz="4" w:space="0" w:color="auto"/>
            </w:tcBorders>
            <w:noWrap/>
            <w:vAlign w:val="bottom"/>
            <w:hideMark/>
          </w:tcPr>
          <w:p w14:paraId="5057E3C7"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66" w:type="dxa"/>
            <w:tcBorders>
              <w:top w:val="nil"/>
              <w:left w:val="nil"/>
              <w:bottom w:val="single" w:sz="4" w:space="0" w:color="auto"/>
              <w:right w:val="single" w:sz="4" w:space="0" w:color="auto"/>
            </w:tcBorders>
            <w:noWrap/>
            <w:vAlign w:val="bottom"/>
            <w:hideMark/>
          </w:tcPr>
          <w:p w14:paraId="56CA1844"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4,178</w:t>
            </w:r>
          </w:p>
        </w:tc>
        <w:tc>
          <w:tcPr>
            <w:tcW w:w="794" w:type="dxa"/>
            <w:tcBorders>
              <w:top w:val="nil"/>
              <w:left w:val="nil"/>
              <w:bottom w:val="single" w:sz="4" w:space="0" w:color="auto"/>
              <w:right w:val="single" w:sz="4" w:space="0" w:color="auto"/>
            </w:tcBorders>
            <w:noWrap/>
            <w:vAlign w:val="bottom"/>
            <w:hideMark/>
          </w:tcPr>
          <w:p w14:paraId="2211D3C7"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836</w:t>
            </w:r>
          </w:p>
        </w:tc>
        <w:tc>
          <w:tcPr>
            <w:tcW w:w="766" w:type="dxa"/>
            <w:tcBorders>
              <w:top w:val="nil"/>
              <w:left w:val="nil"/>
              <w:bottom w:val="single" w:sz="4" w:space="0" w:color="auto"/>
              <w:right w:val="single" w:sz="4" w:space="0" w:color="auto"/>
            </w:tcBorders>
            <w:noWrap/>
            <w:vAlign w:val="bottom"/>
            <w:hideMark/>
          </w:tcPr>
          <w:p w14:paraId="20F6426D"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134</w:t>
            </w:r>
          </w:p>
        </w:tc>
        <w:tc>
          <w:tcPr>
            <w:tcW w:w="794" w:type="dxa"/>
            <w:tcBorders>
              <w:top w:val="nil"/>
              <w:left w:val="nil"/>
              <w:bottom w:val="single" w:sz="4" w:space="0" w:color="auto"/>
              <w:right w:val="single" w:sz="4" w:space="0" w:color="auto"/>
            </w:tcBorders>
            <w:noWrap/>
            <w:vAlign w:val="bottom"/>
            <w:hideMark/>
          </w:tcPr>
          <w:p w14:paraId="225F0DDD"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27</w:t>
            </w:r>
          </w:p>
        </w:tc>
      </w:tr>
      <w:tr w:rsidR="00F16EB8" w:rsidRPr="00B63409" w14:paraId="0B46358A" w14:textId="77777777" w:rsidTr="00BE6FF5">
        <w:trPr>
          <w:trHeight w:val="300"/>
        </w:trPr>
        <w:tc>
          <w:tcPr>
            <w:tcW w:w="1683" w:type="dxa"/>
            <w:vMerge/>
            <w:tcBorders>
              <w:top w:val="nil"/>
              <w:left w:val="single" w:sz="4" w:space="0" w:color="auto"/>
              <w:bottom w:val="single" w:sz="4" w:space="0" w:color="000000"/>
              <w:right w:val="single" w:sz="4" w:space="0" w:color="auto"/>
            </w:tcBorders>
            <w:vAlign w:val="center"/>
            <w:hideMark/>
          </w:tcPr>
          <w:p w14:paraId="297B8E0D" w14:textId="77777777" w:rsidR="00F16EB8" w:rsidRPr="00B63409" w:rsidRDefault="00F16EB8" w:rsidP="00BE6FF5">
            <w:pPr>
              <w:rPr>
                <w:rFonts w:asciiTheme="minorHAnsi" w:hAnsiTheme="minorHAnsi" w:cstheme="minorHAnsi"/>
                <w:color w:val="000000"/>
                <w:sz w:val="18"/>
                <w:szCs w:val="18"/>
                <w:lang w:val="en-GB" w:eastAsia="en-GB"/>
              </w:rPr>
            </w:pPr>
          </w:p>
        </w:tc>
        <w:tc>
          <w:tcPr>
            <w:tcW w:w="680" w:type="dxa"/>
            <w:tcBorders>
              <w:top w:val="nil"/>
              <w:left w:val="nil"/>
              <w:bottom w:val="single" w:sz="4" w:space="0" w:color="auto"/>
              <w:right w:val="single" w:sz="4" w:space="0" w:color="auto"/>
            </w:tcBorders>
            <w:vAlign w:val="center"/>
            <w:hideMark/>
          </w:tcPr>
          <w:p w14:paraId="0405402C"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CB</w:t>
            </w:r>
          </w:p>
        </w:tc>
        <w:tc>
          <w:tcPr>
            <w:tcW w:w="993" w:type="dxa"/>
            <w:tcBorders>
              <w:top w:val="nil"/>
              <w:left w:val="nil"/>
              <w:bottom w:val="single" w:sz="4" w:space="0" w:color="auto"/>
              <w:right w:val="single" w:sz="4" w:space="0" w:color="auto"/>
            </w:tcBorders>
            <w:noWrap/>
            <w:vAlign w:val="bottom"/>
            <w:hideMark/>
          </w:tcPr>
          <w:p w14:paraId="587B9B58"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3,995</w:t>
            </w:r>
          </w:p>
        </w:tc>
        <w:tc>
          <w:tcPr>
            <w:tcW w:w="887" w:type="dxa"/>
            <w:tcBorders>
              <w:top w:val="nil"/>
              <w:left w:val="nil"/>
              <w:bottom w:val="single" w:sz="4" w:space="0" w:color="auto"/>
              <w:right w:val="single" w:sz="4" w:space="0" w:color="auto"/>
            </w:tcBorders>
            <w:noWrap/>
            <w:vAlign w:val="bottom"/>
            <w:hideMark/>
          </w:tcPr>
          <w:p w14:paraId="19036420"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799</w:t>
            </w:r>
          </w:p>
        </w:tc>
        <w:tc>
          <w:tcPr>
            <w:tcW w:w="866" w:type="dxa"/>
            <w:tcBorders>
              <w:top w:val="nil"/>
              <w:left w:val="nil"/>
              <w:bottom w:val="single" w:sz="4" w:space="0" w:color="auto"/>
              <w:right w:val="single" w:sz="4" w:space="0" w:color="auto"/>
            </w:tcBorders>
            <w:noWrap/>
            <w:vAlign w:val="bottom"/>
            <w:hideMark/>
          </w:tcPr>
          <w:p w14:paraId="3224DB58"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1,900</w:t>
            </w:r>
          </w:p>
        </w:tc>
        <w:tc>
          <w:tcPr>
            <w:tcW w:w="810" w:type="dxa"/>
            <w:tcBorders>
              <w:top w:val="nil"/>
              <w:left w:val="nil"/>
              <w:bottom w:val="single" w:sz="4" w:space="0" w:color="auto"/>
              <w:right w:val="single" w:sz="4" w:space="0" w:color="auto"/>
            </w:tcBorders>
            <w:noWrap/>
            <w:vAlign w:val="bottom"/>
            <w:hideMark/>
          </w:tcPr>
          <w:p w14:paraId="4AFF8FE4"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380</w:t>
            </w:r>
          </w:p>
        </w:tc>
        <w:tc>
          <w:tcPr>
            <w:tcW w:w="766" w:type="dxa"/>
            <w:tcBorders>
              <w:top w:val="nil"/>
              <w:left w:val="nil"/>
              <w:bottom w:val="single" w:sz="4" w:space="0" w:color="auto"/>
              <w:right w:val="single" w:sz="4" w:space="0" w:color="auto"/>
            </w:tcBorders>
            <w:noWrap/>
            <w:vAlign w:val="bottom"/>
            <w:hideMark/>
          </w:tcPr>
          <w:p w14:paraId="493FFE43"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20" w:type="dxa"/>
            <w:tcBorders>
              <w:top w:val="nil"/>
              <w:left w:val="nil"/>
              <w:bottom w:val="single" w:sz="4" w:space="0" w:color="auto"/>
              <w:right w:val="single" w:sz="4" w:space="0" w:color="auto"/>
            </w:tcBorders>
            <w:noWrap/>
            <w:vAlign w:val="bottom"/>
            <w:hideMark/>
          </w:tcPr>
          <w:p w14:paraId="370A216A"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66" w:type="dxa"/>
            <w:tcBorders>
              <w:top w:val="nil"/>
              <w:left w:val="nil"/>
              <w:bottom w:val="single" w:sz="4" w:space="0" w:color="auto"/>
              <w:right w:val="single" w:sz="4" w:space="0" w:color="auto"/>
            </w:tcBorders>
            <w:noWrap/>
            <w:vAlign w:val="bottom"/>
            <w:hideMark/>
          </w:tcPr>
          <w:p w14:paraId="1AB0A784"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1,985</w:t>
            </w:r>
          </w:p>
        </w:tc>
        <w:tc>
          <w:tcPr>
            <w:tcW w:w="794" w:type="dxa"/>
            <w:tcBorders>
              <w:top w:val="nil"/>
              <w:left w:val="nil"/>
              <w:bottom w:val="single" w:sz="4" w:space="0" w:color="auto"/>
              <w:right w:val="single" w:sz="4" w:space="0" w:color="auto"/>
            </w:tcBorders>
            <w:noWrap/>
            <w:vAlign w:val="bottom"/>
            <w:hideMark/>
          </w:tcPr>
          <w:p w14:paraId="06173BCA"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397</w:t>
            </w:r>
          </w:p>
        </w:tc>
        <w:tc>
          <w:tcPr>
            <w:tcW w:w="766" w:type="dxa"/>
            <w:tcBorders>
              <w:top w:val="nil"/>
              <w:left w:val="nil"/>
              <w:bottom w:val="single" w:sz="4" w:space="0" w:color="auto"/>
              <w:right w:val="single" w:sz="4" w:space="0" w:color="auto"/>
            </w:tcBorders>
            <w:noWrap/>
            <w:vAlign w:val="bottom"/>
            <w:hideMark/>
          </w:tcPr>
          <w:p w14:paraId="445D56C6"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110</w:t>
            </w:r>
          </w:p>
        </w:tc>
        <w:tc>
          <w:tcPr>
            <w:tcW w:w="794" w:type="dxa"/>
            <w:tcBorders>
              <w:top w:val="nil"/>
              <w:left w:val="nil"/>
              <w:bottom w:val="single" w:sz="4" w:space="0" w:color="auto"/>
              <w:right w:val="single" w:sz="4" w:space="0" w:color="auto"/>
            </w:tcBorders>
            <w:noWrap/>
            <w:vAlign w:val="bottom"/>
            <w:hideMark/>
          </w:tcPr>
          <w:p w14:paraId="4BD6D214"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22</w:t>
            </w:r>
          </w:p>
        </w:tc>
      </w:tr>
      <w:tr w:rsidR="00F16EB8" w:rsidRPr="00B63409" w14:paraId="36FD7A35" w14:textId="77777777" w:rsidTr="00BE6FF5">
        <w:trPr>
          <w:trHeight w:val="300"/>
        </w:trPr>
        <w:tc>
          <w:tcPr>
            <w:tcW w:w="1683" w:type="dxa"/>
            <w:vMerge w:val="restart"/>
            <w:tcBorders>
              <w:top w:val="nil"/>
              <w:left w:val="single" w:sz="4" w:space="0" w:color="auto"/>
              <w:bottom w:val="single" w:sz="4" w:space="0" w:color="000000"/>
              <w:right w:val="single" w:sz="4" w:space="0" w:color="auto"/>
            </w:tcBorders>
            <w:vAlign w:val="center"/>
            <w:hideMark/>
          </w:tcPr>
          <w:p w14:paraId="1F80B4AB" w14:textId="77777777" w:rsidR="00F16EB8" w:rsidRPr="007A322D" w:rsidRDefault="00F16EB8" w:rsidP="00BE6FF5">
            <w:pPr>
              <w:rPr>
                <w:rFonts w:asciiTheme="minorHAnsi" w:hAnsiTheme="minorHAnsi" w:cstheme="minorHAnsi"/>
                <w:color w:val="000000"/>
                <w:sz w:val="18"/>
                <w:szCs w:val="18"/>
                <w:lang w:val="fr-FR" w:eastAsia="en-GB"/>
              </w:rPr>
            </w:pPr>
            <w:proofErr w:type="spellStart"/>
            <w:r w:rsidRPr="007A322D">
              <w:rPr>
                <w:rFonts w:asciiTheme="minorHAnsi" w:hAnsiTheme="minorHAnsi" w:cstheme="minorHAnsi"/>
                <w:color w:val="000000"/>
                <w:sz w:val="18"/>
                <w:szCs w:val="18"/>
                <w:lang w:val="fr-FR" w:eastAsia="en-GB"/>
              </w:rPr>
              <w:lastRenderedPageBreak/>
              <w:t>Proiecte</w:t>
            </w:r>
            <w:proofErr w:type="spellEnd"/>
            <w:r w:rsidRPr="007A322D">
              <w:rPr>
                <w:rFonts w:asciiTheme="minorHAnsi" w:hAnsiTheme="minorHAnsi" w:cstheme="minorHAnsi"/>
                <w:color w:val="000000"/>
                <w:sz w:val="18"/>
                <w:szCs w:val="18"/>
                <w:lang w:val="fr-FR" w:eastAsia="en-GB"/>
              </w:rPr>
              <w:t xml:space="preserve"> </w:t>
            </w:r>
            <w:proofErr w:type="spellStart"/>
            <w:r w:rsidRPr="007A322D">
              <w:rPr>
                <w:rFonts w:asciiTheme="minorHAnsi" w:hAnsiTheme="minorHAnsi" w:cstheme="minorHAnsi"/>
                <w:color w:val="000000"/>
                <w:sz w:val="18"/>
                <w:szCs w:val="18"/>
                <w:lang w:val="fr-FR" w:eastAsia="en-GB"/>
              </w:rPr>
              <w:t>cu</w:t>
            </w:r>
            <w:proofErr w:type="spellEnd"/>
            <w:r w:rsidRPr="007A322D">
              <w:rPr>
                <w:rFonts w:asciiTheme="minorHAnsi" w:hAnsiTheme="minorHAnsi" w:cstheme="minorHAnsi"/>
                <w:color w:val="000000"/>
                <w:sz w:val="18"/>
                <w:szCs w:val="18"/>
                <w:lang w:val="fr-FR" w:eastAsia="en-GB"/>
              </w:rPr>
              <w:t xml:space="preserve"> </w:t>
            </w:r>
            <w:proofErr w:type="spellStart"/>
            <w:r w:rsidRPr="007A322D">
              <w:rPr>
                <w:rFonts w:asciiTheme="minorHAnsi" w:hAnsiTheme="minorHAnsi" w:cstheme="minorHAnsi"/>
                <w:color w:val="000000"/>
                <w:sz w:val="18"/>
                <w:szCs w:val="18"/>
                <w:lang w:val="fr-FR" w:eastAsia="en-GB"/>
              </w:rPr>
              <w:t>finanțare</w:t>
            </w:r>
            <w:proofErr w:type="spellEnd"/>
            <w:r w:rsidRPr="007A322D">
              <w:rPr>
                <w:rFonts w:asciiTheme="minorHAnsi" w:hAnsiTheme="minorHAnsi" w:cstheme="minorHAnsi"/>
                <w:color w:val="000000"/>
                <w:sz w:val="18"/>
                <w:szCs w:val="18"/>
                <w:lang w:val="fr-FR" w:eastAsia="en-GB"/>
              </w:rPr>
              <w:t xml:space="preserve"> </w:t>
            </w:r>
            <w:proofErr w:type="spellStart"/>
            <w:r w:rsidRPr="007A322D">
              <w:rPr>
                <w:rFonts w:asciiTheme="minorHAnsi" w:hAnsiTheme="minorHAnsi" w:cstheme="minorHAnsi"/>
                <w:color w:val="000000"/>
                <w:sz w:val="18"/>
                <w:szCs w:val="18"/>
                <w:lang w:val="fr-FR" w:eastAsia="en-GB"/>
              </w:rPr>
              <w:t>din</w:t>
            </w:r>
            <w:proofErr w:type="spellEnd"/>
            <w:r w:rsidRPr="007A322D">
              <w:rPr>
                <w:rFonts w:asciiTheme="minorHAnsi" w:hAnsiTheme="minorHAnsi" w:cstheme="minorHAnsi"/>
                <w:color w:val="000000"/>
                <w:sz w:val="18"/>
                <w:szCs w:val="18"/>
                <w:lang w:val="fr-FR" w:eastAsia="en-GB"/>
              </w:rPr>
              <w:t xml:space="preserve"> FEN </w:t>
            </w:r>
            <w:proofErr w:type="spellStart"/>
            <w:r w:rsidRPr="007A322D">
              <w:rPr>
                <w:rFonts w:asciiTheme="minorHAnsi" w:hAnsiTheme="minorHAnsi" w:cstheme="minorHAnsi"/>
                <w:color w:val="000000"/>
                <w:sz w:val="18"/>
                <w:szCs w:val="18"/>
                <w:lang w:val="fr-FR" w:eastAsia="en-GB"/>
              </w:rPr>
              <w:t>aferente</w:t>
            </w:r>
            <w:proofErr w:type="spellEnd"/>
            <w:r w:rsidRPr="007A322D">
              <w:rPr>
                <w:rFonts w:asciiTheme="minorHAnsi" w:hAnsiTheme="minorHAnsi" w:cstheme="minorHAnsi"/>
                <w:color w:val="000000"/>
                <w:sz w:val="18"/>
                <w:szCs w:val="18"/>
                <w:lang w:val="fr-FR" w:eastAsia="en-GB"/>
              </w:rPr>
              <w:t xml:space="preserve"> </w:t>
            </w:r>
            <w:proofErr w:type="spellStart"/>
            <w:r w:rsidRPr="007A322D">
              <w:rPr>
                <w:rFonts w:asciiTheme="minorHAnsi" w:hAnsiTheme="minorHAnsi" w:cstheme="minorHAnsi"/>
                <w:color w:val="000000"/>
                <w:sz w:val="18"/>
                <w:szCs w:val="18"/>
                <w:lang w:val="fr-FR" w:eastAsia="en-GB"/>
              </w:rPr>
              <w:t>cadrului</w:t>
            </w:r>
            <w:proofErr w:type="spellEnd"/>
            <w:r w:rsidRPr="007A322D">
              <w:rPr>
                <w:rFonts w:asciiTheme="minorHAnsi" w:hAnsiTheme="minorHAnsi" w:cstheme="minorHAnsi"/>
                <w:color w:val="000000"/>
                <w:sz w:val="18"/>
                <w:szCs w:val="18"/>
                <w:lang w:val="fr-FR" w:eastAsia="en-GB"/>
              </w:rPr>
              <w:t xml:space="preserve"> </w:t>
            </w:r>
            <w:proofErr w:type="spellStart"/>
            <w:r w:rsidRPr="007A322D">
              <w:rPr>
                <w:rFonts w:asciiTheme="minorHAnsi" w:hAnsiTheme="minorHAnsi" w:cstheme="minorHAnsi"/>
                <w:color w:val="000000"/>
                <w:sz w:val="18"/>
                <w:szCs w:val="18"/>
                <w:lang w:val="fr-FR" w:eastAsia="en-GB"/>
              </w:rPr>
              <w:t>financiar</w:t>
            </w:r>
            <w:proofErr w:type="spellEnd"/>
            <w:r w:rsidRPr="007A322D">
              <w:rPr>
                <w:rFonts w:asciiTheme="minorHAnsi" w:hAnsiTheme="minorHAnsi" w:cstheme="minorHAnsi"/>
                <w:color w:val="000000"/>
                <w:sz w:val="18"/>
                <w:szCs w:val="18"/>
                <w:lang w:val="fr-FR" w:eastAsia="en-GB"/>
              </w:rPr>
              <w:t xml:space="preserve"> 2014-2020</w:t>
            </w:r>
          </w:p>
        </w:tc>
        <w:tc>
          <w:tcPr>
            <w:tcW w:w="680" w:type="dxa"/>
            <w:tcBorders>
              <w:top w:val="nil"/>
              <w:left w:val="nil"/>
              <w:bottom w:val="single" w:sz="4" w:space="0" w:color="auto"/>
              <w:right w:val="single" w:sz="4" w:space="0" w:color="auto"/>
            </w:tcBorders>
            <w:vAlign w:val="center"/>
            <w:hideMark/>
          </w:tcPr>
          <w:p w14:paraId="279FCD2E"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CA</w:t>
            </w:r>
          </w:p>
        </w:tc>
        <w:tc>
          <w:tcPr>
            <w:tcW w:w="993" w:type="dxa"/>
            <w:tcBorders>
              <w:top w:val="nil"/>
              <w:left w:val="nil"/>
              <w:bottom w:val="single" w:sz="4" w:space="0" w:color="auto"/>
              <w:right w:val="single" w:sz="4" w:space="0" w:color="auto"/>
            </w:tcBorders>
            <w:noWrap/>
            <w:vAlign w:val="bottom"/>
            <w:hideMark/>
          </w:tcPr>
          <w:p w14:paraId="388F1502"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205</w:t>
            </w:r>
          </w:p>
        </w:tc>
        <w:tc>
          <w:tcPr>
            <w:tcW w:w="887" w:type="dxa"/>
            <w:tcBorders>
              <w:top w:val="nil"/>
              <w:left w:val="nil"/>
              <w:bottom w:val="single" w:sz="4" w:space="0" w:color="auto"/>
              <w:right w:val="single" w:sz="4" w:space="0" w:color="auto"/>
            </w:tcBorders>
            <w:noWrap/>
            <w:vAlign w:val="bottom"/>
            <w:hideMark/>
          </w:tcPr>
          <w:p w14:paraId="6425C983"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41</w:t>
            </w:r>
          </w:p>
        </w:tc>
        <w:tc>
          <w:tcPr>
            <w:tcW w:w="866" w:type="dxa"/>
            <w:tcBorders>
              <w:top w:val="nil"/>
              <w:left w:val="nil"/>
              <w:bottom w:val="single" w:sz="4" w:space="0" w:color="auto"/>
              <w:right w:val="single" w:sz="4" w:space="0" w:color="auto"/>
            </w:tcBorders>
            <w:noWrap/>
            <w:vAlign w:val="bottom"/>
            <w:hideMark/>
          </w:tcPr>
          <w:p w14:paraId="18B093FD"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205</w:t>
            </w:r>
          </w:p>
        </w:tc>
        <w:tc>
          <w:tcPr>
            <w:tcW w:w="810" w:type="dxa"/>
            <w:tcBorders>
              <w:top w:val="nil"/>
              <w:left w:val="nil"/>
              <w:bottom w:val="single" w:sz="4" w:space="0" w:color="auto"/>
              <w:right w:val="single" w:sz="4" w:space="0" w:color="auto"/>
            </w:tcBorders>
            <w:noWrap/>
            <w:vAlign w:val="bottom"/>
            <w:hideMark/>
          </w:tcPr>
          <w:p w14:paraId="492A0BE1"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41</w:t>
            </w:r>
          </w:p>
        </w:tc>
        <w:tc>
          <w:tcPr>
            <w:tcW w:w="766" w:type="dxa"/>
            <w:tcBorders>
              <w:top w:val="nil"/>
              <w:left w:val="nil"/>
              <w:bottom w:val="single" w:sz="4" w:space="0" w:color="auto"/>
              <w:right w:val="single" w:sz="4" w:space="0" w:color="auto"/>
            </w:tcBorders>
            <w:noWrap/>
            <w:vAlign w:val="bottom"/>
            <w:hideMark/>
          </w:tcPr>
          <w:p w14:paraId="6D168EB4"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20" w:type="dxa"/>
            <w:tcBorders>
              <w:top w:val="nil"/>
              <w:left w:val="nil"/>
              <w:bottom w:val="single" w:sz="4" w:space="0" w:color="auto"/>
              <w:right w:val="single" w:sz="4" w:space="0" w:color="auto"/>
            </w:tcBorders>
            <w:noWrap/>
            <w:vAlign w:val="bottom"/>
            <w:hideMark/>
          </w:tcPr>
          <w:p w14:paraId="156D72AC"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66" w:type="dxa"/>
            <w:tcBorders>
              <w:top w:val="nil"/>
              <w:left w:val="nil"/>
              <w:bottom w:val="single" w:sz="4" w:space="0" w:color="auto"/>
              <w:right w:val="single" w:sz="4" w:space="0" w:color="auto"/>
            </w:tcBorders>
            <w:noWrap/>
            <w:vAlign w:val="bottom"/>
            <w:hideMark/>
          </w:tcPr>
          <w:p w14:paraId="22D4FDE3"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94" w:type="dxa"/>
            <w:tcBorders>
              <w:top w:val="nil"/>
              <w:left w:val="nil"/>
              <w:bottom w:val="single" w:sz="4" w:space="0" w:color="auto"/>
              <w:right w:val="single" w:sz="4" w:space="0" w:color="auto"/>
            </w:tcBorders>
            <w:noWrap/>
            <w:vAlign w:val="bottom"/>
            <w:hideMark/>
          </w:tcPr>
          <w:p w14:paraId="601CB94A"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66" w:type="dxa"/>
            <w:tcBorders>
              <w:top w:val="nil"/>
              <w:left w:val="nil"/>
              <w:bottom w:val="single" w:sz="4" w:space="0" w:color="auto"/>
              <w:right w:val="single" w:sz="4" w:space="0" w:color="auto"/>
            </w:tcBorders>
            <w:noWrap/>
            <w:vAlign w:val="bottom"/>
            <w:hideMark/>
          </w:tcPr>
          <w:p w14:paraId="48FD4531"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94" w:type="dxa"/>
            <w:tcBorders>
              <w:top w:val="nil"/>
              <w:left w:val="nil"/>
              <w:bottom w:val="single" w:sz="4" w:space="0" w:color="auto"/>
              <w:right w:val="single" w:sz="4" w:space="0" w:color="auto"/>
            </w:tcBorders>
            <w:noWrap/>
            <w:vAlign w:val="bottom"/>
            <w:hideMark/>
          </w:tcPr>
          <w:p w14:paraId="37544590"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r>
      <w:tr w:rsidR="00F16EB8" w:rsidRPr="00B63409" w14:paraId="0736B892" w14:textId="77777777" w:rsidTr="00BE6FF5">
        <w:trPr>
          <w:trHeight w:val="300"/>
        </w:trPr>
        <w:tc>
          <w:tcPr>
            <w:tcW w:w="1683" w:type="dxa"/>
            <w:vMerge/>
            <w:tcBorders>
              <w:top w:val="nil"/>
              <w:left w:val="single" w:sz="4" w:space="0" w:color="auto"/>
              <w:bottom w:val="single" w:sz="4" w:space="0" w:color="000000"/>
              <w:right w:val="single" w:sz="4" w:space="0" w:color="auto"/>
            </w:tcBorders>
            <w:vAlign w:val="center"/>
            <w:hideMark/>
          </w:tcPr>
          <w:p w14:paraId="35461560" w14:textId="77777777" w:rsidR="00F16EB8" w:rsidRPr="00B63409" w:rsidRDefault="00F16EB8" w:rsidP="00BE6FF5">
            <w:pPr>
              <w:rPr>
                <w:rFonts w:asciiTheme="minorHAnsi" w:hAnsiTheme="minorHAnsi" w:cstheme="minorHAnsi"/>
                <w:color w:val="000000"/>
                <w:sz w:val="18"/>
                <w:szCs w:val="18"/>
                <w:lang w:val="en-GB" w:eastAsia="en-GB"/>
              </w:rPr>
            </w:pPr>
          </w:p>
        </w:tc>
        <w:tc>
          <w:tcPr>
            <w:tcW w:w="680" w:type="dxa"/>
            <w:tcBorders>
              <w:top w:val="nil"/>
              <w:left w:val="nil"/>
              <w:bottom w:val="single" w:sz="4" w:space="0" w:color="auto"/>
              <w:right w:val="single" w:sz="4" w:space="0" w:color="auto"/>
            </w:tcBorders>
            <w:vAlign w:val="center"/>
            <w:hideMark/>
          </w:tcPr>
          <w:p w14:paraId="5CAEE0B6"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CB</w:t>
            </w:r>
          </w:p>
        </w:tc>
        <w:tc>
          <w:tcPr>
            <w:tcW w:w="993" w:type="dxa"/>
            <w:tcBorders>
              <w:top w:val="nil"/>
              <w:left w:val="nil"/>
              <w:bottom w:val="single" w:sz="4" w:space="0" w:color="auto"/>
              <w:right w:val="single" w:sz="4" w:space="0" w:color="auto"/>
            </w:tcBorders>
            <w:noWrap/>
            <w:vAlign w:val="bottom"/>
            <w:hideMark/>
          </w:tcPr>
          <w:p w14:paraId="3BEF81FB"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205</w:t>
            </w:r>
          </w:p>
        </w:tc>
        <w:tc>
          <w:tcPr>
            <w:tcW w:w="887" w:type="dxa"/>
            <w:tcBorders>
              <w:top w:val="nil"/>
              <w:left w:val="nil"/>
              <w:bottom w:val="single" w:sz="4" w:space="0" w:color="auto"/>
              <w:right w:val="single" w:sz="4" w:space="0" w:color="auto"/>
            </w:tcBorders>
            <w:noWrap/>
            <w:vAlign w:val="bottom"/>
            <w:hideMark/>
          </w:tcPr>
          <w:p w14:paraId="6E5A482E"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41</w:t>
            </w:r>
          </w:p>
        </w:tc>
        <w:tc>
          <w:tcPr>
            <w:tcW w:w="866" w:type="dxa"/>
            <w:tcBorders>
              <w:top w:val="nil"/>
              <w:left w:val="nil"/>
              <w:bottom w:val="single" w:sz="4" w:space="0" w:color="auto"/>
              <w:right w:val="single" w:sz="4" w:space="0" w:color="auto"/>
            </w:tcBorders>
            <w:noWrap/>
            <w:vAlign w:val="bottom"/>
            <w:hideMark/>
          </w:tcPr>
          <w:p w14:paraId="1890104A"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205</w:t>
            </w:r>
          </w:p>
        </w:tc>
        <w:tc>
          <w:tcPr>
            <w:tcW w:w="810" w:type="dxa"/>
            <w:tcBorders>
              <w:top w:val="nil"/>
              <w:left w:val="nil"/>
              <w:bottom w:val="single" w:sz="4" w:space="0" w:color="auto"/>
              <w:right w:val="single" w:sz="4" w:space="0" w:color="auto"/>
            </w:tcBorders>
            <w:noWrap/>
            <w:vAlign w:val="bottom"/>
            <w:hideMark/>
          </w:tcPr>
          <w:p w14:paraId="69CD98DC"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41</w:t>
            </w:r>
          </w:p>
        </w:tc>
        <w:tc>
          <w:tcPr>
            <w:tcW w:w="766" w:type="dxa"/>
            <w:tcBorders>
              <w:top w:val="nil"/>
              <w:left w:val="nil"/>
              <w:bottom w:val="single" w:sz="4" w:space="0" w:color="auto"/>
              <w:right w:val="single" w:sz="4" w:space="0" w:color="auto"/>
            </w:tcBorders>
            <w:noWrap/>
            <w:vAlign w:val="bottom"/>
            <w:hideMark/>
          </w:tcPr>
          <w:p w14:paraId="0F6E0FAF"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20" w:type="dxa"/>
            <w:tcBorders>
              <w:top w:val="nil"/>
              <w:left w:val="nil"/>
              <w:bottom w:val="single" w:sz="4" w:space="0" w:color="auto"/>
              <w:right w:val="single" w:sz="4" w:space="0" w:color="auto"/>
            </w:tcBorders>
            <w:noWrap/>
            <w:vAlign w:val="bottom"/>
            <w:hideMark/>
          </w:tcPr>
          <w:p w14:paraId="0C5C654C"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66" w:type="dxa"/>
            <w:tcBorders>
              <w:top w:val="nil"/>
              <w:left w:val="nil"/>
              <w:bottom w:val="single" w:sz="4" w:space="0" w:color="auto"/>
              <w:right w:val="single" w:sz="4" w:space="0" w:color="auto"/>
            </w:tcBorders>
            <w:noWrap/>
            <w:vAlign w:val="bottom"/>
            <w:hideMark/>
          </w:tcPr>
          <w:p w14:paraId="4FA6DB57"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94" w:type="dxa"/>
            <w:tcBorders>
              <w:top w:val="nil"/>
              <w:left w:val="nil"/>
              <w:bottom w:val="single" w:sz="4" w:space="0" w:color="auto"/>
              <w:right w:val="single" w:sz="4" w:space="0" w:color="auto"/>
            </w:tcBorders>
            <w:noWrap/>
            <w:vAlign w:val="bottom"/>
            <w:hideMark/>
          </w:tcPr>
          <w:p w14:paraId="4F39846D"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66" w:type="dxa"/>
            <w:tcBorders>
              <w:top w:val="nil"/>
              <w:left w:val="nil"/>
              <w:bottom w:val="single" w:sz="4" w:space="0" w:color="auto"/>
              <w:right w:val="single" w:sz="4" w:space="0" w:color="auto"/>
            </w:tcBorders>
            <w:noWrap/>
            <w:vAlign w:val="bottom"/>
            <w:hideMark/>
          </w:tcPr>
          <w:p w14:paraId="6C9A320C"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94" w:type="dxa"/>
            <w:tcBorders>
              <w:top w:val="nil"/>
              <w:left w:val="nil"/>
              <w:bottom w:val="single" w:sz="4" w:space="0" w:color="auto"/>
              <w:right w:val="single" w:sz="4" w:space="0" w:color="auto"/>
            </w:tcBorders>
            <w:noWrap/>
            <w:vAlign w:val="bottom"/>
            <w:hideMark/>
          </w:tcPr>
          <w:p w14:paraId="727ED823"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r>
      <w:tr w:rsidR="00F16EB8" w:rsidRPr="00B63409" w14:paraId="5F976497" w14:textId="77777777" w:rsidTr="00BE6FF5">
        <w:trPr>
          <w:trHeight w:val="300"/>
        </w:trPr>
        <w:tc>
          <w:tcPr>
            <w:tcW w:w="1683" w:type="dxa"/>
            <w:vMerge w:val="restart"/>
            <w:tcBorders>
              <w:top w:val="nil"/>
              <w:left w:val="single" w:sz="4" w:space="0" w:color="auto"/>
              <w:bottom w:val="single" w:sz="4" w:space="0" w:color="000000"/>
              <w:right w:val="single" w:sz="4" w:space="0" w:color="auto"/>
            </w:tcBorders>
            <w:vAlign w:val="center"/>
            <w:hideMark/>
          </w:tcPr>
          <w:p w14:paraId="59536445"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 xml:space="preserve">Alte </w:t>
            </w:r>
            <w:proofErr w:type="spellStart"/>
            <w:r w:rsidRPr="00B63409">
              <w:rPr>
                <w:rFonts w:asciiTheme="minorHAnsi" w:hAnsiTheme="minorHAnsi" w:cstheme="minorHAnsi"/>
                <w:color w:val="000000"/>
                <w:sz w:val="18"/>
                <w:szCs w:val="18"/>
                <w:lang w:val="en-GB" w:eastAsia="en-GB"/>
              </w:rPr>
              <w:t>cheltuieli</w:t>
            </w:r>
            <w:proofErr w:type="spellEnd"/>
          </w:p>
        </w:tc>
        <w:tc>
          <w:tcPr>
            <w:tcW w:w="680" w:type="dxa"/>
            <w:tcBorders>
              <w:top w:val="nil"/>
              <w:left w:val="nil"/>
              <w:bottom w:val="single" w:sz="4" w:space="0" w:color="auto"/>
              <w:right w:val="single" w:sz="4" w:space="0" w:color="auto"/>
            </w:tcBorders>
            <w:vAlign w:val="center"/>
            <w:hideMark/>
          </w:tcPr>
          <w:p w14:paraId="6F3AA3D9"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CA</w:t>
            </w:r>
          </w:p>
        </w:tc>
        <w:tc>
          <w:tcPr>
            <w:tcW w:w="993" w:type="dxa"/>
            <w:tcBorders>
              <w:top w:val="nil"/>
              <w:left w:val="nil"/>
              <w:bottom w:val="single" w:sz="4" w:space="0" w:color="auto"/>
              <w:right w:val="single" w:sz="4" w:space="0" w:color="auto"/>
            </w:tcBorders>
            <w:noWrap/>
            <w:vAlign w:val="bottom"/>
            <w:hideMark/>
          </w:tcPr>
          <w:p w14:paraId="37ACB48B"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55,700</w:t>
            </w:r>
          </w:p>
        </w:tc>
        <w:tc>
          <w:tcPr>
            <w:tcW w:w="887" w:type="dxa"/>
            <w:tcBorders>
              <w:top w:val="nil"/>
              <w:left w:val="nil"/>
              <w:bottom w:val="single" w:sz="4" w:space="0" w:color="auto"/>
              <w:right w:val="single" w:sz="4" w:space="0" w:color="auto"/>
            </w:tcBorders>
            <w:noWrap/>
            <w:vAlign w:val="bottom"/>
            <w:hideMark/>
          </w:tcPr>
          <w:p w14:paraId="779703F2"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11,086</w:t>
            </w:r>
          </w:p>
        </w:tc>
        <w:tc>
          <w:tcPr>
            <w:tcW w:w="866" w:type="dxa"/>
            <w:tcBorders>
              <w:top w:val="nil"/>
              <w:left w:val="nil"/>
              <w:bottom w:val="single" w:sz="4" w:space="0" w:color="auto"/>
              <w:right w:val="single" w:sz="4" w:space="0" w:color="auto"/>
            </w:tcBorders>
            <w:noWrap/>
            <w:vAlign w:val="bottom"/>
            <w:hideMark/>
          </w:tcPr>
          <w:p w14:paraId="777F57BE"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580</w:t>
            </w:r>
          </w:p>
        </w:tc>
        <w:tc>
          <w:tcPr>
            <w:tcW w:w="810" w:type="dxa"/>
            <w:tcBorders>
              <w:top w:val="nil"/>
              <w:left w:val="nil"/>
              <w:bottom w:val="single" w:sz="4" w:space="0" w:color="auto"/>
              <w:right w:val="single" w:sz="4" w:space="0" w:color="auto"/>
            </w:tcBorders>
            <w:noWrap/>
            <w:vAlign w:val="bottom"/>
            <w:hideMark/>
          </w:tcPr>
          <w:p w14:paraId="6B56058A"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116</w:t>
            </w:r>
          </w:p>
        </w:tc>
        <w:tc>
          <w:tcPr>
            <w:tcW w:w="766" w:type="dxa"/>
            <w:tcBorders>
              <w:top w:val="nil"/>
              <w:left w:val="nil"/>
              <w:bottom w:val="single" w:sz="4" w:space="0" w:color="auto"/>
              <w:right w:val="single" w:sz="4" w:space="0" w:color="auto"/>
            </w:tcBorders>
            <w:noWrap/>
            <w:vAlign w:val="bottom"/>
            <w:hideMark/>
          </w:tcPr>
          <w:p w14:paraId="5E1F602A"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270</w:t>
            </w:r>
          </w:p>
        </w:tc>
        <w:tc>
          <w:tcPr>
            <w:tcW w:w="720" w:type="dxa"/>
            <w:tcBorders>
              <w:top w:val="nil"/>
              <w:left w:val="nil"/>
              <w:bottom w:val="single" w:sz="4" w:space="0" w:color="auto"/>
              <w:right w:val="single" w:sz="4" w:space="0" w:color="auto"/>
            </w:tcBorders>
            <w:noWrap/>
            <w:vAlign w:val="bottom"/>
            <w:hideMark/>
          </w:tcPr>
          <w:p w14:paraId="74B90DC9"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54</w:t>
            </w:r>
          </w:p>
        </w:tc>
        <w:tc>
          <w:tcPr>
            <w:tcW w:w="766" w:type="dxa"/>
            <w:tcBorders>
              <w:top w:val="nil"/>
              <w:left w:val="nil"/>
              <w:bottom w:val="single" w:sz="4" w:space="0" w:color="auto"/>
              <w:right w:val="single" w:sz="4" w:space="0" w:color="auto"/>
            </w:tcBorders>
            <w:noWrap/>
            <w:vAlign w:val="bottom"/>
            <w:hideMark/>
          </w:tcPr>
          <w:p w14:paraId="7A52D2C0"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51,645</w:t>
            </w:r>
          </w:p>
        </w:tc>
        <w:tc>
          <w:tcPr>
            <w:tcW w:w="794" w:type="dxa"/>
            <w:tcBorders>
              <w:top w:val="nil"/>
              <w:left w:val="nil"/>
              <w:bottom w:val="single" w:sz="4" w:space="0" w:color="auto"/>
              <w:right w:val="single" w:sz="4" w:space="0" w:color="auto"/>
            </w:tcBorders>
            <w:noWrap/>
            <w:vAlign w:val="bottom"/>
            <w:hideMark/>
          </w:tcPr>
          <w:p w14:paraId="566BFDF8"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10,329</w:t>
            </w:r>
          </w:p>
        </w:tc>
        <w:tc>
          <w:tcPr>
            <w:tcW w:w="766" w:type="dxa"/>
            <w:tcBorders>
              <w:top w:val="nil"/>
              <w:left w:val="nil"/>
              <w:bottom w:val="single" w:sz="4" w:space="0" w:color="auto"/>
              <w:right w:val="single" w:sz="4" w:space="0" w:color="auto"/>
            </w:tcBorders>
            <w:noWrap/>
            <w:vAlign w:val="bottom"/>
            <w:hideMark/>
          </w:tcPr>
          <w:p w14:paraId="07FAF46E"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3,205</w:t>
            </w:r>
          </w:p>
        </w:tc>
        <w:tc>
          <w:tcPr>
            <w:tcW w:w="794" w:type="dxa"/>
            <w:tcBorders>
              <w:top w:val="nil"/>
              <w:left w:val="nil"/>
              <w:bottom w:val="single" w:sz="4" w:space="0" w:color="auto"/>
              <w:right w:val="single" w:sz="4" w:space="0" w:color="auto"/>
            </w:tcBorders>
            <w:noWrap/>
            <w:vAlign w:val="bottom"/>
            <w:hideMark/>
          </w:tcPr>
          <w:p w14:paraId="417FD190"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641</w:t>
            </w:r>
          </w:p>
        </w:tc>
      </w:tr>
      <w:tr w:rsidR="00F16EB8" w:rsidRPr="00B63409" w14:paraId="051060FC" w14:textId="77777777" w:rsidTr="00BE6FF5">
        <w:trPr>
          <w:trHeight w:val="300"/>
        </w:trPr>
        <w:tc>
          <w:tcPr>
            <w:tcW w:w="1683" w:type="dxa"/>
            <w:vMerge/>
            <w:tcBorders>
              <w:top w:val="nil"/>
              <w:left w:val="single" w:sz="4" w:space="0" w:color="auto"/>
              <w:bottom w:val="single" w:sz="4" w:space="0" w:color="000000"/>
              <w:right w:val="single" w:sz="4" w:space="0" w:color="auto"/>
            </w:tcBorders>
            <w:vAlign w:val="center"/>
            <w:hideMark/>
          </w:tcPr>
          <w:p w14:paraId="4DFAE88B" w14:textId="77777777" w:rsidR="00F16EB8" w:rsidRPr="00B63409" w:rsidRDefault="00F16EB8" w:rsidP="00BE6FF5">
            <w:pPr>
              <w:rPr>
                <w:rFonts w:asciiTheme="minorHAnsi" w:hAnsiTheme="minorHAnsi" w:cstheme="minorHAnsi"/>
                <w:color w:val="000000"/>
                <w:sz w:val="18"/>
                <w:szCs w:val="18"/>
                <w:lang w:val="en-GB" w:eastAsia="en-GB"/>
              </w:rPr>
            </w:pPr>
          </w:p>
        </w:tc>
        <w:tc>
          <w:tcPr>
            <w:tcW w:w="680" w:type="dxa"/>
            <w:tcBorders>
              <w:top w:val="nil"/>
              <w:left w:val="nil"/>
              <w:bottom w:val="single" w:sz="4" w:space="0" w:color="auto"/>
              <w:right w:val="single" w:sz="4" w:space="0" w:color="auto"/>
            </w:tcBorders>
            <w:vAlign w:val="center"/>
            <w:hideMark/>
          </w:tcPr>
          <w:p w14:paraId="2DB807B8"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CB</w:t>
            </w:r>
          </w:p>
        </w:tc>
        <w:tc>
          <w:tcPr>
            <w:tcW w:w="993" w:type="dxa"/>
            <w:tcBorders>
              <w:top w:val="nil"/>
              <w:left w:val="nil"/>
              <w:bottom w:val="single" w:sz="4" w:space="0" w:color="auto"/>
              <w:right w:val="single" w:sz="4" w:space="0" w:color="auto"/>
            </w:tcBorders>
            <w:noWrap/>
            <w:vAlign w:val="bottom"/>
            <w:hideMark/>
          </w:tcPr>
          <w:p w14:paraId="080CF4EA"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55,700</w:t>
            </w:r>
          </w:p>
        </w:tc>
        <w:tc>
          <w:tcPr>
            <w:tcW w:w="887" w:type="dxa"/>
            <w:tcBorders>
              <w:top w:val="nil"/>
              <w:left w:val="nil"/>
              <w:bottom w:val="single" w:sz="4" w:space="0" w:color="auto"/>
              <w:right w:val="single" w:sz="4" w:space="0" w:color="auto"/>
            </w:tcBorders>
            <w:noWrap/>
            <w:vAlign w:val="bottom"/>
            <w:hideMark/>
          </w:tcPr>
          <w:p w14:paraId="741C6B07"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11,086</w:t>
            </w:r>
          </w:p>
        </w:tc>
        <w:tc>
          <w:tcPr>
            <w:tcW w:w="866" w:type="dxa"/>
            <w:tcBorders>
              <w:top w:val="nil"/>
              <w:left w:val="nil"/>
              <w:bottom w:val="single" w:sz="4" w:space="0" w:color="auto"/>
              <w:right w:val="single" w:sz="4" w:space="0" w:color="auto"/>
            </w:tcBorders>
            <w:noWrap/>
            <w:vAlign w:val="bottom"/>
            <w:hideMark/>
          </w:tcPr>
          <w:p w14:paraId="0142EA53"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580</w:t>
            </w:r>
          </w:p>
        </w:tc>
        <w:tc>
          <w:tcPr>
            <w:tcW w:w="810" w:type="dxa"/>
            <w:tcBorders>
              <w:top w:val="nil"/>
              <w:left w:val="nil"/>
              <w:bottom w:val="single" w:sz="4" w:space="0" w:color="auto"/>
              <w:right w:val="single" w:sz="4" w:space="0" w:color="auto"/>
            </w:tcBorders>
            <w:noWrap/>
            <w:vAlign w:val="bottom"/>
            <w:hideMark/>
          </w:tcPr>
          <w:p w14:paraId="7F243283"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116</w:t>
            </w:r>
          </w:p>
        </w:tc>
        <w:tc>
          <w:tcPr>
            <w:tcW w:w="766" w:type="dxa"/>
            <w:tcBorders>
              <w:top w:val="nil"/>
              <w:left w:val="nil"/>
              <w:bottom w:val="single" w:sz="4" w:space="0" w:color="auto"/>
              <w:right w:val="single" w:sz="4" w:space="0" w:color="auto"/>
            </w:tcBorders>
            <w:noWrap/>
            <w:vAlign w:val="bottom"/>
            <w:hideMark/>
          </w:tcPr>
          <w:p w14:paraId="2AB2CCEB"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270</w:t>
            </w:r>
          </w:p>
        </w:tc>
        <w:tc>
          <w:tcPr>
            <w:tcW w:w="720" w:type="dxa"/>
            <w:tcBorders>
              <w:top w:val="nil"/>
              <w:left w:val="nil"/>
              <w:bottom w:val="single" w:sz="4" w:space="0" w:color="auto"/>
              <w:right w:val="single" w:sz="4" w:space="0" w:color="auto"/>
            </w:tcBorders>
            <w:noWrap/>
            <w:vAlign w:val="bottom"/>
            <w:hideMark/>
          </w:tcPr>
          <w:p w14:paraId="286C2605"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54</w:t>
            </w:r>
          </w:p>
        </w:tc>
        <w:tc>
          <w:tcPr>
            <w:tcW w:w="766" w:type="dxa"/>
            <w:tcBorders>
              <w:top w:val="nil"/>
              <w:left w:val="nil"/>
              <w:bottom w:val="single" w:sz="4" w:space="0" w:color="auto"/>
              <w:right w:val="single" w:sz="4" w:space="0" w:color="auto"/>
            </w:tcBorders>
            <w:noWrap/>
            <w:vAlign w:val="bottom"/>
            <w:hideMark/>
          </w:tcPr>
          <w:p w14:paraId="57FB4EB4"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51,645</w:t>
            </w:r>
          </w:p>
        </w:tc>
        <w:tc>
          <w:tcPr>
            <w:tcW w:w="794" w:type="dxa"/>
            <w:tcBorders>
              <w:top w:val="nil"/>
              <w:left w:val="nil"/>
              <w:bottom w:val="single" w:sz="4" w:space="0" w:color="auto"/>
              <w:right w:val="single" w:sz="4" w:space="0" w:color="auto"/>
            </w:tcBorders>
            <w:noWrap/>
            <w:vAlign w:val="bottom"/>
            <w:hideMark/>
          </w:tcPr>
          <w:p w14:paraId="5F0734C4"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10,329</w:t>
            </w:r>
          </w:p>
        </w:tc>
        <w:tc>
          <w:tcPr>
            <w:tcW w:w="766" w:type="dxa"/>
            <w:tcBorders>
              <w:top w:val="nil"/>
              <w:left w:val="nil"/>
              <w:bottom w:val="single" w:sz="4" w:space="0" w:color="auto"/>
              <w:right w:val="single" w:sz="4" w:space="0" w:color="auto"/>
            </w:tcBorders>
            <w:noWrap/>
            <w:vAlign w:val="bottom"/>
            <w:hideMark/>
          </w:tcPr>
          <w:p w14:paraId="32803A31"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3,205</w:t>
            </w:r>
          </w:p>
        </w:tc>
        <w:tc>
          <w:tcPr>
            <w:tcW w:w="794" w:type="dxa"/>
            <w:tcBorders>
              <w:top w:val="nil"/>
              <w:left w:val="nil"/>
              <w:bottom w:val="single" w:sz="4" w:space="0" w:color="auto"/>
              <w:right w:val="single" w:sz="4" w:space="0" w:color="auto"/>
            </w:tcBorders>
            <w:noWrap/>
            <w:vAlign w:val="bottom"/>
            <w:hideMark/>
          </w:tcPr>
          <w:p w14:paraId="7C452E5B"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641</w:t>
            </w:r>
          </w:p>
        </w:tc>
      </w:tr>
      <w:tr w:rsidR="00F16EB8" w:rsidRPr="00B63409" w14:paraId="2E41167B" w14:textId="77777777" w:rsidTr="00BE6FF5">
        <w:trPr>
          <w:trHeight w:val="300"/>
        </w:trPr>
        <w:tc>
          <w:tcPr>
            <w:tcW w:w="1683" w:type="dxa"/>
            <w:vMerge w:val="restart"/>
            <w:tcBorders>
              <w:top w:val="nil"/>
              <w:left w:val="single" w:sz="4" w:space="0" w:color="auto"/>
              <w:bottom w:val="single" w:sz="4" w:space="0" w:color="000000"/>
              <w:right w:val="single" w:sz="4" w:space="0" w:color="auto"/>
            </w:tcBorders>
            <w:vAlign w:val="center"/>
            <w:hideMark/>
          </w:tcPr>
          <w:p w14:paraId="606543D7" w14:textId="77777777" w:rsidR="00F16EB8" w:rsidRPr="00B63409" w:rsidRDefault="00F16EB8" w:rsidP="00BE6FF5">
            <w:pPr>
              <w:rPr>
                <w:rFonts w:asciiTheme="minorHAnsi" w:hAnsiTheme="minorHAnsi" w:cstheme="minorHAnsi"/>
                <w:color w:val="000000"/>
                <w:sz w:val="18"/>
                <w:szCs w:val="18"/>
                <w:lang w:val="en-GB" w:eastAsia="en-GB"/>
              </w:rPr>
            </w:pPr>
            <w:proofErr w:type="spellStart"/>
            <w:r w:rsidRPr="00B63409">
              <w:rPr>
                <w:rFonts w:asciiTheme="minorHAnsi" w:hAnsiTheme="minorHAnsi" w:cstheme="minorHAnsi"/>
                <w:color w:val="000000"/>
                <w:sz w:val="18"/>
                <w:szCs w:val="18"/>
                <w:lang w:val="en-GB" w:eastAsia="en-GB"/>
              </w:rPr>
              <w:t>Proiecte</w:t>
            </w:r>
            <w:proofErr w:type="spellEnd"/>
            <w:r w:rsidRPr="00B63409">
              <w:rPr>
                <w:rFonts w:asciiTheme="minorHAnsi" w:hAnsiTheme="minorHAnsi" w:cstheme="minorHAnsi"/>
                <w:color w:val="000000"/>
                <w:sz w:val="18"/>
                <w:szCs w:val="18"/>
                <w:lang w:val="en-GB" w:eastAsia="en-GB"/>
              </w:rPr>
              <w:t xml:space="preserve"> cu </w:t>
            </w:r>
            <w:proofErr w:type="spellStart"/>
            <w:r w:rsidRPr="00B63409">
              <w:rPr>
                <w:rFonts w:asciiTheme="minorHAnsi" w:hAnsiTheme="minorHAnsi" w:cstheme="minorHAnsi"/>
                <w:color w:val="000000"/>
                <w:sz w:val="18"/>
                <w:szCs w:val="18"/>
                <w:lang w:val="en-GB" w:eastAsia="en-GB"/>
              </w:rPr>
              <w:t>finanțate</w:t>
            </w:r>
            <w:proofErr w:type="spellEnd"/>
            <w:r w:rsidRPr="00B63409">
              <w:rPr>
                <w:rFonts w:asciiTheme="minorHAnsi" w:hAnsiTheme="minorHAnsi" w:cstheme="minorHAnsi"/>
                <w:color w:val="000000"/>
                <w:sz w:val="18"/>
                <w:szCs w:val="18"/>
                <w:lang w:val="en-GB" w:eastAsia="en-GB"/>
              </w:rPr>
              <w:t xml:space="preserve"> din </w:t>
            </w:r>
            <w:proofErr w:type="spellStart"/>
            <w:r w:rsidRPr="00B63409">
              <w:rPr>
                <w:rFonts w:asciiTheme="minorHAnsi" w:hAnsiTheme="minorHAnsi" w:cstheme="minorHAnsi"/>
                <w:color w:val="000000"/>
                <w:sz w:val="18"/>
                <w:szCs w:val="18"/>
                <w:lang w:val="en-GB" w:eastAsia="en-GB"/>
              </w:rPr>
              <w:t>sumele</w:t>
            </w:r>
            <w:proofErr w:type="spellEnd"/>
            <w:r w:rsidRPr="00B63409">
              <w:rPr>
                <w:rFonts w:asciiTheme="minorHAnsi" w:hAnsiTheme="minorHAnsi" w:cstheme="minorHAnsi"/>
                <w:color w:val="000000"/>
                <w:sz w:val="18"/>
                <w:szCs w:val="18"/>
                <w:lang w:val="en-GB" w:eastAsia="en-GB"/>
              </w:rPr>
              <w:t xml:space="preserve"> </w:t>
            </w:r>
            <w:proofErr w:type="spellStart"/>
            <w:r w:rsidRPr="00B63409">
              <w:rPr>
                <w:rFonts w:asciiTheme="minorHAnsi" w:hAnsiTheme="minorHAnsi" w:cstheme="minorHAnsi"/>
                <w:color w:val="000000"/>
                <w:sz w:val="18"/>
                <w:szCs w:val="18"/>
                <w:lang w:val="en-GB" w:eastAsia="en-GB"/>
              </w:rPr>
              <w:t>reprezentând</w:t>
            </w:r>
            <w:proofErr w:type="spellEnd"/>
            <w:r w:rsidRPr="00B63409">
              <w:rPr>
                <w:rFonts w:asciiTheme="minorHAnsi" w:hAnsiTheme="minorHAnsi" w:cstheme="minorHAnsi"/>
                <w:color w:val="000000"/>
                <w:sz w:val="18"/>
                <w:szCs w:val="18"/>
                <w:lang w:val="en-GB" w:eastAsia="en-GB"/>
              </w:rPr>
              <w:t xml:space="preserve"> </w:t>
            </w:r>
            <w:proofErr w:type="spellStart"/>
            <w:r w:rsidRPr="00B63409">
              <w:rPr>
                <w:rFonts w:asciiTheme="minorHAnsi" w:hAnsiTheme="minorHAnsi" w:cstheme="minorHAnsi"/>
                <w:color w:val="000000"/>
                <w:sz w:val="18"/>
                <w:szCs w:val="18"/>
                <w:lang w:val="en-GB" w:eastAsia="en-GB"/>
              </w:rPr>
              <w:t>asistență</w:t>
            </w:r>
            <w:proofErr w:type="spellEnd"/>
            <w:r w:rsidRPr="00B63409">
              <w:rPr>
                <w:rFonts w:asciiTheme="minorHAnsi" w:hAnsiTheme="minorHAnsi" w:cstheme="minorHAnsi"/>
                <w:color w:val="000000"/>
                <w:sz w:val="18"/>
                <w:szCs w:val="18"/>
                <w:lang w:val="en-GB" w:eastAsia="en-GB"/>
              </w:rPr>
              <w:t xml:space="preserve"> </w:t>
            </w:r>
            <w:proofErr w:type="spellStart"/>
            <w:r w:rsidRPr="00B63409">
              <w:rPr>
                <w:rFonts w:asciiTheme="minorHAnsi" w:hAnsiTheme="minorHAnsi" w:cstheme="minorHAnsi"/>
                <w:color w:val="000000"/>
                <w:sz w:val="18"/>
                <w:szCs w:val="18"/>
                <w:lang w:val="en-GB" w:eastAsia="en-GB"/>
              </w:rPr>
              <w:t>financiară</w:t>
            </w:r>
            <w:proofErr w:type="spellEnd"/>
            <w:r w:rsidRPr="00B63409">
              <w:rPr>
                <w:rFonts w:asciiTheme="minorHAnsi" w:hAnsiTheme="minorHAnsi" w:cstheme="minorHAnsi"/>
                <w:color w:val="000000"/>
                <w:sz w:val="18"/>
                <w:szCs w:val="18"/>
                <w:lang w:val="en-GB" w:eastAsia="en-GB"/>
              </w:rPr>
              <w:t xml:space="preserve"> </w:t>
            </w:r>
          </w:p>
        </w:tc>
        <w:tc>
          <w:tcPr>
            <w:tcW w:w="680" w:type="dxa"/>
            <w:tcBorders>
              <w:top w:val="nil"/>
              <w:left w:val="nil"/>
              <w:bottom w:val="single" w:sz="4" w:space="0" w:color="auto"/>
              <w:right w:val="single" w:sz="4" w:space="0" w:color="auto"/>
            </w:tcBorders>
            <w:vAlign w:val="center"/>
            <w:hideMark/>
          </w:tcPr>
          <w:p w14:paraId="27E873F6"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CA</w:t>
            </w:r>
          </w:p>
        </w:tc>
        <w:tc>
          <w:tcPr>
            <w:tcW w:w="993" w:type="dxa"/>
            <w:tcBorders>
              <w:top w:val="nil"/>
              <w:left w:val="nil"/>
              <w:bottom w:val="single" w:sz="4" w:space="0" w:color="auto"/>
              <w:right w:val="single" w:sz="4" w:space="0" w:color="auto"/>
            </w:tcBorders>
            <w:noWrap/>
            <w:vAlign w:val="bottom"/>
            <w:hideMark/>
          </w:tcPr>
          <w:p w14:paraId="1BB56A94"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635</w:t>
            </w:r>
          </w:p>
        </w:tc>
        <w:tc>
          <w:tcPr>
            <w:tcW w:w="887" w:type="dxa"/>
            <w:tcBorders>
              <w:top w:val="nil"/>
              <w:left w:val="nil"/>
              <w:bottom w:val="single" w:sz="4" w:space="0" w:color="auto"/>
              <w:right w:val="single" w:sz="4" w:space="0" w:color="auto"/>
            </w:tcBorders>
            <w:noWrap/>
            <w:vAlign w:val="bottom"/>
            <w:hideMark/>
          </w:tcPr>
          <w:p w14:paraId="19C66AD0"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127</w:t>
            </w:r>
          </w:p>
        </w:tc>
        <w:tc>
          <w:tcPr>
            <w:tcW w:w="866" w:type="dxa"/>
            <w:tcBorders>
              <w:top w:val="nil"/>
              <w:left w:val="nil"/>
              <w:bottom w:val="single" w:sz="4" w:space="0" w:color="auto"/>
              <w:right w:val="single" w:sz="4" w:space="0" w:color="auto"/>
            </w:tcBorders>
            <w:noWrap/>
            <w:vAlign w:val="bottom"/>
            <w:hideMark/>
          </w:tcPr>
          <w:p w14:paraId="6BFC6622"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635</w:t>
            </w:r>
          </w:p>
        </w:tc>
        <w:tc>
          <w:tcPr>
            <w:tcW w:w="810" w:type="dxa"/>
            <w:tcBorders>
              <w:top w:val="nil"/>
              <w:left w:val="nil"/>
              <w:bottom w:val="single" w:sz="4" w:space="0" w:color="auto"/>
              <w:right w:val="single" w:sz="4" w:space="0" w:color="auto"/>
            </w:tcBorders>
            <w:noWrap/>
            <w:vAlign w:val="bottom"/>
            <w:hideMark/>
          </w:tcPr>
          <w:p w14:paraId="4CE70583"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127</w:t>
            </w:r>
          </w:p>
        </w:tc>
        <w:tc>
          <w:tcPr>
            <w:tcW w:w="766" w:type="dxa"/>
            <w:tcBorders>
              <w:top w:val="nil"/>
              <w:left w:val="nil"/>
              <w:bottom w:val="single" w:sz="4" w:space="0" w:color="auto"/>
              <w:right w:val="single" w:sz="4" w:space="0" w:color="auto"/>
            </w:tcBorders>
            <w:noWrap/>
            <w:vAlign w:val="bottom"/>
            <w:hideMark/>
          </w:tcPr>
          <w:p w14:paraId="55CB4070"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20" w:type="dxa"/>
            <w:tcBorders>
              <w:top w:val="nil"/>
              <w:left w:val="nil"/>
              <w:bottom w:val="single" w:sz="4" w:space="0" w:color="auto"/>
              <w:right w:val="single" w:sz="4" w:space="0" w:color="auto"/>
            </w:tcBorders>
            <w:noWrap/>
            <w:vAlign w:val="bottom"/>
            <w:hideMark/>
          </w:tcPr>
          <w:p w14:paraId="7173FE52"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66" w:type="dxa"/>
            <w:tcBorders>
              <w:top w:val="nil"/>
              <w:left w:val="nil"/>
              <w:bottom w:val="single" w:sz="4" w:space="0" w:color="auto"/>
              <w:right w:val="single" w:sz="4" w:space="0" w:color="auto"/>
            </w:tcBorders>
            <w:noWrap/>
            <w:vAlign w:val="bottom"/>
            <w:hideMark/>
          </w:tcPr>
          <w:p w14:paraId="09F096BD"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94" w:type="dxa"/>
            <w:tcBorders>
              <w:top w:val="nil"/>
              <w:left w:val="nil"/>
              <w:bottom w:val="single" w:sz="4" w:space="0" w:color="auto"/>
              <w:right w:val="single" w:sz="4" w:space="0" w:color="auto"/>
            </w:tcBorders>
            <w:noWrap/>
            <w:vAlign w:val="bottom"/>
            <w:hideMark/>
          </w:tcPr>
          <w:p w14:paraId="6DD38961"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66" w:type="dxa"/>
            <w:tcBorders>
              <w:top w:val="nil"/>
              <w:left w:val="nil"/>
              <w:bottom w:val="single" w:sz="4" w:space="0" w:color="auto"/>
              <w:right w:val="single" w:sz="4" w:space="0" w:color="auto"/>
            </w:tcBorders>
            <w:noWrap/>
            <w:vAlign w:val="bottom"/>
            <w:hideMark/>
          </w:tcPr>
          <w:p w14:paraId="674A3B55"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94" w:type="dxa"/>
            <w:tcBorders>
              <w:top w:val="nil"/>
              <w:left w:val="nil"/>
              <w:bottom w:val="single" w:sz="4" w:space="0" w:color="auto"/>
              <w:right w:val="single" w:sz="4" w:space="0" w:color="auto"/>
            </w:tcBorders>
            <w:noWrap/>
            <w:vAlign w:val="bottom"/>
            <w:hideMark/>
          </w:tcPr>
          <w:p w14:paraId="25D317B4"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r>
      <w:tr w:rsidR="00F16EB8" w:rsidRPr="00B63409" w14:paraId="6FB6B328" w14:textId="77777777" w:rsidTr="00BE6FF5">
        <w:trPr>
          <w:trHeight w:val="300"/>
        </w:trPr>
        <w:tc>
          <w:tcPr>
            <w:tcW w:w="1683" w:type="dxa"/>
            <w:vMerge/>
            <w:tcBorders>
              <w:top w:val="nil"/>
              <w:left w:val="single" w:sz="4" w:space="0" w:color="auto"/>
              <w:bottom w:val="single" w:sz="4" w:space="0" w:color="000000"/>
              <w:right w:val="single" w:sz="4" w:space="0" w:color="auto"/>
            </w:tcBorders>
            <w:vAlign w:val="center"/>
            <w:hideMark/>
          </w:tcPr>
          <w:p w14:paraId="1208281B" w14:textId="77777777" w:rsidR="00F16EB8" w:rsidRPr="00B63409" w:rsidRDefault="00F16EB8" w:rsidP="00BE6FF5">
            <w:pPr>
              <w:rPr>
                <w:rFonts w:asciiTheme="minorHAnsi" w:hAnsiTheme="minorHAnsi" w:cstheme="minorHAnsi"/>
                <w:color w:val="000000"/>
                <w:sz w:val="18"/>
                <w:szCs w:val="18"/>
                <w:lang w:val="en-GB" w:eastAsia="en-GB"/>
              </w:rPr>
            </w:pPr>
          </w:p>
        </w:tc>
        <w:tc>
          <w:tcPr>
            <w:tcW w:w="680" w:type="dxa"/>
            <w:tcBorders>
              <w:top w:val="nil"/>
              <w:left w:val="nil"/>
              <w:bottom w:val="single" w:sz="4" w:space="0" w:color="auto"/>
              <w:right w:val="single" w:sz="4" w:space="0" w:color="auto"/>
            </w:tcBorders>
            <w:vAlign w:val="center"/>
            <w:hideMark/>
          </w:tcPr>
          <w:p w14:paraId="5DF748DB"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CB</w:t>
            </w:r>
          </w:p>
        </w:tc>
        <w:tc>
          <w:tcPr>
            <w:tcW w:w="993" w:type="dxa"/>
            <w:tcBorders>
              <w:top w:val="nil"/>
              <w:left w:val="nil"/>
              <w:bottom w:val="single" w:sz="4" w:space="0" w:color="auto"/>
              <w:right w:val="single" w:sz="4" w:space="0" w:color="auto"/>
            </w:tcBorders>
            <w:noWrap/>
            <w:vAlign w:val="bottom"/>
            <w:hideMark/>
          </w:tcPr>
          <w:p w14:paraId="72B2EA79"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635</w:t>
            </w:r>
          </w:p>
        </w:tc>
        <w:tc>
          <w:tcPr>
            <w:tcW w:w="887" w:type="dxa"/>
            <w:tcBorders>
              <w:top w:val="nil"/>
              <w:left w:val="nil"/>
              <w:bottom w:val="single" w:sz="4" w:space="0" w:color="auto"/>
              <w:right w:val="single" w:sz="4" w:space="0" w:color="auto"/>
            </w:tcBorders>
            <w:noWrap/>
            <w:vAlign w:val="bottom"/>
            <w:hideMark/>
          </w:tcPr>
          <w:p w14:paraId="54DA19E5"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127</w:t>
            </w:r>
          </w:p>
        </w:tc>
        <w:tc>
          <w:tcPr>
            <w:tcW w:w="866" w:type="dxa"/>
            <w:tcBorders>
              <w:top w:val="nil"/>
              <w:left w:val="nil"/>
              <w:bottom w:val="single" w:sz="4" w:space="0" w:color="auto"/>
              <w:right w:val="single" w:sz="4" w:space="0" w:color="auto"/>
            </w:tcBorders>
            <w:noWrap/>
            <w:vAlign w:val="bottom"/>
            <w:hideMark/>
          </w:tcPr>
          <w:p w14:paraId="4E203C6F"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635</w:t>
            </w:r>
          </w:p>
        </w:tc>
        <w:tc>
          <w:tcPr>
            <w:tcW w:w="810" w:type="dxa"/>
            <w:tcBorders>
              <w:top w:val="nil"/>
              <w:left w:val="nil"/>
              <w:bottom w:val="single" w:sz="4" w:space="0" w:color="auto"/>
              <w:right w:val="single" w:sz="4" w:space="0" w:color="auto"/>
            </w:tcBorders>
            <w:noWrap/>
            <w:vAlign w:val="bottom"/>
            <w:hideMark/>
          </w:tcPr>
          <w:p w14:paraId="45BB4AC9"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127</w:t>
            </w:r>
          </w:p>
        </w:tc>
        <w:tc>
          <w:tcPr>
            <w:tcW w:w="766" w:type="dxa"/>
            <w:tcBorders>
              <w:top w:val="nil"/>
              <w:left w:val="nil"/>
              <w:bottom w:val="single" w:sz="4" w:space="0" w:color="auto"/>
              <w:right w:val="single" w:sz="4" w:space="0" w:color="auto"/>
            </w:tcBorders>
            <w:noWrap/>
            <w:vAlign w:val="bottom"/>
            <w:hideMark/>
          </w:tcPr>
          <w:p w14:paraId="3D30E067"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20" w:type="dxa"/>
            <w:tcBorders>
              <w:top w:val="nil"/>
              <w:left w:val="nil"/>
              <w:bottom w:val="single" w:sz="4" w:space="0" w:color="auto"/>
              <w:right w:val="single" w:sz="4" w:space="0" w:color="auto"/>
            </w:tcBorders>
            <w:noWrap/>
            <w:vAlign w:val="bottom"/>
            <w:hideMark/>
          </w:tcPr>
          <w:p w14:paraId="171DB207"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66" w:type="dxa"/>
            <w:tcBorders>
              <w:top w:val="nil"/>
              <w:left w:val="nil"/>
              <w:bottom w:val="single" w:sz="4" w:space="0" w:color="auto"/>
              <w:right w:val="single" w:sz="4" w:space="0" w:color="auto"/>
            </w:tcBorders>
            <w:noWrap/>
            <w:vAlign w:val="bottom"/>
            <w:hideMark/>
          </w:tcPr>
          <w:p w14:paraId="69436B84"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94" w:type="dxa"/>
            <w:tcBorders>
              <w:top w:val="nil"/>
              <w:left w:val="nil"/>
              <w:bottom w:val="single" w:sz="4" w:space="0" w:color="auto"/>
              <w:right w:val="single" w:sz="4" w:space="0" w:color="auto"/>
            </w:tcBorders>
            <w:noWrap/>
            <w:vAlign w:val="bottom"/>
            <w:hideMark/>
          </w:tcPr>
          <w:p w14:paraId="5A8090E7"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66" w:type="dxa"/>
            <w:tcBorders>
              <w:top w:val="nil"/>
              <w:left w:val="nil"/>
              <w:bottom w:val="single" w:sz="4" w:space="0" w:color="auto"/>
              <w:right w:val="single" w:sz="4" w:space="0" w:color="auto"/>
            </w:tcBorders>
            <w:noWrap/>
            <w:vAlign w:val="bottom"/>
            <w:hideMark/>
          </w:tcPr>
          <w:p w14:paraId="1143C19E"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94" w:type="dxa"/>
            <w:tcBorders>
              <w:top w:val="nil"/>
              <w:left w:val="nil"/>
              <w:bottom w:val="single" w:sz="4" w:space="0" w:color="auto"/>
              <w:right w:val="single" w:sz="4" w:space="0" w:color="auto"/>
            </w:tcBorders>
            <w:noWrap/>
            <w:vAlign w:val="bottom"/>
            <w:hideMark/>
          </w:tcPr>
          <w:p w14:paraId="6F6779C0"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r>
      <w:tr w:rsidR="00F16EB8" w:rsidRPr="00B63409" w14:paraId="13DC7D8A" w14:textId="77777777" w:rsidTr="00BE6FF5">
        <w:trPr>
          <w:trHeight w:val="300"/>
        </w:trPr>
        <w:tc>
          <w:tcPr>
            <w:tcW w:w="1683" w:type="dxa"/>
            <w:vMerge w:val="restart"/>
            <w:tcBorders>
              <w:top w:val="nil"/>
              <w:left w:val="single" w:sz="4" w:space="0" w:color="auto"/>
              <w:bottom w:val="single" w:sz="4" w:space="0" w:color="000000"/>
              <w:right w:val="single" w:sz="4" w:space="0" w:color="auto"/>
            </w:tcBorders>
            <w:vAlign w:val="center"/>
            <w:hideMark/>
          </w:tcPr>
          <w:p w14:paraId="4F0401D6" w14:textId="77777777" w:rsidR="00F16EB8" w:rsidRPr="00B63409" w:rsidRDefault="00F16EB8" w:rsidP="00BE6FF5">
            <w:pPr>
              <w:rPr>
                <w:rFonts w:asciiTheme="minorHAnsi" w:hAnsiTheme="minorHAnsi" w:cstheme="minorHAnsi"/>
                <w:color w:val="000000"/>
                <w:sz w:val="18"/>
                <w:szCs w:val="18"/>
                <w:lang w:val="en-GB" w:eastAsia="en-GB"/>
              </w:rPr>
            </w:pPr>
            <w:proofErr w:type="spellStart"/>
            <w:r w:rsidRPr="00B63409">
              <w:rPr>
                <w:rFonts w:asciiTheme="minorHAnsi" w:hAnsiTheme="minorHAnsi" w:cstheme="minorHAnsi"/>
                <w:color w:val="000000"/>
                <w:sz w:val="18"/>
                <w:szCs w:val="18"/>
                <w:lang w:val="en-GB" w:eastAsia="en-GB"/>
              </w:rPr>
              <w:t>Cheltuieli</w:t>
            </w:r>
            <w:proofErr w:type="spellEnd"/>
            <w:r w:rsidRPr="00B63409">
              <w:rPr>
                <w:rFonts w:asciiTheme="minorHAnsi" w:hAnsiTheme="minorHAnsi" w:cstheme="minorHAnsi"/>
                <w:color w:val="000000"/>
                <w:sz w:val="18"/>
                <w:szCs w:val="18"/>
                <w:lang w:val="en-GB" w:eastAsia="en-GB"/>
              </w:rPr>
              <w:t xml:space="preserve"> de capital</w:t>
            </w:r>
          </w:p>
        </w:tc>
        <w:tc>
          <w:tcPr>
            <w:tcW w:w="680" w:type="dxa"/>
            <w:tcBorders>
              <w:top w:val="nil"/>
              <w:left w:val="nil"/>
              <w:bottom w:val="single" w:sz="4" w:space="0" w:color="auto"/>
              <w:right w:val="single" w:sz="4" w:space="0" w:color="auto"/>
            </w:tcBorders>
            <w:vAlign w:val="center"/>
            <w:hideMark/>
          </w:tcPr>
          <w:p w14:paraId="67C755C4"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CA</w:t>
            </w:r>
          </w:p>
        </w:tc>
        <w:tc>
          <w:tcPr>
            <w:tcW w:w="993" w:type="dxa"/>
            <w:tcBorders>
              <w:top w:val="nil"/>
              <w:left w:val="nil"/>
              <w:bottom w:val="single" w:sz="4" w:space="0" w:color="auto"/>
              <w:right w:val="single" w:sz="4" w:space="0" w:color="auto"/>
            </w:tcBorders>
            <w:noWrap/>
            <w:vAlign w:val="bottom"/>
            <w:hideMark/>
          </w:tcPr>
          <w:p w14:paraId="6532370A"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473</w:t>
            </w:r>
          </w:p>
        </w:tc>
        <w:tc>
          <w:tcPr>
            <w:tcW w:w="887" w:type="dxa"/>
            <w:tcBorders>
              <w:top w:val="nil"/>
              <w:left w:val="nil"/>
              <w:bottom w:val="single" w:sz="4" w:space="0" w:color="auto"/>
              <w:right w:val="single" w:sz="4" w:space="0" w:color="auto"/>
            </w:tcBorders>
            <w:noWrap/>
            <w:vAlign w:val="bottom"/>
            <w:hideMark/>
          </w:tcPr>
          <w:p w14:paraId="5276579E"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66</w:t>
            </w:r>
          </w:p>
        </w:tc>
        <w:tc>
          <w:tcPr>
            <w:tcW w:w="866" w:type="dxa"/>
            <w:tcBorders>
              <w:top w:val="nil"/>
              <w:left w:val="nil"/>
              <w:bottom w:val="single" w:sz="4" w:space="0" w:color="auto"/>
              <w:right w:val="single" w:sz="4" w:space="0" w:color="auto"/>
            </w:tcBorders>
            <w:noWrap/>
            <w:vAlign w:val="bottom"/>
            <w:hideMark/>
          </w:tcPr>
          <w:p w14:paraId="210C3233"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186</w:t>
            </w:r>
          </w:p>
        </w:tc>
        <w:tc>
          <w:tcPr>
            <w:tcW w:w="810" w:type="dxa"/>
            <w:tcBorders>
              <w:top w:val="nil"/>
              <w:left w:val="nil"/>
              <w:bottom w:val="single" w:sz="4" w:space="0" w:color="auto"/>
              <w:right w:val="single" w:sz="4" w:space="0" w:color="auto"/>
            </w:tcBorders>
            <w:noWrap/>
            <w:vAlign w:val="bottom"/>
            <w:hideMark/>
          </w:tcPr>
          <w:p w14:paraId="6BEE9449"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37</w:t>
            </w:r>
          </w:p>
        </w:tc>
        <w:tc>
          <w:tcPr>
            <w:tcW w:w="766" w:type="dxa"/>
            <w:tcBorders>
              <w:top w:val="nil"/>
              <w:left w:val="nil"/>
              <w:bottom w:val="single" w:sz="4" w:space="0" w:color="auto"/>
              <w:right w:val="single" w:sz="4" w:space="0" w:color="auto"/>
            </w:tcBorders>
            <w:noWrap/>
            <w:vAlign w:val="bottom"/>
            <w:hideMark/>
          </w:tcPr>
          <w:p w14:paraId="3ABB927B"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140</w:t>
            </w:r>
          </w:p>
        </w:tc>
        <w:tc>
          <w:tcPr>
            <w:tcW w:w="720" w:type="dxa"/>
            <w:tcBorders>
              <w:top w:val="nil"/>
              <w:left w:val="nil"/>
              <w:bottom w:val="single" w:sz="4" w:space="0" w:color="auto"/>
              <w:right w:val="single" w:sz="4" w:space="0" w:color="auto"/>
            </w:tcBorders>
            <w:noWrap/>
            <w:vAlign w:val="bottom"/>
            <w:hideMark/>
          </w:tcPr>
          <w:p w14:paraId="48EF4A21"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28</w:t>
            </w:r>
          </w:p>
        </w:tc>
        <w:tc>
          <w:tcPr>
            <w:tcW w:w="766" w:type="dxa"/>
            <w:tcBorders>
              <w:top w:val="nil"/>
              <w:left w:val="nil"/>
              <w:bottom w:val="single" w:sz="4" w:space="0" w:color="auto"/>
              <w:right w:val="single" w:sz="4" w:space="0" w:color="auto"/>
            </w:tcBorders>
            <w:noWrap/>
            <w:vAlign w:val="bottom"/>
            <w:hideMark/>
          </w:tcPr>
          <w:p w14:paraId="1EFBBED7"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122</w:t>
            </w:r>
          </w:p>
        </w:tc>
        <w:tc>
          <w:tcPr>
            <w:tcW w:w="794" w:type="dxa"/>
            <w:tcBorders>
              <w:top w:val="nil"/>
              <w:left w:val="nil"/>
              <w:bottom w:val="single" w:sz="4" w:space="0" w:color="auto"/>
              <w:right w:val="single" w:sz="4" w:space="0" w:color="auto"/>
            </w:tcBorders>
            <w:noWrap/>
            <w:vAlign w:val="bottom"/>
            <w:hideMark/>
          </w:tcPr>
          <w:p w14:paraId="3AD4F255"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24</w:t>
            </w:r>
          </w:p>
        </w:tc>
        <w:tc>
          <w:tcPr>
            <w:tcW w:w="766" w:type="dxa"/>
            <w:tcBorders>
              <w:top w:val="nil"/>
              <w:left w:val="nil"/>
              <w:bottom w:val="single" w:sz="4" w:space="0" w:color="auto"/>
              <w:right w:val="single" w:sz="4" w:space="0" w:color="auto"/>
            </w:tcBorders>
            <w:noWrap/>
            <w:vAlign w:val="bottom"/>
            <w:hideMark/>
          </w:tcPr>
          <w:p w14:paraId="16617183"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25</w:t>
            </w:r>
          </w:p>
        </w:tc>
        <w:tc>
          <w:tcPr>
            <w:tcW w:w="794" w:type="dxa"/>
            <w:tcBorders>
              <w:top w:val="nil"/>
              <w:left w:val="nil"/>
              <w:bottom w:val="single" w:sz="4" w:space="0" w:color="auto"/>
              <w:right w:val="single" w:sz="4" w:space="0" w:color="auto"/>
            </w:tcBorders>
            <w:noWrap/>
            <w:vAlign w:val="bottom"/>
            <w:hideMark/>
          </w:tcPr>
          <w:p w14:paraId="334C5EC5"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w:t>
            </w:r>
          </w:p>
        </w:tc>
      </w:tr>
      <w:tr w:rsidR="00F16EB8" w:rsidRPr="00B63409" w14:paraId="24C65854" w14:textId="77777777" w:rsidTr="00BE6FF5">
        <w:trPr>
          <w:trHeight w:val="300"/>
        </w:trPr>
        <w:tc>
          <w:tcPr>
            <w:tcW w:w="1683" w:type="dxa"/>
            <w:vMerge/>
            <w:tcBorders>
              <w:top w:val="nil"/>
              <w:left w:val="single" w:sz="4" w:space="0" w:color="auto"/>
              <w:bottom w:val="single" w:sz="4" w:space="0" w:color="000000"/>
              <w:right w:val="single" w:sz="4" w:space="0" w:color="auto"/>
            </w:tcBorders>
            <w:vAlign w:val="center"/>
            <w:hideMark/>
          </w:tcPr>
          <w:p w14:paraId="0CC8E609" w14:textId="77777777" w:rsidR="00F16EB8" w:rsidRPr="00B63409" w:rsidRDefault="00F16EB8" w:rsidP="00BE6FF5">
            <w:pPr>
              <w:rPr>
                <w:rFonts w:asciiTheme="minorHAnsi" w:hAnsiTheme="minorHAnsi" w:cstheme="minorHAnsi"/>
                <w:color w:val="000000"/>
                <w:sz w:val="18"/>
                <w:szCs w:val="18"/>
                <w:lang w:val="en-GB" w:eastAsia="en-GB"/>
              </w:rPr>
            </w:pPr>
          </w:p>
        </w:tc>
        <w:tc>
          <w:tcPr>
            <w:tcW w:w="680" w:type="dxa"/>
            <w:tcBorders>
              <w:top w:val="nil"/>
              <w:left w:val="nil"/>
              <w:bottom w:val="single" w:sz="4" w:space="0" w:color="auto"/>
              <w:right w:val="single" w:sz="4" w:space="0" w:color="auto"/>
            </w:tcBorders>
            <w:noWrap/>
            <w:vAlign w:val="bottom"/>
            <w:hideMark/>
          </w:tcPr>
          <w:p w14:paraId="122DA503"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CB</w:t>
            </w:r>
          </w:p>
        </w:tc>
        <w:tc>
          <w:tcPr>
            <w:tcW w:w="993" w:type="dxa"/>
            <w:tcBorders>
              <w:top w:val="nil"/>
              <w:left w:val="nil"/>
              <w:bottom w:val="single" w:sz="4" w:space="0" w:color="auto"/>
              <w:right w:val="single" w:sz="4" w:space="0" w:color="auto"/>
            </w:tcBorders>
            <w:noWrap/>
            <w:vAlign w:val="bottom"/>
            <w:hideMark/>
          </w:tcPr>
          <w:p w14:paraId="7C203156"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473</w:t>
            </w:r>
          </w:p>
        </w:tc>
        <w:tc>
          <w:tcPr>
            <w:tcW w:w="887" w:type="dxa"/>
            <w:tcBorders>
              <w:top w:val="nil"/>
              <w:left w:val="nil"/>
              <w:bottom w:val="single" w:sz="4" w:space="0" w:color="auto"/>
              <w:right w:val="single" w:sz="4" w:space="0" w:color="auto"/>
            </w:tcBorders>
            <w:noWrap/>
            <w:vAlign w:val="bottom"/>
            <w:hideMark/>
          </w:tcPr>
          <w:p w14:paraId="7A11BADB"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66</w:t>
            </w:r>
          </w:p>
        </w:tc>
        <w:tc>
          <w:tcPr>
            <w:tcW w:w="866" w:type="dxa"/>
            <w:tcBorders>
              <w:top w:val="nil"/>
              <w:left w:val="nil"/>
              <w:bottom w:val="single" w:sz="4" w:space="0" w:color="auto"/>
              <w:right w:val="single" w:sz="4" w:space="0" w:color="auto"/>
            </w:tcBorders>
            <w:noWrap/>
            <w:vAlign w:val="bottom"/>
            <w:hideMark/>
          </w:tcPr>
          <w:p w14:paraId="153A6543"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186</w:t>
            </w:r>
          </w:p>
        </w:tc>
        <w:tc>
          <w:tcPr>
            <w:tcW w:w="810" w:type="dxa"/>
            <w:tcBorders>
              <w:top w:val="nil"/>
              <w:left w:val="nil"/>
              <w:bottom w:val="single" w:sz="4" w:space="0" w:color="auto"/>
              <w:right w:val="single" w:sz="4" w:space="0" w:color="auto"/>
            </w:tcBorders>
            <w:noWrap/>
            <w:vAlign w:val="bottom"/>
            <w:hideMark/>
          </w:tcPr>
          <w:p w14:paraId="7C4B7EFF"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37</w:t>
            </w:r>
          </w:p>
        </w:tc>
        <w:tc>
          <w:tcPr>
            <w:tcW w:w="766" w:type="dxa"/>
            <w:tcBorders>
              <w:top w:val="nil"/>
              <w:left w:val="nil"/>
              <w:bottom w:val="single" w:sz="4" w:space="0" w:color="auto"/>
              <w:right w:val="single" w:sz="4" w:space="0" w:color="auto"/>
            </w:tcBorders>
            <w:noWrap/>
            <w:vAlign w:val="bottom"/>
            <w:hideMark/>
          </w:tcPr>
          <w:p w14:paraId="7753FDA9"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140</w:t>
            </w:r>
          </w:p>
        </w:tc>
        <w:tc>
          <w:tcPr>
            <w:tcW w:w="720" w:type="dxa"/>
            <w:tcBorders>
              <w:top w:val="nil"/>
              <w:left w:val="nil"/>
              <w:bottom w:val="single" w:sz="4" w:space="0" w:color="auto"/>
              <w:right w:val="single" w:sz="4" w:space="0" w:color="auto"/>
            </w:tcBorders>
            <w:noWrap/>
            <w:vAlign w:val="bottom"/>
            <w:hideMark/>
          </w:tcPr>
          <w:p w14:paraId="6C373481"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28</w:t>
            </w:r>
          </w:p>
        </w:tc>
        <w:tc>
          <w:tcPr>
            <w:tcW w:w="766" w:type="dxa"/>
            <w:tcBorders>
              <w:top w:val="nil"/>
              <w:left w:val="nil"/>
              <w:bottom w:val="single" w:sz="4" w:space="0" w:color="auto"/>
              <w:right w:val="single" w:sz="4" w:space="0" w:color="auto"/>
            </w:tcBorders>
            <w:noWrap/>
            <w:vAlign w:val="bottom"/>
            <w:hideMark/>
          </w:tcPr>
          <w:p w14:paraId="1CE6194C"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122</w:t>
            </w:r>
          </w:p>
        </w:tc>
        <w:tc>
          <w:tcPr>
            <w:tcW w:w="794" w:type="dxa"/>
            <w:tcBorders>
              <w:top w:val="nil"/>
              <w:left w:val="nil"/>
              <w:bottom w:val="single" w:sz="4" w:space="0" w:color="auto"/>
              <w:right w:val="single" w:sz="4" w:space="0" w:color="auto"/>
            </w:tcBorders>
            <w:noWrap/>
            <w:vAlign w:val="bottom"/>
            <w:hideMark/>
          </w:tcPr>
          <w:p w14:paraId="426549C2"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24</w:t>
            </w:r>
          </w:p>
        </w:tc>
        <w:tc>
          <w:tcPr>
            <w:tcW w:w="766" w:type="dxa"/>
            <w:tcBorders>
              <w:top w:val="nil"/>
              <w:left w:val="nil"/>
              <w:bottom w:val="single" w:sz="4" w:space="0" w:color="auto"/>
              <w:right w:val="single" w:sz="4" w:space="0" w:color="auto"/>
            </w:tcBorders>
            <w:noWrap/>
            <w:vAlign w:val="bottom"/>
            <w:hideMark/>
          </w:tcPr>
          <w:p w14:paraId="42CB6673"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25</w:t>
            </w:r>
          </w:p>
        </w:tc>
        <w:tc>
          <w:tcPr>
            <w:tcW w:w="794" w:type="dxa"/>
            <w:tcBorders>
              <w:top w:val="nil"/>
              <w:left w:val="nil"/>
              <w:bottom w:val="single" w:sz="4" w:space="0" w:color="auto"/>
              <w:right w:val="single" w:sz="4" w:space="0" w:color="auto"/>
            </w:tcBorders>
            <w:noWrap/>
            <w:vAlign w:val="bottom"/>
            <w:hideMark/>
          </w:tcPr>
          <w:p w14:paraId="102634DA"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w:t>
            </w:r>
          </w:p>
        </w:tc>
      </w:tr>
    </w:tbl>
    <w:p w14:paraId="5AF05755" w14:textId="77777777" w:rsidR="00AA27EF" w:rsidRDefault="00AA27EF" w:rsidP="009E3AD8">
      <w:pPr>
        <w:spacing w:line="276" w:lineRule="auto"/>
        <w:ind w:left="7788" w:right="-180" w:firstLine="708"/>
        <w:jc w:val="both"/>
        <w:rPr>
          <w:rFonts w:ascii="Calibri" w:hAnsi="Calibri" w:cs="Calibri"/>
          <w:b/>
          <w:sz w:val="26"/>
          <w:szCs w:val="26"/>
        </w:rPr>
      </w:pPr>
    </w:p>
    <w:p w14:paraId="65C93C6B" w14:textId="1ADCCE12" w:rsidR="00F95196" w:rsidRPr="00F95196" w:rsidRDefault="00040104" w:rsidP="009E3AD8">
      <w:pPr>
        <w:spacing w:line="276" w:lineRule="auto"/>
        <w:ind w:left="7788" w:right="-180" w:firstLine="708"/>
        <w:jc w:val="both"/>
        <w:rPr>
          <w:rFonts w:ascii="Calibri" w:hAnsi="Calibri" w:cs="Calibri"/>
          <w:b/>
          <w:sz w:val="26"/>
          <w:szCs w:val="26"/>
        </w:rPr>
      </w:pPr>
      <w:r>
        <w:rPr>
          <w:rFonts w:ascii="Calibri" w:hAnsi="Calibri" w:cs="Calibri"/>
          <w:b/>
          <w:sz w:val="26"/>
          <w:szCs w:val="26"/>
        </w:rPr>
        <w:t xml:space="preserve">      </w:t>
      </w:r>
      <w:r w:rsidR="00F95196" w:rsidRPr="00F95196">
        <w:rPr>
          <w:rFonts w:ascii="Calibri" w:hAnsi="Calibri" w:cs="Calibri"/>
          <w:b/>
          <w:sz w:val="26"/>
          <w:szCs w:val="26"/>
        </w:rPr>
        <w:t>mii lei/euro</w:t>
      </w:r>
    </w:p>
    <w:tbl>
      <w:tblPr>
        <w:tblW w:w="10497" w:type="dxa"/>
        <w:tblLook w:val="04A0" w:firstRow="1" w:lastRow="0" w:firstColumn="1" w:lastColumn="0" w:noHBand="0" w:noVBand="1"/>
      </w:tblPr>
      <w:tblGrid>
        <w:gridCol w:w="1525"/>
        <w:gridCol w:w="680"/>
        <w:gridCol w:w="993"/>
        <w:gridCol w:w="887"/>
        <w:gridCol w:w="866"/>
        <w:gridCol w:w="794"/>
        <w:gridCol w:w="766"/>
        <w:gridCol w:w="766"/>
        <w:gridCol w:w="866"/>
        <w:gridCol w:w="794"/>
        <w:gridCol w:w="766"/>
        <w:gridCol w:w="794"/>
      </w:tblGrid>
      <w:tr w:rsidR="00F16EB8" w:rsidRPr="00B63409" w14:paraId="5E4C98AC" w14:textId="77777777" w:rsidTr="00BE6FF5">
        <w:trPr>
          <w:trHeight w:val="300"/>
        </w:trPr>
        <w:tc>
          <w:tcPr>
            <w:tcW w:w="1525" w:type="dxa"/>
            <w:tcBorders>
              <w:top w:val="single" w:sz="4" w:space="0" w:color="auto"/>
              <w:left w:val="single" w:sz="4" w:space="0" w:color="auto"/>
              <w:bottom w:val="single" w:sz="4" w:space="0" w:color="auto"/>
              <w:right w:val="single" w:sz="4" w:space="0" w:color="auto"/>
            </w:tcBorders>
            <w:shd w:val="clear" w:color="000000" w:fill="DBDBDB"/>
            <w:vAlign w:val="center"/>
            <w:hideMark/>
          </w:tcPr>
          <w:p w14:paraId="240A3AB4" w14:textId="77777777" w:rsidR="00F16EB8" w:rsidRPr="00B63409" w:rsidRDefault="00F16EB8" w:rsidP="00BE6FF5">
            <w:pPr>
              <w:rPr>
                <w:rFonts w:asciiTheme="minorHAnsi" w:hAnsiTheme="minorHAnsi" w:cstheme="minorHAnsi"/>
                <w:b/>
                <w:bCs/>
                <w:color w:val="000000" w:themeColor="text1"/>
                <w:sz w:val="18"/>
                <w:szCs w:val="18"/>
                <w:lang w:val="en-GB" w:eastAsia="en-GB"/>
              </w:rPr>
            </w:pPr>
            <w:r w:rsidRPr="00B63409">
              <w:rPr>
                <w:rFonts w:asciiTheme="minorHAnsi" w:hAnsiTheme="minorHAnsi" w:cstheme="minorHAnsi"/>
                <w:b/>
                <w:bCs/>
                <w:color w:val="000000" w:themeColor="text1"/>
                <w:sz w:val="18"/>
                <w:szCs w:val="18"/>
                <w:lang w:val="en-GB" w:eastAsia="en-GB"/>
              </w:rPr>
              <w:t>ANUL 2026</w:t>
            </w:r>
          </w:p>
        </w:tc>
        <w:tc>
          <w:tcPr>
            <w:tcW w:w="680" w:type="dxa"/>
            <w:tcBorders>
              <w:top w:val="single" w:sz="4" w:space="0" w:color="auto"/>
              <w:left w:val="nil"/>
              <w:bottom w:val="single" w:sz="4" w:space="0" w:color="auto"/>
              <w:right w:val="single" w:sz="4" w:space="0" w:color="auto"/>
            </w:tcBorders>
            <w:shd w:val="clear" w:color="000000" w:fill="D9D9D9"/>
            <w:vAlign w:val="center"/>
            <w:hideMark/>
          </w:tcPr>
          <w:p w14:paraId="377ADC3D" w14:textId="77777777" w:rsidR="00F16EB8" w:rsidRPr="00B63409" w:rsidRDefault="00F16EB8" w:rsidP="00BE6FF5">
            <w:pPr>
              <w:rPr>
                <w:rFonts w:asciiTheme="minorHAnsi" w:hAnsiTheme="minorHAnsi" w:cstheme="minorHAnsi"/>
                <w:b/>
                <w:bCs/>
                <w:color w:val="000000" w:themeColor="text1"/>
                <w:sz w:val="18"/>
                <w:szCs w:val="18"/>
                <w:lang w:val="en-GB" w:eastAsia="en-GB"/>
              </w:rPr>
            </w:pPr>
            <w:r w:rsidRPr="00B63409">
              <w:rPr>
                <w:rFonts w:asciiTheme="minorHAnsi" w:hAnsiTheme="minorHAnsi" w:cstheme="minorHAnsi"/>
                <w:b/>
                <w:bCs/>
                <w:color w:val="000000" w:themeColor="text1"/>
                <w:sz w:val="18"/>
                <w:szCs w:val="18"/>
                <w:lang w:val="en-GB" w:eastAsia="en-GB"/>
              </w:rPr>
              <w:t> </w:t>
            </w:r>
          </w:p>
        </w:tc>
        <w:tc>
          <w:tcPr>
            <w:tcW w:w="1880"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7F5FE99F" w14:textId="77777777" w:rsidR="00F16EB8" w:rsidRPr="00B63409" w:rsidRDefault="00F16EB8" w:rsidP="00BE6FF5">
            <w:pPr>
              <w:jc w:val="center"/>
              <w:rPr>
                <w:rFonts w:asciiTheme="minorHAnsi" w:hAnsiTheme="minorHAnsi" w:cstheme="minorHAnsi"/>
                <w:b/>
                <w:bCs/>
                <w:color w:val="000000" w:themeColor="text1"/>
                <w:sz w:val="18"/>
                <w:szCs w:val="18"/>
                <w:lang w:val="en-GB" w:eastAsia="en-GB"/>
              </w:rPr>
            </w:pPr>
            <w:r w:rsidRPr="00B63409">
              <w:rPr>
                <w:rFonts w:asciiTheme="minorHAnsi" w:hAnsiTheme="minorHAnsi" w:cstheme="minorHAnsi"/>
                <w:b/>
                <w:bCs/>
                <w:color w:val="000000" w:themeColor="text1"/>
                <w:sz w:val="18"/>
                <w:szCs w:val="18"/>
                <w:lang w:val="en-GB" w:eastAsia="en-GB"/>
              </w:rPr>
              <w:t>TOTAL</w:t>
            </w:r>
          </w:p>
        </w:tc>
        <w:tc>
          <w:tcPr>
            <w:tcW w:w="1660"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1D927452" w14:textId="77777777" w:rsidR="00F16EB8" w:rsidRPr="00B63409" w:rsidRDefault="00F16EB8" w:rsidP="00BE6FF5">
            <w:pPr>
              <w:jc w:val="center"/>
              <w:rPr>
                <w:rFonts w:asciiTheme="minorHAnsi" w:hAnsiTheme="minorHAnsi" w:cstheme="minorHAnsi"/>
                <w:b/>
                <w:bCs/>
                <w:color w:val="000000" w:themeColor="text1"/>
                <w:sz w:val="18"/>
                <w:szCs w:val="18"/>
                <w:lang w:val="en-GB" w:eastAsia="en-GB"/>
              </w:rPr>
            </w:pPr>
            <w:r w:rsidRPr="00B63409">
              <w:rPr>
                <w:rFonts w:asciiTheme="minorHAnsi" w:hAnsiTheme="minorHAnsi" w:cstheme="minorHAnsi"/>
                <w:b/>
                <w:bCs/>
                <w:color w:val="000000" w:themeColor="text1"/>
                <w:sz w:val="18"/>
                <w:szCs w:val="18"/>
                <w:lang w:val="en-GB" w:eastAsia="en-GB"/>
              </w:rPr>
              <w:t>CSM APARAT PROPRIU</w:t>
            </w:r>
          </w:p>
        </w:tc>
        <w:tc>
          <w:tcPr>
            <w:tcW w:w="1532"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16853580" w14:textId="77777777" w:rsidR="00F16EB8" w:rsidRPr="00B63409" w:rsidRDefault="00F16EB8" w:rsidP="00BE6FF5">
            <w:pPr>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INSPECTIA JUDICIARA</w:t>
            </w:r>
          </w:p>
        </w:tc>
        <w:tc>
          <w:tcPr>
            <w:tcW w:w="1660"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0F621C76" w14:textId="77777777" w:rsidR="00F16EB8" w:rsidRPr="00B63409" w:rsidRDefault="00F16EB8" w:rsidP="00BE6FF5">
            <w:pPr>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INM</w:t>
            </w:r>
          </w:p>
        </w:tc>
        <w:tc>
          <w:tcPr>
            <w:tcW w:w="1560"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41EA8DBE" w14:textId="77777777" w:rsidR="00F16EB8" w:rsidRPr="00B63409" w:rsidRDefault="00F16EB8" w:rsidP="00BE6FF5">
            <w:pPr>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SNG</w:t>
            </w:r>
          </w:p>
        </w:tc>
      </w:tr>
      <w:tr w:rsidR="00F16EB8" w:rsidRPr="00B63409" w14:paraId="2ABB57D3" w14:textId="77777777" w:rsidTr="00BE6FF5">
        <w:trPr>
          <w:trHeight w:val="300"/>
        </w:trPr>
        <w:tc>
          <w:tcPr>
            <w:tcW w:w="1525" w:type="dxa"/>
            <w:tcBorders>
              <w:top w:val="nil"/>
              <w:left w:val="single" w:sz="4" w:space="0" w:color="auto"/>
              <w:bottom w:val="single" w:sz="4" w:space="0" w:color="auto"/>
              <w:right w:val="single" w:sz="4" w:space="0" w:color="auto"/>
            </w:tcBorders>
            <w:shd w:val="clear" w:color="000000" w:fill="D9D9D9"/>
            <w:vAlign w:val="center"/>
            <w:hideMark/>
          </w:tcPr>
          <w:p w14:paraId="3B89F8D8" w14:textId="77777777" w:rsidR="00F16EB8" w:rsidRPr="00B63409" w:rsidRDefault="00F16EB8" w:rsidP="00BE6FF5">
            <w:pPr>
              <w:rPr>
                <w:rFonts w:asciiTheme="minorHAnsi" w:hAnsiTheme="minorHAnsi" w:cstheme="minorHAnsi"/>
                <w:b/>
                <w:bCs/>
                <w:color w:val="000000" w:themeColor="text1"/>
                <w:sz w:val="18"/>
                <w:szCs w:val="18"/>
                <w:lang w:val="en-GB" w:eastAsia="en-GB"/>
              </w:rPr>
            </w:pPr>
            <w:r w:rsidRPr="00B63409">
              <w:rPr>
                <w:rFonts w:asciiTheme="minorHAnsi" w:hAnsiTheme="minorHAnsi" w:cstheme="minorHAnsi"/>
                <w:b/>
                <w:bCs/>
                <w:color w:val="000000" w:themeColor="text1"/>
                <w:sz w:val="18"/>
                <w:szCs w:val="18"/>
                <w:lang w:val="en-GB" w:eastAsia="en-GB"/>
              </w:rPr>
              <w:t>BUGET  CSM</w:t>
            </w:r>
          </w:p>
        </w:tc>
        <w:tc>
          <w:tcPr>
            <w:tcW w:w="680" w:type="dxa"/>
            <w:tcBorders>
              <w:top w:val="nil"/>
              <w:left w:val="nil"/>
              <w:bottom w:val="single" w:sz="4" w:space="0" w:color="auto"/>
              <w:right w:val="single" w:sz="4" w:space="0" w:color="auto"/>
            </w:tcBorders>
            <w:shd w:val="clear" w:color="000000" w:fill="D9D9D9"/>
            <w:vAlign w:val="bottom"/>
            <w:hideMark/>
          </w:tcPr>
          <w:p w14:paraId="371C41B3" w14:textId="77777777" w:rsidR="00F16EB8" w:rsidRPr="00B63409" w:rsidRDefault="00F16EB8" w:rsidP="00BE6FF5">
            <w:pPr>
              <w:jc w:val="center"/>
              <w:rPr>
                <w:rFonts w:asciiTheme="minorHAnsi" w:hAnsiTheme="minorHAnsi" w:cstheme="minorHAnsi"/>
                <w:b/>
                <w:bCs/>
                <w:color w:val="000000" w:themeColor="text1"/>
                <w:sz w:val="18"/>
                <w:szCs w:val="18"/>
                <w:lang w:val="en-GB" w:eastAsia="en-GB"/>
              </w:rPr>
            </w:pPr>
            <w:r w:rsidRPr="00B63409">
              <w:rPr>
                <w:rFonts w:asciiTheme="minorHAnsi" w:hAnsiTheme="minorHAnsi" w:cstheme="minorHAnsi"/>
                <w:b/>
                <w:bCs/>
                <w:color w:val="000000" w:themeColor="text1"/>
                <w:sz w:val="18"/>
                <w:szCs w:val="18"/>
                <w:lang w:val="en-GB" w:eastAsia="en-GB"/>
              </w:rPr>
              <w:t> </w:t>
            </w:r>
          </w:p>
        </w:tc>
        <w:tc>
          <w:tcPr>
            <w:tcW w:w="993" w:type="dxa"/>
            <w:tcBorders>
              <w:top w:val="nil"/>
              <w:left w:val="nil"/>
              <w:bottom w:val="single" w:sz="4" w:space="0" w:color="auto"/>
              <w:right w:val="single" w:sz="4" w:space="0" w:color="auto"/>
            </w:tcBorders>
            <w:shd w:val="clear" w:color="000000" w:fill="D9D9D9"/>
            <w:noWrap/>
            <w:vAlign w:val="bottom"/>
            <w:hideMark/>
          </w:tcPr>
          <w:p w14:paraId="52113197" w14:textId="77777777" w:rsidR="00F16EB8" w:rsidRPr="00B63409" w:rsidRDefault="00F16EB8" w:rsidP="00BE6FF5">
            <w:pPr>
              <w:jc w:val="center"/>
              <w:rPr>
                <w:rFonts w:asciiTheme="minorHAnsi" w:hAnsiTheme="minorHAnsi" w:cstheme="minorHAnsi"/>
                <w:b/>
                <w:bCs/>
                <w:color w:val="000000" w:themeColor="text1"/>
                <w:sz w:val="18"/>
                <w:szCs w:val="18"/>
                <w:lang w:val="en-GB" w:eastAsia="en-GB"/>
              </w:rPr>
            </w:pPr>
            <w:r w:rsidRPr="00B63409">
              <w:rPr>
                <w:rFonts w:asciiTheme="minorHAnsi" w:hAnsiTheme="minorHAnsi" w:cstheme="minorHAnsi"/>
                <w:b/>
                <w:bCs/>
                <w:color w:val="000000" w:themeColor="text1"/>
                <w:sz w:val="18"/>
                <w:szCs w:val="18"/>
                <w:lang w:val="en-GB" w:eastAsia="en-GB"/>
              </w:rPr>
              <w:t>LEI</w:t>
            </w:r>
          </w:p>
        </w:tc>
        <w:tc>
          <w:tcPr>
            <w:tcW w:w="887" w:type="dxa"/>
            <w:tcBorders>
              <w:top w:val="nil"/>
              <w:left w:val="nil"/>
              <w:bottom w:val="single" w:sz="4" w:space="0" w:color="auto"/>
              <w:right w:val="single" w:sz="4" w:space="0" w:color="auto"/>
            </w:tcBorders>
            <w:shd w:val="clear" w:color="000000" w:fill="D9D9D9"/>
            <w:noWrap/>
            <w:vAlign w:val="bottom"/>
            <w:hideMark/>
          </w:tcPr>
          <w:p w14:paraId="78A84538" w14:textId="77777777" w:rsidR="00F16EB8" w:rsidRPr="00B63409" w:rsidRDefault="00F16EB8" w:rsidP="00BE6FF5">
            <w:pPr>
              <w:jc w:val="center"/>
              <w:rPr>
                <w:rFonts w:asciiTheme="minorHAnsi" w:hAnsiTheme="minorHAnsi" w:cstheme="minorHAnsi"/>
                <w:b/>
                <w:bCs/>
                <w:color w:val="000000" w:themeColor="text1"/>
                <w:sz w:val="18"/>
                <w:szCs w:val="18"/>
                <w:lang w:val="en-GB" w:eastAsia="en-GB"/>
              </w:rPr>
            </w:pPr>
            <w:r w:rsidRPr="00B63409">
              <w:rPr>
                <w:rFonts w:asciiTheme="minorHAnsi" w:hAnsiTheme="minorHAnsi" w:cstheme="minorHAnsi"/>
                <w:b/>
                <w:bCs/>
                <w:color w:val="000000" w:themeColor="text1"/>
                <w:sz w:val="18"/>
                <w:szCs w:val="18"/>
                <w:lang w:val="en-GB" w:eastAsia="en-GB"/>
              </w:rPr>
              <w:t>EURO</w:t>
            </w:r>
          </w:p>
        </w:tc>
        <w:tc>
          <w:tcPr>
            <w:tcW w:w="866" w:type="dxa"/>
            <w:tcBorders>
              <w:top w:val="nil"/>
              <w:left w:val="nil"/>
              <w:bottom w:val="single" w:sz="4" w:space="0" w:color="auto"/>
              <w:right w:val="single" w:sz="4" w:space="0" w:color="auto"/>
            </w:tcBorders>
            <w:shd w:val="clear" w:color="000000" w:fill="D9D9D9"/>
            <w:noWrap/>
            <w:vAlign w:val="bottom"/>
            <w:hideMark/>
          </w:tcPr>
          <w:p w14:paraId="6A746D9A" w14:textId="77777777" w:rsidR="00F16EB8" w:rsidRPr="00B63409" w:rsidRDefault="00F16EB8" w:rsidP="00BE6FF5">
            <w:pPr>
              <w:jc w:val="center"/>
              <w:rPr>
                <w:rFonts w:asciiTheme="minorHAnsi" w:hAnsiTheme="minorHAnsi" w:cstheme="minorHAnsi"/>
                <w:b/>
                <w:bCs/>
                <w:color w:val="000000" w:themeColor="text1"/>
                <w:sz w:val="18"/>
                <w:szCs w:val="18"/>
                <w:lang w:val="en-GB" w:eastAsia="en-GB"/>
              </w:rPr>
            </w:pPr>
            <w:r w:rsidRPr="00B63409">
              <w:rPr>
                <w:rFonts w:asciiTheme="minorHAnsi" w:hAnsiTheme="minorHAnsi" w:cstheme="minorHAnsi"/>
                <w:b/>
                <w:bCs/>
                <w:color w:val="000000" w:themeColor="text1"/>
                <w:sz w:val="18"/>
                <w:szCs w:val="18"/>
                <w:lang w:val="en-GB" w:eastAsia="en-GB"/>
              </w:rPr>
              <w:t>LEI</w:t>
            </w:r>
          </w:p>
        </w:tc>
        <w:tc>
          <w:tcPr>
            <w:tcW w:w="794" w:type="dxa"/>
            <w:tcBorders>
              <w:top w:val="nil"/>
              <w:left w:val="nil"/>
              <w:bottom w:val="single" w:sz="4" w:space="0" w:color="auto"/>
              <w:right w:val="single" w:sz="4" w:space="0" w:color="auto"/>
            </w:tcBorders>
            <w:shd w:val="clear" w:color="000000" w:fill="D9D9D9"/>
            <w:noWrap/>
            <w:vAlign w:val="bottom"/>
            <w:hideMark/>
          </w:tcPr>
          <w:p w14:paraId="0F9D9B51" w14:textId="77777777" w:rsidR="00F16EB8" w:rsidRPr="00B63409" w:rsidRDefault="00F16EB8" w:rsidP="00BE6FF5">
            <w:pPr>
              <w:jc w:val="center"/>
              <w:rPr>
                <w:rFonts w:asciiTheme="minorHAnsi" w:hAnsiTheme="minorHAnsi" w:cstheme="minorHAnsi"/>
                <w:b/>
                <w:bCs/>
                <w:color w:val="000000" w:themeColor="text1"/>
                <w:sz w:val="18"/>
                <w:szCs w:val="18"/>
                <w:lang w:val="en-GB" w:eastAsia="en-GB"/>
              </w:rPr>
            </w:pPr>
            <w:r w:rsidRPr="00B63409">
              <w:rPr>
                <w:rFonts w:asciiTheme="minorHAnsi" w:hAnsiTheme="minorHAnsi" w:cstheme="minorHAnsi"/>
                <w:b/>
                <w:bCs/>
                <w:color w:val="000000" w:themeColor="text1"/>
                <w:sz w:val="18"/>
                <w:szCs w:val="18"/>
                <w:lang w:val="en-GB" w:eastAsia="en-GB"/>
              </w:rPr>
              <w:t>EURO</w:t>
            </w:r>
          </w:p>
        </w:tc>
        <w:tc>
          <w:tcPr>
            <w:tcW w:w="766" w:type="dxa"/>
            <w:tcBorders>
              <w:top w:val="nil"/>
              <w:left w:val="nil"/>
              <w:bottom w:val="single" w:sz="4" w:space="0" w:color="auto"/>
              <w:right w:val="single" w:sz="4" w:space="0" w:color="auto"/>
            </w:tcBorders>
            <w:shd w:val="clear" w:color="000000" w:fill="D9D9D9"/>
            <w:noWrap/>
            <w:vAlign w:val="bottom"/>
            <w:hideMark/>
          </w:tcPr>
          <w:p w14:paraId="2C5C3B42" w14:textId="77777777" w:rsidR="00F16EB8" w:rsidRPr="00B63409" w:rsidRDefault="00F16EB8" w:rsidP="00BE6FF5">
            <w:pPr>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 </w:t>
            </w:r>
          </w:p>
        </w:tc>
        <w:tc>
          <w:tcPr>
            <w:tcW w:w="766" w:type="dxa"/>
            <w:tcBorders>
              <w:top w:val="nil"/>
              <w:left w:val="nil"/>
              <w:bottom w:val="single" w:sz="4" w:space="0" w:color="auto"/>
              <w:right w:val="single" w:sz="4" w:space="0" w:color="auto"/>
            </w:tcBorders>
            <w:shd w:val="clear" w:color="000000" w:fill="D9D9D9"/>
            <w:noWrap/>
            <w:vAlign w:val="bottom"/>
            <w:hideMark/>
          </w:tcPr>
          <w:p w14:paraId="695A1BBB" w14:textId="77777777" w:rsidR="00F16EB8" w:rsidRPr="00B63409" w:rsidRDefault="00F16EB8" w:rsidP="00BE6FF5">
            <w:pPr>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 </w:t>
            </w:r>
          </w:p>
        </w:tc>
        <w:tc>
          <w:tcPr>
            <w:tcW w:w="866" w:type="dxa"/>
            <w:tcBorders>
              <w:top w:val="nil"/>
              <w:left w:val="nil"/>
              <w:bottom w:val="single" w:sz="4" w:space="0" w:color="auto"/>
              <w:right w:val="single" w:sz="4" w:space="0" w:color="auto"/>
            </w:tcBorders>
            <w:shd w:val="clear" w:color="000000" w:fill="D9D9D9"/>
            <w:noWrap/>
            <w:vAlign w:val="bottom"/>
            <w:hideMark/>
          </w:tcPr>
          <w:p w14:paraId="40E6BD16" w14:textId="77777777" w:rsidR="00F16EB8" w:rsidRPr="00B63409" w:rsidRDefault="00F16EB8" w:rsidP="00BE6FF5">
            <w:pPr>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LEI</w:t>
            </w:r>
          </w:p>
        </w:tc>
        <w:tc>
          <w:tcPr>
            <w:tcW w:w="794" w:type="dxa"/>
            <w:tcBorders>
              <w:top w:val="nil"/>
              <w:left w:val="nil"/>
              <w:bottom w:val="single" w:sz="4" w:space="0" w:color="auto"/>
              <w:right w:val="single" w:sz="4" w:space="0" w:color="auto"/>
            </w:tcBorders>
            <w:shd w:val="clear" w:color="000000" w:fill="D9D9D9"/>
            <w:noWrap/>
            <w:vAlign w:val="bottom"/>
            <w:hideMark/>
          </w:tcPr>
          <w:p w14:paraId="6EF0BAE6" w14:textId="77777777" w:rsidR="00F16EB8" w:rsidRPr="00B63409" w:rsidRDefault="00F16EB8" w:rsidP="00BE6FF5">
            <w:pPr>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EURO</w:t>
            </w:r>
          </w:p>
        </w:tc>
        <w:tc>
          <w:tcPr>
            <w:tcW w:w="766" w:type="dxa"/>
            <w:tcBorders>
              <w:top w:val="nil"/>
              <w:left w:val="nil"/>
              <w:bottom w:val="single" w:sz="4" w:space="0" w:color="auto"/>
              <w:right w:val="single" w:sz="4" w:space="0" w:color="auto"/>
            </w:tcBorders>
            <w:shd w:val="clear" w:color="000000" w:fill="D9D9D9"/>
            <w:noWrap/>
            <w:vAlign w:val="bottom"/>
            <w:hideMark/>
          </w:tcPr>
          <w:p w14:paraId="243EF574" w14:textId="77777777" w:rsidR="00F16EB8" w:rsidRPr="00B63409" w:rsidRDefault="00F16EB8" w:rsidP="00BE6FF5">
            <w:pPr>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LEI</w:t>
            </w:r>
          </w:p>
        </w:tc>
        <w:tc>
          <w:tcPr>
            <w:tcW w:w="794" w:type="dxa"/>
            <w:tcBorders>
              <w:top w:val="nil"/>
              <w:left w:val="nil"/>
              <w:bottom w:val="single" w:sz="4" w:space="0" w:color="auto"/>
              <w:right w:val="single" w:sz="4" w:space="0" w:color="auto"/>
            </w:tcBorders>
            <w:shd w:val="clear" w:color="000000" w:fill="D9D9D9"/>
            <w:noWrap/>
            <w:vAlign w:val="bottom"/>
            <w:hideMark/>
          </w:tcPr>
          <w:p w14:paraId="1E5B2C33" w14:textId="77777777" w:rsidR="00F16EB8" w:rsidRPr="00B63409" w:rsidRDefault="00F16EB8" w:rsidP="00BE6FF5">
            <w:pPr>
              <w:jc w:val="center"/>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EURO</w:t>
            </w:r>
          </w:p>
        </w:tc>
      </w:tr>
      <w:tr w:rsidR="00F16EB8" w:rsidRPr="00B63409" w14:paraId="22B2648D" w14:textId="77777777" w:rsidTr="00BE6FF5">
        <w:trPr>
          <w:trHeight w:val="300"/>
        </w:trPr>
        <w:tc>
          <w:tcPr>
            <w:tcW w:w="1525" w:type="dxa"/>
            <w:vMerge w:val="restart"/>
            <w:tcBorders>
              <w:top w:val="nil"/>
              <w:left w:val="single" w:sz="4" w:space="0" w:color="auto"/>
              <w:bottom w:val="single" w:sz="4" w:space="0" w:color="000000"/>
              <w:right w:val="single" w:sz="4" w:space="0" w:color="auto"/>
            </w:tcBorders>
            <w:vAlign w:val="center"/>
            <w:hideMark/>
          </w:tcPr>
          <w:p w14:paraId="70251570" w14:textId="77777777" w:rsidR="00F16EB8" w:rsidRPr="00B63409" w:rsidRDefault="00F16EB8" w:rsidP="00BE6FF5">
            <w:pPr>
              <w:jc w:val="center"/>
              <w:rPr>
                <w:rFonts w:asciiTheme="minorHAnsi" w:hAnsiTheme="minorHAnsi" w:cstheme="minorHAnsi"/>
                <w:b/>
                <w:bCs/>
                <w:color w:val="000000" w:themeColor="text1"/>
                <w:sz w:val="18"/>
                <w:szCs w:val="18"/>
                <w:lang w:val="en-GB" w:eastAsia="en-GB"/>
              </w:rPr>
            </w:pPr>
            <w:r w:rsidRPr="00B63409">
              <w:rPr>
                <w:rFonts w:asciiTheme="minorHAnsi" w:hAnsiTheme="minorHAnsi" w:cstheme="minorHAnsi"/>
                <w:b/>
                <w:bCs/>
                <w:color w:val="000000" w:themeColor="text1"/>
                <w:sz w:val="18"/>
                <w:szCs w:val="18"/>
                <w:lang w:val="en-GB" w:eastAsia="en-GB"/>
              </w:rPr>
              <w:t>TOTAL  din care:</w:t>
            </w:r>
          </w:p>
        </w:tc>
        <w:tc>
          <w:tcPr>
            <w:tcW w:w="680" w:type="dxa"/>
            <w:tcBorders>
              <w:top w:val="nil"/>
              <w:left w:val="nil"/>
              <w:bottom w:val="single" w:sz="4" w:space="0" w:color="auto"/>
              <w:right w:val="single" w:sz="4" w:space="0" w:color="auto"/>
            </w:tcBorders>
            <w:vAlign w:val="center"/>
            <w:hideMark/>
          </w:tcPr>
          <w:p w14:paraId="59B45715" w14:textId="77777777" w:rsidR="00F16EB8" w:rsidRPr="00B63409" w:rsidRDefault="00F16EB8" w:rsidP="00BE6FF5">
            <w:pPr>
              <w:rPr>
                <w:rFonts w:asciiTheme="minorHAnsi" w:hAnsiTheme="minorHAnsi" w:cstheme="minorHAnsi"/>
                <w:b/>
                <w:bCs/>
                <w:color w:val="000000" w:themeColor="text1"/>
                <w:sz w:val="18"/>
                <w:szCs w:val="18"/>
                <w:lang w:val="en-GB" w:eastAsia="en-GB"/>
              </w:rPr>
            </w:pPr>
            <w:r w:rsidRPr="00B63409">
              <w:rPr>
                <w:rFonts w:asciiTheme="minorHAnsi" w:hAnsiTheme="minorHAnsi" w:cstheme="minorHAnsi"/>
                <w:b/>
                <w:bCs/>
                <w:color w:val="000000" w:themeColor="text1"/>
                <w:sz w:val="18"/>
                <w:szCs w:val="18"/>
                <w:lang w:val="en-GB" w:eastAsia="en-GB"/>
              </w:rPr>
              <w:t>CA</w:t>
            </w:r>
          </w:p>
        </w:tc>
        <w:tc>
          <w:tcPr>
            <w:tcW w:w="993" w:type="dxa"/>
            <w:tcBorders>
              <w:top w:val="nil"/>
              <w:left w:val="nil"/>
              <w:bottom w:val="single" w:sz="4" w:space="0" w:color="auto"/>
              <w:right w:val="single" w:sz="4" w:space="0" w:color="auto"/>
            </w:tcBorders>
            <w:noWrap/>
            <w:vAlign w:val="bottom"/>
            <w:hideMark/>
          </w:tcPr>
          <w:p w14:paraId="767DA1F5" w14:textId="77777777" w:rsidR="00F16EB8" w:rsidRPr="00B63409" w:rsidRDefault="00F16EB8" w:rsidP="00BE6FF5">
            <w:pPr>
              <w:jc w:val="right"/>
              <w:rPr>
                <w:rFonts w:asciiTheme="minorHAnsi" w:hAnsiTheme="minorHAnsi" w:cstheme="minorHAnsi"/>
                <w:b/>
                <w:bCs/>
                <w:color w:val="000000" w:themeColor="text1"/>
                <w:sz w:val="18"/>
                <w:szCs w:val="18"/>
                <w:lang w:val="en-GB" w:eastAsia="en-GB"/>
              </w:rPr>
            </w:pPr>
            <w:r w:rsidRPr="00B63409">
              <w:rPr>
                <w:rFonts w:asciiTheme="minorHAnsi" w:hAnsiTheme="minorHAnsi" w:cstheme="minorHAnsi"/>
                <w:b/>
                <w:bCs/>
                <w:color w:val="000000" w:themeColor="text1"/>
                <w:sz w:val="18"/>
                <w:szCs w:val="18"/>
                <w:lang w:val="en-GB" w:eastAsia="en-GB"/>
              </w:rPr>
              <w:t>421,331</w:t>
            </w:r>
          </w:p>
        </w:tc>
        <w:tc>
          <w:tcPr>
            <w:tcW w:w="887" w:type="dxa"/>
            <w:tcBorders>
              <w:top w:val="nil"/>
              <w:left w:val="nil"/>
              <w:bottom w:val="single" w:sz="4" w:space="0" w:color="auto"/>
              <w:right w:val="single" w:sz="4" w:space="0" w:color="auto"/>
            </w:tcBorders>
            <w:noWrap/>
            <w:vAlign w:val="bottom"/>
            <w:hideMark/>
          </w:tcPr>
          <w:p w14:paraId="4CBB3255" w14:textId="77777777" w:rsidR="00F16EB8" w:rsidRPr="00B63409" w:rsidRDefault="00F16EB8" w:rsidP="00BE6FF5">
            <w:pPr>
              <w:jc w:val="right"/>
              <w:rPr>
                <w:rFonts w:asciiTheme="minorHAnsi" w:hAnsiTheme="minorHAnsi" w:cstheme="minorHAnsi"/>
                <w:b/>
                <w:bCs/>
                <w:color w:val="000000" w:themeColor="text1"/>
                <w:sz w:val="18"/>
                <w:szCs w:val="18"/>
                <w:lang w:val="en-GB" w:eastAsia="en-GB"/>
              </w:rPr>
            </w:pPr>
            <w:r w:rsidRPr="00B63409">
              <w:rPr>
                <w:rFonts w:asciiTheme="minorHAnsi" w:hAnsiTheme="minorHAnsi" w:cstheme="minorHAnsi"/>
                <w:b/>
                <w:bCs/>
                <w:color w:val="000000" w:themeColor="text1"/>
                <w:sz w:val="18"/>
                <w:szCs w:val="18"/>
                <w:lang w:val="en-GB" w:eastAsia="en-GB"/>
              </w:rPr>
              <w:t>62,737</w:t>
            </w:r>
          </w:p>
        </w:tc>
        <w:tc>
          <w:tcPr>
            <w:tcW w:w="866" w:type="dxa"/>
            <w:tcBorders>
              <w:top w:val="nil"/>
              <w:left w:val="nil"/>
              <w:bottom w:val="single" w:sz="4" w:space="0" w:color="auto"/>
              <w:right w:val="single" w:sz="4" w:space="0" w:color="auto"/>
            </w:tcBorders>
            <w:noWrap/>
            <w:vAlign w:val="bottom"/>
            <w:hideMark/>
          </w:tcPr>
          <w:p w14:paraId="4486CA4F" w14:textId="77777777" w:rsidR="00F16EB8" w:rsidRPr="00B63409" w:rsidRDefault="00F16EB8" w:rsidP="00BE6FF5">
            <w:pPr>
              <w:jc w:val="right"/>
              <w:rPr>
                <w:rFonts w:asciiTheme="minorHAnsi" w:hAnsiTheme="minorHAnsi" w:cstheme="minorHAnsi"/>
                <w:b/>
                <w:bCs/>
                <w:color w:val="000000" w:themeColor="text1"/>
                <w:sz w:val="18"/>
                <w:szCs w:val="18"/>
                <w:lang w:val="en-GB" w:eastAsia="en-GB"/>
              </w:rPr>
            </w:pPr>
            <w:r w:rsidRPr="00B63409">
              <w:rPr>
                <w:rFonts w:asciiTheme="minorHAnsi" w:hAnsiTheme="minorHAnsi" w:cstheme="minorHAnsi"/>
                <w:b/>
                <w:bCs/>
                <w:color w:val="000000" w:themeColor="text1"/>
                <w:sz w:val="18"/>
                <w:szCs w:val="18"/>
                <w:lang w:val="en-GB" w:eastAsia="en-GB"/>
              </w:rPr>
              <w:t>157,041</w:t>
            </w:r>
          </w:p>
        </w:tc>
        <w:tc>
          <w:tcPr>
            <w:tcW w:w="794" w:type="dxa"/>
            <w:tcBorders>
              <w:top w:val="nil"/>
              <w:left w:val="nil"/>
              <w:bottom w:val="single" w:sz="4" w:space="0" w:color="auto"/>
              <w:right w:val="single" w:sz="4" w:space="0" w:color="auto"/>
            </w:tcBorders>
            <w:noWrap/>
            <w:vAlign w:val="bottom"/>
            <w:hideMark/>
          </w:tcPr>
          <w:p w14:paraId="020C13F7" w14:textId="77777777" w:rsidR="00F16EB8" w:rsidRPr="00B63409" w:rsidRDefault="00F16EB8" w:rsidP="00BE6FF5">
            <w:pPr>
              <w:jc w:val="right"/>
              <w:rPr>
                <w:rFonts w:asciiTheme="minorHAnsi" w:hAnsiTheme="minorHAnsi" w:cstheme="minorHAnsi"/>
                <w:b/>
                <w:bCs/>
                <w:color w:val="000000" w:themeColor="text1"/>
                <w:sz w:val="18"/>
                <w:szCs w:val="18"/>
                <w:lang w:val="en-GB" w:eastAsia="en-GB"/>
              </w:rPr>
            </w:pPr>
            <w:r w:rsidRPr="00B63409">
              <w:rPr>
                <w:rFonts w:asciiTheme="minorHAnsi" w:hAnsiTheme="minorHAnsi" w:cstheme="minorHAnsi"/>
                <w:b/>
                <w:bCs/>
                <w:color w:val="000000" w:themeColor="text1"/>
                <w:sz w:val="18"/>
                <w:szCs w:val="18"/>
                <w:lang w:val="en-GB" w:eastAsia="en-GB"/>
              </w:rPr>
              <w:t>28,551</w:t>
            </w:r>
          </w:p>
        </w:tc>
        <w:tc>
          <w:tcPr>
            <w:tcW w:w="766" w:type="dxa"/>
            <w:tcBorders>
              <w:top w:val="nil"/>
              <w:left w:val="nil"/>
              <w:bottom w:val="single" w:sz="4" w:space="0" w:color="auto"/>
              <w:right w:val="single" w:sz="4" w:space="0" w:color="auto"/>
            </w:tcBorders>
            <w:noWrap/>
            <w:vAlign w:val="bottom"/>
            <w:hideMark/>
          </w:tcPr>
          <w:p w14:paraId="2466A759" w14:textId="77777777" w:rsidR="00F16EB8" w:rsidRPr="00B63409" w:rsidRDefault="00F16EB8" w:rsidP="00BE6FF5">
            <w:pPr>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76,276</w:t>
            </w:r>
          </w:p>
        </w:tc>
        <w:tc>
          <w:tcPr>
            <w:tcW w:w="766" w:type="dxa"/>
            <w:tcBorders>
              <w:top w:val="nil"/>
              <w:left w:val="nil"/>
              <w:bottom w:val="single" w:sz="4" w:space="0" w:color="auto"/>
              <w:right w:val="single" w:sz="4" w:space="0" w:color="auto"/>
            </w:tcBorders>
            <w:noWrap/>
            <w:vAlign w:val="bottom"/>
            <w:hideMark/>
          </w:tcPr>
          <w:p w14:paraId="112ED927" w14:textId="77777777" w:rsidR="00F16EB8" w:rsidRPr="00B63409" w:rsidRDefault="00F16EB8" w:rsidP="00BE6FF5">
            <w:pPr>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13,869</w:t>
            </w:r>
          </w:p>
        </w:tc>
        <w:tc>
          <w:tcPr>
            <w:tcW w:w="866" w:type="dxa"/>
            <w:tcBorders>
              <w:top w:val="nil"/>
              <w:left w:val="nil"/>
              <w:bottom w:val="single" w:sz="4" w:space="0" w:color="auto"/>
              <w:right w:val="single" w:sz="4" w:space="0" w:color="auto"/>
            </w:tcBorders>
            <w:noWrap/>
            <w:vAlign w:val="bottom"/>
            <w:hideMark/>
          </w:tcPr>
          <w:p w14:paraId="4D4D7327" w14:textId="77777777" w:rsidR="00F16EB8" w:rsidRPr="00B63409" w:rsidRDefault="00F16EB8" w:rsidP="00BE6FF5">
            <w:pPr>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148,201</w:t>
            </w:r>
          </w:p>
        </w:tc>
        <w:tc>
          <w:tcPr>
            <w:tcW w:w="794" w:type="dxa"/>
            <w:tcBorders>
              <w:top w:val="nil"/>
              <w:left w:val="nil"/>
              <w:bottom w:val="single" w:sz="4" w:space="0" w:color="auto"/>
              <w:right w:val="single" w:sz="4" w:space="0" w:color="auto"/>
            </w:tcBorders>
            <w:noWrap/>
            <w:vAlign w:val="bottom"/>
            <w:hideMark/>
          </w:tcPr>
          <w:p w14:paraId="2F476BAC" w14:textId="77777777" w:rsidR="00F16EB8" w:rsidRPr="00B63409" w:rsidRDefault="00F16EB8" w:rsidP="00BE6FF5">
            <w:pPr>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26,946</w:t>
            </w:r>
          </w:p>
        </w:tc>
        <w:tc>
          <w:tcPr>
            <w:tcW w:w="766" w:type="dxa"/>
            <w:tcBorders>
              <w:top w:val="nil"/>
              <w:left w:val="nil"/>
              <w:bottom w:val="single" w:sz="4" w:space="0" w:color="auto"/>
              <w:right w:val="single" w:sz="4" w:space="0" w:color="auto"/>
            </w:tcBorders>
            <w:noWrap/>
            <w:vAlign w:val="bottom"/>
            <w:hideMark/>
          </w:tcPr>
          <w:p w14:paraId="61FA6A6B" w14:textId="77777777" w:rsidR="00F16EB8" w:rsidRPr="00B63409" w:rsidRDefault="00F16EB8" w:rsidP="00BE6FF5">
            <w:pPr>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39,813</w:t>
            </w:r>
          </w:p>
        </w:tc>
        <w:tc>
          <w:tcPr>
            <w:tcW w:w="794" w:type="dxa"/>
            <w:tcBorders>
              <w:top w:val="nil"/>
              <w:left w:val="nil"/>
              <w:bottom w:val="single" w:sz="4" w:space="0" w:color="auto"/>
              <w:right w:val="single" w:sz="4" w:space="0" w:color="auto"/>
            </w:tcBorders>
            <w:noWrap/>
            <w:vAlign w:val="bottom"/>
            <w:hideMark/>
          </w:tcPr>
          <w:p w14:paraId="5ED168E8" w14:textId="77777777" w:rsidR="00F16EB8" w:rsidRPr="00B63409" w:rsidRDefault="00F16EB8" w:rsidP="00BE6FF5">
            <w:pPr>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7,240</w:t>
            </w:r>
          </w:p>
        </w:tc>
      </w:tr>
      <w:tr w:rsidR="00F16EB8" w:rsidRPr="00B63409" w14:paraId="7FFD0C93" w14:textId="77777777" w:rsidTr="00BE6FF5">
        <w:trPr>
          <w:trHeight w:val="300"/>
        </w:trPr>
        <w:tc>
          <w:tcPr>
            <w:tcW w:w="1525" w:type="dxa"/>
            <w:vMerge/>
            <w:tcBorders>
              <w:top w:val="nil"/>
              <w:left w:val="single" w:sz="4" w:space="0" w:color="auto"/>
              <w:bottom w:val="single" w:sz="4" w:space="0" w:color="000000"/>
              <w:right w:val="single" w:sz="4" w:space="0" w:color="auto"/>
            </w:tcBorders>
            <w:vAlign w:val="center"/>
            <w:hideMark/>
          </w:tcPr>
          <w:p w14:paraId="30C827A7" w14:textId="77777777" w:rsidR="00F16EB8" w:rsidRPr="00B63409" w:rsidRDefault="00F16EB8" w:rsidP="00BE6FF5">
            <w:pPr>
              <w:rPr>
                <w:rFonts w:asciiTheme="minorHAnsi" w:hAnsiTheme="minorHAnsi" w:cstheme="minorHAnsi"/>
                <w:b/>
                <w:bCs/>
                <w:color w:val="000000" w:themeColor="text1"/>
                <w:sz w:val="18"/>
                <w:szCs w:val="18"/>
                <w:lang w:val="en-GB" w:eastAsia="en-GB"/>
              </w:rPr>
            </w:pPr>
          </w:p>
        </w:tc>
        <w:tc>
          <w:tcPr>
            <w:tcW w:w="680" w:type="dxa"/>
            <w:tcBorders>
              <w:top w:val="nil"/>
              <w:left w:val="nil"/>
              <w:bottom w:val="single" w:sz="4" w:space="0" w:color="auto"/>
              <w:right w:val="single" w:sz="4" w:space="0" w:color="auto"/>
            </w:tcBorders>
            <w:vAlign w:val="center"/>
            <w:hideMark/>
          </w:tcPr>
          <w:p w14:paraId="09A5EE83" w14:textId="77777777" w:rsidR="00F16EB8" w:rsidRPr="00B63409" w:rsidRDefault="00F16EB8" w:rsidP="00BE6FF5">
            <w:pPr>
              <w:rPr>
                <w:rFonts w:asciiTheme="minorHAnsi" w:hAnsiTheme="minorHAnsi" w:cstheme="minorHAnsi"/>
                <w:b/>
                <w:bCs/>
                <w:color w:val="000000" w:themeColor="text1"/>
                <w:sz w:val="18"/>
                <w:szCs w:val="18"/>
                <w:lang w:val="en-GB" w:eastAsia="en-GB"/>
              </w:rPr>
            </w:pPr>
            <w:r w:rsidRPr="00B63409">
              <w:rPr>
                <w:rFonts w:asciiTheme="minorHAnsi" w:hAnsiTheme="minorHAnsi" w:cstheme="minorHAnsi"/>
                <w:b/>
                <w:bCs/>
                <w:color w:val="000000" w:themeColor="text1"/>
                <w:sz w:val="18"/>
                <w:szCs w:val="18"/>
                <w:lang w:val="en-GB" w:eastAsia="en-GB"/>
              </w:rPr>
              <w:t>CB</w:t>
            </w:r>
          </w:p>
        </w:tc>
        <w:tc>
          <w:tcPr>
            <w:tcW w:w="993" w:type="dxa"/>
            <w:tcBorders>
              <w:top w:val="nil"/>
              <w:left w:val="nil"/>
              <w:bottom w:val="single" w:sz="4" w:space="0" w:color="auto"/>
              <w:right w:val="single" w:sz="4" w:space="0" w:color="auto"/>
            </w:tcBorders>
            <w:noWrap/>
            <w:vAlign w:val="bottom"/>
            <w:hideMark/>
          </w:tcPr>
          <w:p w14:paraId="3DBBDDF3" w14:textId="77777777" w:rsidR="00F16EB8" w:rsidRPr="00B63409" w:rsidRDefault="00F16EB8" w:rsidP="00BE6FF5">
            <w:pPr>
              <w:jc w:val="right"/>
              <w:rPr>
                <w:rFonts w:asciiTheme="minorHAnsi" w:hAnsiTheme="minorHAnsi" w:cstheme="minorHAnsi"/>
                <w:b/>
                <w:bCs/>
                <w:color w:val="000000" w:themeColor="text1"/>
                <w:sz w:val="18"/>
                <w:szCs w:val="18"/>
                <w:lang w:val="en-GB" w:eastAsia="en-GB"/>
              </w:rPr>
            </w:pPr>
            <w:r w:rsidRPr="00B63409">
              <w:rPr>
                <w:rFonts w:asciiTheme="minorHAnsi" w:hAnsiTheme="minorHAnsi" w:cstheme="minorHAnsi"/>
                <w:b/>
                <w:bCs/>
                <w:color w:val="000000" w:themeColor="text1"/>
                <w:sz w:val="18"/>
                <w:szCs w:val="18"/>
                <w:lang w:val="en-GB" w:eastAsia="en-GB"/>
              </w:rPr>
              <w:t>413,705</w:t>
            </w:r>
          </w:p>
        </w:tc>
        <w:tc>
          <w:tcPr>
            <w:tcW w:w="887" w:type="dxa"/>
            <w:tcBorders>
              <w:top w:val="nil"/>
              <w:left w:val="nil"/>
              <w:bottom w:val="single" w:sz="4" w:space="0" w:color="auto"/>
              <w:right w:val="single" w:sz="4" w:space="0" w:color="auto"/>
            </w:tcBorders>
            <w:noWrap/>
            <w:vAlign w:val="bottom"/>
            <w:hideMark/>
          </w:tcPr>
          <w:p w14:paraId="6B3E7C41" w14:textId="77777777" w:rsidR="00F16EB8" w:rsidRPr="00B63409" w:rsidRDefault="00F16EB8" w:rsidP="00BE6FF5">
            <w:pPr>
              <w:jc w:val="right"/>
              <w:rPr>
                <w:rFonts w:asciiTheme="minorHAnsi" w:hAnsiTheme="minorHAnsi" w:cstheme="minorHAnsi"/>
                <w:b/>
                <w:bCs/>
                <w:color w:val="000000" w:themeColor="text1"/>
                <w:sz w:val="18"/>
                <w:szCs w:val="18"/>
                <w:lang w:val="en-GB" w:eastAsia="en-GB"/>
              </w:rPr>
            </w:pPr>
            <w:r w:rsidRPr="00B63409">
              <w:rPr>
                <w:rFonts w:asciiTheme="minorHAnsi" w:hAnsiTheme="minorHAnsi" w:cstheme="minorHAnsi"/>
                <w:b/>
                <w:bCs/>
                <w:color w:val="000000" w:themeColor="text1"/>
                <w:sz w:val="18"/>
                <w:szCs w:val="18"/>
                <w:lang w:val="en-GB" w:eastAsia="en-GB"/>
              </w:rPr>
              <w:t>61,350</w:t>
            </w:r>
          </w:p>
        </w:tc>
        <w:tc>
          <w:tcPr>
            <w:tcW w:w="866" w:type="dxa"/>
            <w:tcBorders>
              <w:top w:val="nil"/>
              <w:left w:val="nil"/>
              <w:bottom w:val="single" w:sz="4" w:space="0" w:color="auto"/>
              <w:right w:val="single" w:sz="4" w:space="0" w:color="auto"/>
            </w:tcBorders>
            <w:noWrap/>
            <w:vAlign w:val="bottom"/>
            <w:hideMark/>
          </w:tcPr>
          <w:p w14:paraId="5731C6AB" w14:textId="77777777" w:rsidR="00F16EB8" w:rsidRPr="00B63409" w:rsidRDefault="00F16EB8" w:rsidP="00BE6FF5">
            <w:pPr>
              <w:jc w:val="right"/>
              <w:rPr>
                <w:rFonts w:asciiTheme="minorHAnsi" w:hAnsiTheme="minorHAnsi" w:cstheme="minorHAnsi"/>
                <w:b/>
                <w:bCs/>
                <w:color w:val="000000" w:themeColor="text1"/>
                <w:sz w:val="18"/>
                <w:szCs w:val="18"/>
                <w:lang w:val="en-GB" w:eastAsia="en-GB"/>
              </w:rPr>
            </w:pPr>
            <w:r w:rsidRPr="00B63409">
              <w:rPr>
                <w:rFonts w:asciiTheme="minorHAnsi" w:hAnsiTheme="minorHAnsi" w:cstheme="minorHAnsi"/>
                <w:b/>
                <w:bCs/>
                <w:color w:val="000000" w:themeColor="text1"/>
                <w:sz w:val="18"/>
                <w:szCs w:val="18"/>
                <w:lang w:val="en-GB" w:eastAsia="en-GB"/>
              </w:rPr>
              <w:t>149,708</w:t>
            </w:r>
          </w:p>
        </w:tc>
        <w:tc>
          <w:tcPr>
            <w:tcW w:w="794" w:type="dxa"/>
            <w:tcBorders>
              <w:top w:val="nil"/>
              <w:left w:val="nil"/>
              <w:bottom w:val="single" w:sz="4" w:space="0" w:color="auto"/>
              <w:right w:val="single" w:sz="4" w:space="0" w:color="auto"/>
            </w:tcBorders>
            <w:noWrap/>
            <w:vAlign w:val="bottom"/>
            <w:hideMark/>
          </w:tcPr>
          <w:p w14:paraId="2B9F6E1B" w14:textId="77777777" w:rsidR="00F16EB8" w:rsidRPr="00B63409" w:rsidRDefault="00F16EB8" w:rsidP="00BE6FF5">
            <w:pPr>
              <w:jc w:val="right"/>
              <w:rPr>
                <w:rFonts w:asciiTheme="minorHAnsi" w:hAnsiTheme="minorHAnsi" w:cstheme="minorHAnsi"/>
                <w:b/>
                <w:bCs/>
                <w:color w:val="000000" w:themeColor="text1"/>
                <w:sz w:val="18"/>
                <w:szCs w:val="18"/>
                <w:lang w:val="en-GB" w:eastAsia="en-GB"/>
              </w:rPr>
            </w:pPr>
            <w:r w:rsidRPr="00B63409">
              <w:rPr>
                <w:rFonts w:asciiTheme="minorHAnsi" w:hAnsiTheme="minorHAnsi" w:cstheme="minorHAnsi"/>
                <w:b/>
                <w:bCs/>
                <w:color w:val="000000" w:themeColor="text1"/>
                <w:sz w:val="18"/>
                <w:szCs w:val="18"/>
                <w:lang w:val="en-GB" w:eastAsia="en-GB"/>
              </w:rPr>
              <w:t>27,218</w:t>
            </w:r>
          </w:p>
        </w:tc>
        <w:tc>
          <w:tcPr>
            <w:tcW w:w="766" w:type="dxa"/>
            <w:tcBorders>
              <w:top w:val="nil"/>
              <w:left w:val="nil"/>
              <w:bottom w:val="single" w:sz="4" w:space="0" w:color="auto"/>
              <w:right w:val="single" w:sz="4" w:space="0" w:color="auto"/>
            </w:tcBorders>
            <w:noWrap/>
            <w:vAlign w:val="bottom"/>
            <w:hideMark/>
          </w:tcPr>
          <w:p w14:paraId="1E4FCF70" w14:textId="77777777" w:rsidR="00F16EB8" w:rsidRPr="00B63409" w:rsidRDefault="00F16EB8" w:rsidP="00BE6FF5">
            <w:pPr>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76,276</w:t>
            </w:r>
          </w:p>
        </w:tc>
        <w:tc>
          <w:tcPr>
            <w:tcW w:w="766" w:type="dxa"/>
            <w:tcBorders>
              <w:top w:val="nil"/>
              <w:left w:val="nil"/>
              <w:bottom w:val="single" w:sz="4" w:space="0" w:color="auto"/>
              <w:right w:val="single" w:sz="4" w:space="0" w:color="auto"/>
            </w:tcBorders>
            <w:noWrap/>
            <w:vAlign w:val="bottom"/>
            <w:hideMark/>
          </w:tcPr>
          <w:p w14:paraId="76D5B60E" w14:textId="77777777" w:rsidR="00F16EB8" w:rsidRPr="00B63409" w:rsidRDefault="00F16EB8" w:rsidP="00BE6FF5">
            <w:pPr>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13,869</w:t>
            </w:r>
          </w:p>
        </w:tc>
        <w:tc>
          <w:tcPr>
            <w:tcW w:w="866" w:type="dxa"/>
            <w:tcBorders>
              <w:top w:val="nil"/>
              <w:left w:val="nil"/>
              <w:bottom w:val="single" w:sz="4" w:space="0" w:color="auto"/>
              <w:right w:val="single" w:sz="4" w:space="0" w:color="auto"/>
            </w:tcBorders>
            <w:noWrap/>
            <w:vAlign w:val="bottom"/>
            <w:hideMark/>
          </w:tcPr>
          <w:p w14:paraId="7FB62407" w14:textId="77777777" w:rsidR="00F16EB8" w:rsidRPr="00B63409" w:rsidRDefault="00F16EB8" w:rsidP="00BE6FF5">
            <w:pPr>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147,908</w:t>
            </w:r>
          </w:p>
        </w:tc>
        <w:tc>
          <w:tcPr>
            <w:tcW w:w="794" w:type="dxa"/>
            <w:tcBorders>
              <w:top w:val="nil"/>
              <w:left w:val="nil"/>
              <w:bottom w:val="single" w:sz="4" w:space="0" w:color="auto"/>
              <w:right w:val="single" w:sz="4" w:space="0" w:color="auto"/>
            </w:tcBorders>
            <w:noWrap/>
            <w:vAlign w:val="bottom"/>
            <w:hideMark/>
          </w:tcPr>
          <w:p w14:paraId="099124F2" w14:textId="77777777" w:rsidR="00F16EB8" w:rsidRPr="00B63409" w:rsidRDefault="00F16EB8" w:rsidP="00BE6FF5">
            <w:pPr>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26,892</w:t>
            </w:r>
          </w:p>
        </w:tc>
        <w:tc>
          <w:tcPr>
            <w:tcW w:w="766" w:type="dxa"/>
            <w:tcBorders>
              <w:top w:val="nil"/>
              <w:left w:val="nil"/>
              <w:bottom w:val="single" w:sz="4" w:space="0" w:color="auto"/>
              <w:right w:val="single" w:sz="4" w:space="0" w:color="auto"/>
            </w:tcBorders>
            <w:noWrap/>
            <w:vAlign w:val="bottom"/>
            <w:hideMark/>
          </w:tcPr>
          <w:p w14:paraId="204309E5" w14:textId="77777777" w:rsidR="00F16EB8" w:rsidRPr="00B63409" w:rsidRDefault="00F16EB8" w:rsidP="00BE6FF5">
            <w:pPr>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39,813</w:t>
            </w:r>
          </w:p>
        </w:tc>
        <w:tc>
          <w:tcPr>
            <w:tcW w:w="794" w:type="dxa"/>
            <w:tcBorders>
              <w:top w:val="nil"/>
              <w:left w:val="nil"/>
              <w:bottom w:val="single" w:sz="4" w:space="0" w:color="auto"/>
              <w:right w:val="single" w:sz="4" w:space="0" w:color="auto"/>
            </w:tcBorders>
            <w:noWrap/>
            <w:vAlign w:val="bottom"/>
            <w:hideMark/>
          </w:tcPr>
          <w:p w14:paraId="46DF4F96" w14:textId="77777777" w:rsidR="00F16EB8" w:rsidRPr="00B63409" w:rsidRDefault="00F16EB8" w:rsidP="00BE6FF5">
            <w:pPr>
              <w:jc w:val="right"/>
              <w:rPr>
                <w:rFonts w:asciiTheme="minorHAnsi" w:hAnsiTheme="minorHAnsi" w:cstheme="minorHAnsi"/>
                <w:b/>
                <w:bCs/>
                <w:color w:val="000000"/>
                <w:sz w:val="18"/>
                <w:szCs w:val="18"/>
                <w:lang w:val="en-GB" w:eastAsia="en-GB"/>
              </w:rPr>
            </w:pPr>
            <w:r w:rsidRPr="00B63409">
              <w:rPr>
                <w:rFonts w:asciiTheme="minorHAnsi" w:hAnsiTheme="minorHAnsi" w:cstheme="minorHAnsi"/>
                <w:b/>
                <w:bCs/>
                <w:color w:val="000000"/>
                <w:sz w:val="18"/>
                <w:szCs w:val="18"/>
                <w:lang w:val="en-GB" w:eastAsia="en-GB"/>
              </w:rPr>
              <w:t>7,240</w:t>
            </w:r>
          </w:p>
        </w:tc>
      </w:tr>
      <w:tr w:rsidR="00F16EB8" w:rsidRPr="00B63409" w14:paraId="670629A0" w14:textId="77777777" w:rsidTr="00BE6FF5">
        <w:trPr>
          <w:trHeight w:val="300"/>
        </w:trPr>
        <w:tc>
          <w:tcPr>
            <w:tcW w:w="1525" w:type="dxa"/>
            <w:vMerge w:val="restart"/>
            <w:tcBorders>
              <w:top w:val="nil"/>
              <w:left w:val="single" w:sz="4" w:space="0" w:color="auto"/>
              <w:bottom w:val="single" w:sz="4" w:space="0" w:color="000000"/>
              <w:right w:val="single" w:sz="4" w:space="0" w:color="auto"/>
            </w:tcBorders>
            <w:vAlign w:val="center"/>
            <w:hideMark/>
          </w:tcPr>
          <w:p w14:paraId="29D85080" w14:textId="77777777" w:rsidR="00F16EB8" w:rsidRPr="00B63409" w:rsidRDefault="00F16EB8" w:rsidP="00BE6FF5">
            <w:pPr>
              <w:rPr>
                <w:rFonts w:asciiTheme="minorHAnsi" w:hAnsiTheme="minorHAnsi" w:cstheme="minorHAnsi"/>
                <w:color w:val="000000"/>
                <w:sz w:val="18"/>
                <w:szCs w:val="18"/>
                <w:lang w:val="en-GB" w:eastAsia="en-GB"/>
              </w:rPr>
            </w:pPr>
            <w:proofErr w:type="spellStart"/>
            <w:r w:rsidRPr="00B63409">
              <w:rPr>
                <w:rFonts w:asciiTheme="minorHAnsi" w:hAnsiTheme="minorHAnsi" w:cstheme="minorHAnsi"/>
                <w:color w:val="000000"/>
                <w:sz w:val="18"/>
                <w:szCs w:val="18"/>
                <w:lang w:val="en-GB" w:eastAsia="en-GB"/>
              </w:rPr>
              <w:t>Cheltuieli</w:t>
            </w:r>
            <w:proofErr w:type="spellEnd"/>
            <w:r w:rsidRPr="00B63409">
              <w:rPr>
                <w:rFonts w:asciiTheme="minorHAnsi" w:hAnsiTheme="minorHAnsi" w:cstheme="minorHAnsi"/>
                <w:color w:val="000000"/>
                <w:sz w:val="18"/>
                <w:szCs w:val="18"/>
                <w:lang w:val="en-GB" w:eastAsia="en-GB"/>
              </w:rPr>
              <w:t xml:space="preserve"> de personal</w:t>
            </w:r>
          </w:p>
        </w:tc>
        <w:tc>
          <w:tcPr>
            <w:tcW w:w="680" w:type="dxa"/>
            <w:tcBorders>
              <w:top w:val="nil"/>
              <w:left w:val="nil"/>
              <w:bottom w:val="single" w:sz="4" w:space="0" w:color="auto"/>
              <w:right w:val="single" w:sz="4" w:space="0" w:color="auto"/>
            </w:tcBorders>
            <w:vAlign w:val="center"/>
            <w:hideMark/>
          </w:tcPr>
          <w:p w14:paraId="6A9503F5"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CA</w:t>
            </w:r>
          </w:p>
        </w:tc>
        <w:tc>
          <w:tcPr>
            <w:tcW w:w="993" w:type="dxa"/>
            <w:tcBorders>
              <w:top w:val="nil"/>
              <w:left w:val="nil"/>
              <w:bottom w:val="single" w:sz="4" w:space="0" w:color="auto"/>
              <w:right w:val="single" w:sz="4" w:space="0" w:color="auto"/>
            </w:tcBorders>
            <w:noWrap/>
            <w:vAlign w:val="bottom"/>
            <w:hideMark/>
          </w:tcPr>
          <w:p w14:paraId="71C5B674"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289,307</w:t>
            </w:r>
          </w:p>
        </w:tc>
        <w:tc>
          <w:tcPr>
            <w:tcW w:w="887" w:type="dxa"/>
            <w:tcBorders>
              <w:top w:val="nil"/>
              <w:left w:val="nil"/>
              <w:bottom w:val="single" w:sz="4" w:space="0" w:color="auto"/>
              <w:right w:val="single" w:sz="4" w:space="0" w:color="auto"/>
            </w:tcBorders>
            <w:noWrap/>
            <w:vAlign w:val="bottom"/>
            <w:hideMark/>
          </w:tcPr>
          <w:p w14:paraId="48F561EC"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40,189</w:t>
            </w:r>
          </w:p>
        </w:tc>
        <w:tc>
          <w:tcPr>
            <w:tcW w:w="866" w:type="dxa"/>
            <w:tcBorders>
              <w:top w:val="nil"/>
              <w:left w:val="nil"/>
              <w:bottom w:val="single" w:sz="4" w:space="0" w:color="auto"/>
              <w:right w:val="single" w:sz="4" w:space="0" w:color="auto"/>
            </w:tcBorders>
            <w:noWrap/>
            <w:vAlign w:val="bottom"/>
            <w:hideMark/>
          </w:tcPr>
          <w:p w14:paraId="08BA763A"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127,971</w:t>
            </w:r>
          </w:p>
        </w:tc>
        <w:tc>
          <w:tcPr>
            <w:tcW w:w="794" w:type="dxa"/>
            <w:tcBorders>
              <w:top w:val="nil"/>
              <w:left w:val="nil"/>
              <w:bottom w:val="single" w:sz="4" w:space="0" w:color="auto"/>
              <w:right w:val="single" w:sz="4" w:space="0" w:color="auto"/>
            </w:tcBorders>
            <w:noWrap/>
            <w:vAlign w:val="bottom"/>
            <w:hideMark/>
          </w:tcPr>
          <w:p w14:paraId="74563A3A"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23,267</w:t>
            </w:r>
          </w:p>
        </w:tc>
        <w:tc>
          <w:tcPr>
            <w:tcW w:w="766" w:type="dxa"/>
            <w:tcBorders>
              <w:top w:val="nil"/>
              <w:left w:val="nil"/>
              <w:bottom w:val="single" w:sz="4" w:space="0" w:color="auto"/>
              <w:right w:val="single" w:sz="4" w:space="0" w:color="auto"/>
            </w:tcBorders>
            <w:noWrap/>
            <w:vAlign w:val="bottom"/>
            <w:hideMark/>
          </w:tcPr>
          <w:p w14:paraId="2B04B4E3"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68,266</w:t>
            </w:r>
          </w:p>
        </w:tc>
        <w:tc>
          <w:tcPr>
            <w:tcW w:w="766" w:type="dxa"/>
            <w:tcBorders>
              <w:top w:val="nil"/>
              <w:left w:val="nil"/>
              <w:bottom w:val="single" w:sz="4" w:space="0" w:color="auto"/>
              <w:right w:val="single" w:sz="4" w:space="0" w:color="auto"/>
            </w:tcBorders>
            <w:noWrap/>
            <w:vAlign w:val="bottom"/>
            <w:hideMark/>
          </w:tcPr>
          <w:p w14:paraId="6E9C3F01"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12,412</w:t>
            </w:r>
          </w:p>
        </w:tc>
        <w:tc>
          <w:tcPr>
            <w:tcW w:w="866" w:type="dxa"/>
            <w:tcBorders>
              <w:top w:val="nil"/>
              <w:left w:val="nil"/>
              <w:bottom w:val="single" w:sz="4" w:space="0" w:color="auto"/>
              <w:right w:val="single" w:sz="4" w:space="0" w:color="auto"/>
            </w:tcBorders>
            <w:noWrap/>
            <w:vAlign w:val="bottom"/>
            <w:hideMark/>
          </w:tcPr>
          <w:p w14:paraId="7B2A01B2"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60,270</w:t>
            </w:r>
          </w:p>
        </w:tc>
        <w:tc>
          <w:tcPr>
            <w:tcW w:w="794" w:type="dxa"/>
            <w:tcBorders>
              <w:top w:val="nil"/>
              <w:left w:val="nil"/>
              <w:bottom w:val="single" w:sz="4" w:space="0" w:color="auto"/>
              <w:right w:val="single" w:sz="4" w:space="0" w:color="auto"/>
            </w:tcBorders>
            <w:noWrap/>
            <w:vAlign w:val="bottom"/>
            <w:hideMark/>
          </w:tcPr>
          <w:p w14:paraId="158FFF14"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10,958</w:t>
            </w:r>
          </w:p>
        </w:tc>
        <w:tc>
          <w:tcPr>
            <w:tcW w:w="766" w:type="dxa"/>
            <w:tcBorders>
              <w:top w:val="nil"/>
              <w:left w:val="nil"/>
              <w:bottom w:val="single" w:sz="4" w:space="0" w:color="auto"/>
              <w:right w:val="single" w:sz="4" w:space="0" w:color="auto"/>
            </w:tcBorders>
            <w:noWrap/>
            <w:vAlign w:val="bottom"/>
            <w:hideMark/>
          </w:tcPr>
          <w:p w14:paraId="50396E04"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32,800</w:t>
            </w:r>
          </w:p>
        </w:tc>
        <w:tc>
          <w:tcPr>
            <w:tcW w:w="794" w:type="dxa"/>
            <w:tcBorders>
              <w:top w:val="nil"/>
              <w:left w:val="nil"/>
              <w:bottom w:val="single" w:sz="4" w:space="0" w:color="auto"/>
              <w:right w:val="single" w:sz="4" w:space="0" w:color="auto"/>
            </w:tcBorders>
            <w:noWrap/>
            <w:vAlign w:val="bottom"/>
            <w:hideMark/>
          </w:tcPr>
          <w:p w14:paraId="463E81CB"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5,964</w:t>
            </w:r>
          </w:p>
        </w:tc>
      </w:tr>
      <w:tr w:rsidR="00F16EB8" w:rsidRPr="00B63409" w14:paraId="7419AF05" w14:textId="77777777" w:rsidTr="00BE6FF5">
        <w:trPr>
          <w:trHeight w:val="300"/>
        </w:trPr>
        <w:tc>
          <w:tcPr>
            <w:tcW w:w="1525" w:type="dxa"/>
            <w:vMerge/>
            <w:tcBorders>
              <w:top w:val="nil"/>
              <w:left w:val="single" w:sz="4" w:space="0" w:color="auto"/>
              <w:bottom w:val="single" w:sz="4" w:space="0" w:color="000000"/>
              <w:right w:val="single" w:sz="4" w:space="0" w:color="auto"/>
            </w:tcBorders>
            <w:vAlign w:val="center"/>
            <w:hideMark/>
          </w:tcPr>
          <w:p w14:paraId="7277DA01" w14:textId="77777777" w:rsidR="00F16EB8" w:rsidRPr="00B63409" w:rsidRDefault="00F16EB8" w:rsidP="00BE6FF5">
            <w:pPr>
              <w:rPr>
                <w:rFonts w:asciiTheme="minorHAnsi" w:hAnsiTheme="minorHAnsi" w:cstheme="minorHAnsi"/>
                <w:color w:val="000000"/>
                <w:sz w:val="18"/>
                <w:szCs w:val="18"/>
                <w:lang w:val="en-GB" w:eastAsia="en-GB"/>
              </w:rPr>
            </w:pPr>
          </w:p>
        </w:tc>
        <w:tc>
          <w:tcPr>
            <w:tcW w:w="680" w:type="dxa"/>
            <w:tcBorders>
              <w:top w:val="nil"/>
              <w:left w:val="nil"/>
              <w:bottom w:val="single" w:sz="4" w:space="0" w:color="auto"/>
              <w:right w:val="single" w:sz="4" w:space="0" w:color="auto"/>
            </w:tcBorders>
            <w:vAlign w:val="center"/>
            <w:hideMark/>
          </w:tcPr>
          <w:p w14:paraId="7AF3545E"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CB</w:t>
            </w:r>
          </w:p>
        </w:tc>
        <w:tc>
          <w:tcPr>
            <w:tcW w:w="993" w:type="dxa"/>
            <w:tcBorders>
              <w:top w:val="nil"/>
              <w:left w:val="nil"/>
              <w:bottom w:val="single" w:sz="4" w:space="0" w:color="auto"/>
              <w:right w:val="single" w:sz="4" w:space="0" w:color="auto"/>
            </w:tcBorders>
            <w:noWrap/>
            <w:vAlign w:val="bottom"/>
            <w:hideMark/>
          </w:tcPr>
          <w:p w14:paraId="63F88BAA"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289,307</w:t>
            </w:r>
          </w:p>
        </w:tc>
        <w:tc>
          <w:tcPr>
            <w:tcW w:w="887" w:type="dxa"/>
            <w:tcBorders>
              <w:top w:val="nil"/>
              <w:left w:val="nil"/>
              <w:bottom w:val="single" w:sz="4" w:space="0" w:color="auto"/>
              <w:right w:val="single" w:sz="4" w:space="0" w:color="auto"/>
            </w:tcBorders>
            <w:noWrap/>
            <w:vAlign w:val="bottom"/>
            <w:hideMark/>
          </w:tcPr>
          <w:p w14:paraId="5112D9CA"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40,189</w:t>
            </w:r>
          </w:p>
        </w:tc>
        <w:tc>
          <w:tcPr>
            <w:tcW w:w="866" w:type="dxa"/>
            <w:tcBorders>
              <w:top w:val="nil"/>
              <w:left w:val="nil"/>
              <w:bottom w:val="single" w:sz="4" w:space="0" w:color="auto"/>
              <w:right w:val="single" w:sz="4" w:space="0" w:color="auto"/>
            </w:tcBorders>
            <w:noWrap/>
            <w:vAlign w:val="bottom"/>
            <w:hideMark/>
          </w:tcPr>
          <w:p w14:paraId="5B39FCD6"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127,971</w:t>
            </w:r>
          </w:p>
        </w:tc>
        <w:tc>
          <w:tcPr>
            <w:tcW w:w="794" w:type="dxa"/>
            <w:tcBorders>
              <w:top w:val="nil"/>
              <w:left w:val="nil"/>
              <w:bottom w:val="single" w:sz="4" w:space="0" w:color="auto"/>
              <w:right w:val="single" w:sz="4" w:space="0" w:color="auto"/>
            </w:tcBorders>
            <w:noWrap/>
            <w:vAlign w:val="bottom"/>
            <w:hideMark/>
          </w:tcPr>
          <w:p w14:paraId="5AA59181"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23,267</w:t>
            </w:r>
          </w:p>
        </w:tc>
        <w:tc>
          <w:tcPr>
            <w:tcW w:w="766" w:type="dxa"/>
            <w:tcBorders>
              <w:top w:val="nil"/>
              <w:left w:val="nil"/>
              <w:bottom w:val="single" w:sz="4" w:space="0" w:color="auto"/>
              <w:right w:val="single" w:sz="4" w:space="0" w:color="auto"/>
            </w:tcBorders>
            <w:noWrap/>
            <w:vAlign w:val="bottom"/>
            <w:hideMark/>
          </w:tcPr>
          <w:p w14:paraId="1CCBF40E"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68,266</w:t>
            </w:r>
          </w:p>
        </w:tc>
        <w:tc>
          <w:tcPr>
            <w:tcW w:w="766" w:type="dxa"/>
            <w:tcBorders>
              <w:top w:val="nil"/>
              <w:left w:val="nil"/>
              <w:bottom w:val="single" w:sz="4" w:space="0" w:color="auto"/>
              <w:right w:val="single" w:sz="4" w:space="0" w:color="auto"/>
            </w:tcBorders>
            <w:noWrap/>
            <w:vAlign w:val="bottom"/>
            <w:hideMark/>
          </w:tcPr>
          <w:p w14:paraId="575E9008"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12,412</w:t>
            </w:r>
          </w:p>
        </w:tc>
        <w:tc>
          <w:tcPr>
            <w:tcW w:w="866" w:type="dxa"/>
            <w:tcBorders>
              <w:top w:val="nil"/>
              <w:left w:val="nil"/>
              <w:bottom w:val="single" w:sz="4" w:space="0" w:color="auto"/>
              <w:right w:val="single" w:sz="4" w:space="0" w:color="auto"/>
            </w:tcBorders>
            <w:noWrap/>
            <w:vAlign w:val="bottom"/>
            <w:hideMark/>
          </w:tcPr>
          <w:p w14:paraId="61C85FAA"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60,270</w:t>
            </w:r>
          </w:p>
        </w:tc>
        <w:tc>
          <w:tcPr>
            <w:tcW w:w="794" w:type="dxa"/>
            <w:tcBorders>
              <w:top w:val="nil"/>
              <w:left w:val="nil"/>
              <w:bottom w:val="single" w:sz="4" w:space="0" w:color="auto"/>
              <w:right w:val="single" w:sz="4" w:space="0" w:color="auto"/>
            </w:tcBorders>
            <w:noWrap/>
            <w:vAlign w:val="bottom"/>
            <w:hideMark/>
          </w:tcPr>
          <w:p w14:paraId="5F0AF803"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10,958</w:t>
            </w:r>
          </w:p>
        </w:tc>
        <w:tc>
          <w:tcPr>
            <w:tcW w:w="766" w:type="dxa"/>
            <w:tcBorders>
              <w:top w:val="nil"/>
              <w:left w:val="nil"/>
              <w:bottom w:val="single" w:sz="4" w:space="0" w:color="auto"/>
              <w:right w:val="single" w:sz="4" w:space="0" w:color="auto"/>
            </w:tcBorders>
            <w:noWrap/>
            <w:vAlign w:val="bottom"/>
            <w:hideMark/>
          </w:tcPr>
          <w:p w14:paraId="42D98393"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32,800</w:t>
            </w:r>
          </w:p>
        </w:tc>
        <w:tc>
          <w:tcPr>
            <w:tcW w:w="794" w:type="dxa"/>
            <w:tcBorders>
              <w:top w:val="nil"/>
              <w:left w:val="nil"/>
              <w:bottom w:val="single" w:sz="4" w:space="0" w:color="auto"/>
              <w:right w:val="single" w:sz="4" w:space="0" w:color="auto"/>
            </w:tcBorders>
            <w:noWrap/>
            <w:vAlign w:val="bottom"/>
            <w:hideMark/>
          </w:tcPr>
          <w:p w14:paraId="2D997B3D"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5,964</w:t>
            </w:r>
          </w:p>
        </w:tc>
      </w:tr>
      <w:tr w:rsidR="00F16EB8" w:rsidRPr="00B63409" w14:paraId="328A4110" w14:textId="77777777" w:rsidTr="00BE6FF5">
        <w:trPr>
          <w:trHeight w:val="300"/>
        </w:trPr>
        <w:tc>
          <w:tcPr>
            <w:tcW w:w="1525" w:type="dxa"/>
            <w:vMerge w:val="restart"/>
            <w:tcBorders>
              <w:top w:val="nil"/>
              <w:left w:val="single" w:sz="4" w:space="0" w:color="auto"/>
              <w:bottom w:val="single" w:sz="4" w:space="0" w:color="000000"/>
              <w:right w:val="single" w:sz="4" w:space="0" w:color="auto"/>
            </w:tcBorders>
            <w:vAlign w:val="center"/>
            <w:hideMark/>
          </w:tcPr>
          <w:p w14:paraId="185C472F" w14:textId="77777777" w:rsidR="00F16EB8" w:rsidRPr="00B63409" w:rsidRDefault="00F16EB8" w:rsidP="00BE6FF5">
            <w:pPr>
              <w:rPr>
                <w:rFonts w:asciiTheme="minorHAnsi" w:hAnsiTheme="minorHAnsi" w:cstheme="minorHAnsi"/>
                <w:color w:val="000000"/>
                <w:sz w:val="18"/>
                <w:szCs w:val="18"/>
                <w:lang w:val="en-GB" w:eastAsia="en-GB"/>
              </w:rPr>
            </w:pPr>
            <w:proofErr w:type="spellStart"/>
            <w:r w:rsidRPr="00B63409">
              <w:rPr>
                <w:rFonts w:asciiTheme="minorHAnsi" w:hAnsiTheme="minorHAnsi" w:cstheme="minorHAnsi"/>
                <w:color w:val="000000"/>
                <w:sz w:val="18"/>
                <w:szCs w:val="18"/>
                <w:lang w:val="en-GB" w:eastAsia="en-GB"/>
              </w:rPr>
              <w:t>Bunuri</w:t>
            </w:r>
            <w:proofErr w:type="spellEnd"/>
            <w:r w:rsidRPr="00B63409">
              <w:rPr>
                <w:rFonts w:asciiTheme="minorHAnsi" w:hAnsiTheme="minorHAnsi" w:cstheme="minorHAnsi"/>
                <w:color w:val="000000"/>
                <w:sz w:val="18"/>
                <w:szCs w:val="18"/>
                <w:lang w:val="en-GB" w:eastAsia="en-GB"/>
              </w:rPr>
              <w:t xml:space="preserve"> </w:t>
            </w:r>
            <w:proofErr w:type="spellStart"/>
            <w:r w:rsidRPr="00B63409">
              <w:rPr>
                <w:rFonts w:asciiTheme="minorHAnsi" w:hAnsiTheme="minorHAnsi" w:cstheme="minorHAnsi"/>
                <w:color w:val="000000"/>
                <w:sz w:val="18"/>
                <w:szCs w:val="18"/>
                <w:lang w:val="en-GB" w:eastAsia="en-GB"/>
              </w:rPr>
              <w:t>și</w:t>
            </w:r>
            <w:proofErr w:type="spellEnd"/>
            <w:r w:rsidRPr="00B63409">
              <w:rPr>
                <w:rFonts w:asciiTheme="minorHAnsi" w:hAnsiTheme="minorHAnsi" w:cstheme="minorHAnsi"/>
                <w:color w:val="000000"/>
                <w:sz w:val="18"/>
                <w:szCs w:val="18"/>
                <w:lang w:val="en-GB" w:eastAsia="en-GB"/>
              </w:rPr>
              <w:t xml:space="preserve"> </w:t>
            </w:r>
            <w:proofErr w:type="spellStart"/>
            <w:r w:rsidRPr="00B63409">
              <w:rPr>
                <w:rFonts w:asciiTheme="minorHAnsi" w:hAnsiTheme="minorHAnsi" w:cstheme="minorHAnsi"/>
                <w:color w:val="000000"/>
                <w:sz w:val="18"/>
                <w:szCs w:val="18"/>
                <w:lang w:val="en-GB" w:eastAsia="en-GB"/>
              </w:rPr>
              <w:t>servicii</w:t>
            </w:r>
            <w:proofErr w:type="spellEnd"/>
          </w:p>
        </w:tc>
        <w:tc>
          <w:tcPr>
            <w:tcW w:w="680" w:type="dxa"/>
            <w:tcBorders>
              <w:top w:val="nil"/>
              <w:left w:val="nil"/>
              <w:bottom w:val="single" w:sz="4" w:space="0" w:color="auto"/>
              <w:right w:val="single" w:sz="4" w:space="0" w:color="auto"/>
            </w:tcBorders>
            <w:vAlign w:val="center"/>
            <w:hideMark/>
          </w:tcPr>
          <w:p w14:paraId="27238D00"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CA</w:t>
            </w:r>
          </w:p>
        </w:tc>
        <w:tc>
          <w:tcPr>
            <w:tcW w:w="993" w:type="dxa"/>
            <w:tcBorders>
              <w:top w:val="nil"/>
              <w:left w:val="nil"/>
              <w:bottom w:val="single" w:sz="4" w:space="0" w:color="auto"/>
              <w:right w:val="single" w:sz="4" w:space="0" w:color="auto"/>
            </w:tcBorders>
            <w:noWrap/>
            <w:vAlign w:val="bottom"/>
            <w:hideMark/>
          </w:tcPr>
          <w:p w14:paraId="19E4F1F3"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44,148</w:t>
            </w:r>
          </w:p>
        </w:tc>
        <w:tc>
          <w:tcPr>
            <w:tcW w:w="887" w:type="dxa"/>
            <w:tcBorders>
              <w:top w:val="nil"/>
              <w:left w:val="nil"/>
              <w:bottom w:val="single" w:sz="4" w:space="0" w:color="auto"/>
              <w:right w:val="single" w:sz="4" w:space="0" w:color="auto"/>
            </w:tcBorders>
            <w:noWrap/>
            <w:vAlign w:val="bottom"/>
            <w:hideMark/>
          </w:tcPr>
          <w:p w14:paraId="7F22AC8C"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7,371</w:t>
            </w:r>
          </w:p>
        </w:tc>
        <w:tc>
          <w:tcPr>
            <w:tcW w:w="866" w:type="dxa"/>
            <w:tcBorders>
              <w:top w:val="nil"/>
              <w:left w:val="nil"/>
              <w:bottom w:val="single" w:sz="4" w:space="0" w:color="auto"/>
              <w:right w:val="single" w:sz="4" w:space="0" w:color="auto"/>
            </w:tcBorders>
            <w:noWrap/>
            <w:vAlign w:val="bottom"/>
            <w:hideMark/>
          </w:tcPr>
          <w:p w14:paraId="70427CAE"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15,151</w:t>
            </w:r>
          </w:p>
        </w:tc>
        <w:tc>
          <w:tcPr>
            <w:tcW w:w="794" w:type="dxa"/>
            <w:tcBorders>
              <w:top w:val="nil"/>
              <w:left w:val="nil"/>
              <w:bottom w:val="single" w:sz="4" w:space="0" w:color="auto"/>
              <w:right w:val="single" w:sz="4" w:space="0" w:color="auto"/>
            </w:tcBorders>
            <w:noWrap/>
            <w:vAlign w:val="bottom"/>
            <w:hideMark/>
          </w:tcPr>
          <w:p w14:paraId="41B608EF"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2,755</w:t>
            </w:r>
          </w:p>
        </w:tc>
        <w:tc>
          <w:tcPr>
            <w:tcW w:w="766" w:type="dxa"/>
            <w:tcBorders>
              <w:top w:val="nil"/>
              <w:left w:val="nil"/>
              <w:bottom w:val="single" w:sz="4" w:space="0" w:color="auto"/>
              <w:right w:val="single" w:sz="4" w:space="0" w:color="auto"/>
            </w:tcBorders>
            <w:noWrap/>
            <w:vAlign w:val="bottom"/>
            <w:hideMark/>
          </w:tcPr>
          <w:p w14:paraId="7F819E0C"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3,609</w:t>
            </w:r>
          </w:p>
        </w:tc>
        <w:tc>
          <w:tcPr>
            <w:tcW w:w="766" w:type="dxa"/>
            <w:tcBorders>
              <w:top w:val="nil"/>
              <w:left w:val="nil"/>
              <w:bottom w:val="single" w:sz="4" w:space="0" w:color="auto"/>
              <w:right w:val="single" w:sz="4" w:space="0" w:color="auto"/>
            </w:tcBorders>
            <w:noWrap/>
            <w:vAlign w:val="bottom"/>
            <w:hideMark/>
          </w:tcPr>
          <w:p w14:paraId="2A9941C6"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656</w:t>
            </w:r>
          </w:p>
        </w:tc>
        <w:tc>
          <w:tcPr>
            <w:tcW w:w="866" w:type="dxa"/>
            <w:tcBorders>
              <w:top w:val="nil"/>
              <w:left w:val="nil"/>
              <w:bottom w:val="single" w:sz="4" w:space="0" w:color="auto"/>
              <w:right w:val="single" w:sz="4" w:space="0" w:color="auto"/>
            </w:tcBorders>
            <w:noWrap/>
            <w:vAlign w:val="bottom"/>
            <w:hideMark/>
          </w:tcPr>
          <w:p w14:paraId="547D15E1"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22,413</w:t>
            </w:r>
          </w:p>
        </w:tc>
        <w:tc>
          <w:tcPr>
            <w:tcW w:w="794" w:type="dxa"/>
            <w:tcBorders>
              <w:top w:val="nil"/>
              <w:left w:val="nil"/>
              <w:bottom w:val="single" w:sz="4" w:space="0" w:color="auto"/>
              <w:right w:val="single" w:sz="4" w:space="0" w:color="auto"/>
            </w:tcBorders>
            <w:noWrap/>
            <w:vAlign w:val="bottom"/>
            <w:hideMark/>
          </w:tcPr>
          <w:p w14:paraId="5DBD477B"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4,075</w:t>
            </w:r>
          </w:p>
        </w:tc>
        <w:tc>
          <w:tcPr>
            <w:tcW w:w="766" w:type="dxa"/>
            <w:tcBorders>
              <w:top w:val="nil"/>
              <w:left w:val="nil"/>
              <w:bottom w:val="single" w:sz="4" w:space="0" w:color="auto"/>
              <w:right w:val="single" w:sz="4" w:space="0" w:color="auto"/>
            </w:tcBorders>
            <w:noWrap/>
            <w:vAlign w:val="bottom"/>
            <w:hideMark/>
          </w:tcPr>
          <w:p w14:paraId="416C255B"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2,975</w:t>
            </w:r>
          </w:p>
        </w:tc>
        <w:tc>
          <w:tcPr>
            <w:tcW w:w="794" w:type="dxa"/>
            <w:tcBorders>
              <w:top w:val="nil"/>
              <w:left w:val="nil"/>
              <w:bottom w:val="single" w:sz="4" w:space="0" w:color="auto"/>
              <w:right w:val="single" w:sz="4" w:space="0" w:color="auto"/>
            </w:tcBorders>
            <w:noWrap/>
            <w:vAlign w:val="bottom"/>
            <w:hideMark/>
          </w:tcPr>
          <w:p w14:paraId="6CE1EE92"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541</w:t>
            </w:r>
          </w:p>
        </w:tc>
      </w:tr>
      <w:tr w:rsidR="00F16EB8" w:rsidRPr="00B63409" w14:paraId="2FB181DB" w14:textId="77777777" w:rsidTr="00BE6FF5">
        <w:trPr>
          <w:trHeight w:val="300"/>
        </w:trPr>
        <w:tc>
          <w:tcPr>
            <w:tcW w:w="1525" w:type="dxa"/>
            <w:vMerge/>
            <w:tcBorders>
              <w:top w:val="nil"/>
              <w:left w:val="single" w:sz="4" w:space="0" w:color="auto"/>
              <w:bottom w:val="single" w:sz="4" w:space="0" w:color="000000"/>
              <w:right w:val="single" w:sz="4" w:space="0" w:color="auto"/>
            </w:tcBorders>
            <w:vAlign w:val="center"/>
            <w:hideMark/>
          </w:tcPr>
          <w:p w14:paraId="7CEEDD8C" w14:textId="77777777" w:rsidR="00F16EB8" w:rsidRPr="00B63409" w:rsidRDefault="00F16EB8" w:rsidP="00BE6FF5">
            <w:pPr>
              <w:rPr>
                <w:rFonts w:asciiTheme="minorHAnsi" w:hAnsiTheme="minorHAnsi" w:cstheme="minorHAnsi"/>
                <w:color w:val="000000"/>
                <w:sz w:val="18"/>
                <w:szCs w:val="18"/>
                <w:lang w:val="en-GB" w:eastAsia="en-GB"/>
              </w:rPr>
            </w:pPr>
          </w:p>
        </w:tc>
        <w:tc>
          <w:tcPr>
            <w:tcW w:w="680" w:type="dxa"/>
            <w:tcBorders>
              <w:top w:val="nil"/>
              <w:left w:val="nil"/>
              <w:bottom w:val="single" w:sz="4" w:space="0" w:color="auto"/>
              <w:right w:val="single" w:sz="4" w:space="0" w:color="auto"/>
            </w:tcBorders>
            <w:vAlign w:val="center"/>
            <w:hideMark/>
          </w:tcPr>
          <w:p w14:paraId="72B642C9"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CB</w:t>
            </w:r>
          </w:p>
        </w:tc>
        <w:tc>
          <w:tcPr>
            <w:tcW w:w="993" w:type="dxa"/>
            <w:tcBorders>
              <w:top w:val="nil"/>
              <w:left w:val="nil"/>
              <w:bottom w:val="single" w:sz="4" w:space="0" w:color="auto"/>
              <w:right w:val="single" w:sz="4" w:space="0" w:color="auto"/>
            </w:tcBorders>
            <w:noWrap/>
            <w:vAlign w:val="bottom"/>
            <w:hideMark/>
          </w:tcPr>
          <w:p w14:paraId="552D0DD5"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44,148</w:t>
            </w:r>
          </w:p>
        </w:tc>
        <w:tc>
          <w:tcPr>
            <w:tcW w:w="887" w:type="dxa"/>
            <w:tcBorders>
              <w:top w:val="nil"/>
              <w:left w:val="nil"/>
              <w:bottom w:val="single" w:sz="4" w:space="0" w:color="auto"/>
              <w:right w:val="single" w:sz="4" w:space="0" w:color="auto"/>
            </w:tcBorders>
            <w:noWrap/>
            <w:vAlign w:val="bottom"/>
            <w:hideMark/>
          </w:tcPr>
          <w:p w14:paraId="3C78851D"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7,371</w:t>
            </w:r>
          </w:p>
        </w:tc>
        <w:tc>
          <w:tcPr>
            <w:tcW w:w="866" w:type="dxa"/>
            <w:tcBorders>
              <w:top w:val="nil"/>
              <w:left w:val="nil"/>
              <w:bottom w:val="single" w:sz="4" w:space="0" w:color="auto"/>
              <w:right w:val="single" w:sz="4" w:space="0" w:color="auto"/>
            </w:tcBorders>
            <w:noWrap/>
            <w:vAlign w:val="bottom"/>
            <w:hideMark/>
          </w:tcPr>
          <w:p w14:paraId="7697701D"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15,151</w:t>
            </w:r>
          </w:p>
        </w:tc>
        <w:tc>
          <w:tcPr>
            <w:tcW w:w="794" w:type="dxa"/>
            <w:tcBorders>
              <w:top w:val="nil"/>
              <w:left w:val="nil"/>
              <w:bottom w:val="single" w:sz="4" w:space="0" w:color="auto"/>
              <w:right w:val="single" w:sz="4" w:space="0" w:color="auto"/>
            </w:tcBorders>
            <w:noWrap/>
            <w:vAlign w:val="bottom"/>
            <w:hideMark/>
          </w:tcPr>
          <w:p w14:paraId="2AB50CC9"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2,755</w:t>
            </w:r>
          </w:p>
        </w:tc>
        <w:tc>
          <w:tcPr>
            <w:tcW w:w="766" w:type="dxa"/>
            <w:tcBorders>
              <w:top w:val="nil"/>
              <w:left w:val="nil"/>
              <w:bottom w:val="single" w:sz="4" w:space="0" w:color="auto"/>
              <w:right w:val="single" w:sz="4" w:space="0" w:color="auto"/>
            </w:tcBorders>
            <w:noWrap/>
            <w:vAlign w:val="bottom"/>
            <w:hideMark/>
          </w:tcPr>
          <w:p w14:paraId="7EB8456B"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3,609</w:t>
            </w:r>
          </w:p>
        </w:tc>
        <w:tc>
          <w:tcPr>
            <w:tcW w:w="766" w:type="dxa"/>
            <w:tcBorders>
              <w:top w:val="nil"/>
              <w:left w:val="nil"/>
              <w:bottom w:val="single" w:sz="4" w:space="0" w:color="auto"/>
              <w:right w:val="single" w:sz="4" w:space="0" w:color="auto"/>
            </w:tcBorders>
            <w:noWrap/>
            <w:vAlign w:val="bottom"/>
            <w:hideMark/>
          </w:tcPr>
          <w:p w14:paraId="7E4C283B"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656</w:t>
            </w:r>
          </w:p>
        </w:tc>
        <w:tc>
          <w:tcPr>
            <w:tcW w:w="866" w:type="dxa"/>
            <w:tcBorders>
              <w:top w:val="nil"/>
              <w:left w:val="nil"/>
              <w:bottom w:val="single" w:sz="4" w:space="0" w:color="auto"/>
              <w:right w:val="single" w:sz="4" w:space="0" w:color="auto"/>
            </w:tcBorders>
            <w:noWrap/>
            <w:vAlign w:val="bottom"/>
            <w:hideMark/>
          </w:tcPr>
          <w:p w14:paraId="4AB06422"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22,413</w:t>
            </w:r>
          </w:p>
        </w:tc>
        <w:tc>
          <w:tcPr>
            <w:tcW w:w="794" w:type="dxa"/>
            <w:tcBorders>
              <w:top w:val="nil"/>
              <w:left w:val="nil"/>
              <w:bottom w:val="single" w:sz="4" w:space="0" w:color="auto"/>
              <w:right w:val="single" w:sz="4" w:space="0" w:color="auto"/>
            </w:tcBorders>
            <w:noWrap/>
            <w:vAlign w:val="bottom"/>
            <w:hideMark/>
          </w:tcPr>
          <w:p w14:paraId="6BFE3A33"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4,075</w:t>
            </w:r>
          </w:p>
        </w:tc>
        <w:tc>
          <w:tcPr>
            <w:tcW w:w="766" w:type="dxa"/>
            <w:tcBorders>
              <w:top w:val="nil"/>
              <w:left w:val="nil"/>
              <w:bottom w:val="single" w:sz="4" w:space="0" w:color="auto"/>
              <w:right w:val="single" w:sz="4" w:space="0" w:color="auto"/>
            </w:tcBorders>
            <w:noWrap/>
            <w:vAlign w:val="bottom"/>
            <w:hideMark/>
          </w:tcPr>
          <w:p w14:paraId="130BAC2B"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2,975</w:t>
            </w:r>
          </w:p>
        </w:tc>
        <w:tc>
          <w:tcPr>
            <w:tcW w:w="794" w:type="dxa"/>
            <w:tcBorders>
              <w:top w:val="nil"/>
              <w:left w:val="nil"/>
              <w:bottom w:val="single" w:sz="4" w:space="0" w:color="auto"/>
              <w:right w:val="single" w:sz="4" w:space="0" w:color="auto"/>
            </w:tcBorders>
            <w:noWrap/>
            <w:vAlign w:val="bottom"/>
            <w:hideMark/>
          </w:tcPr>
          <w:p w14:paraId="41D8A7FE"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541</w:t>
            </w:r>
          </w:p>
        </w:tc>
      </w:tr>
      <w:tr w:rsidR="00F16EB8" w:rsidRPr="00B63409" w14:paraId="5586CF41" w14:textId="77777777" w:rsidTr="00BE6FF5">
        <w:trPr>
          <w:trHeight w:val="300"/>
        </w:trPr>
        <w:tc>
          <w:tcPr>
            <w:tcW w:w="1525" w:type="dxa"/>
            <w:vMerge w:val="restart"/>
            <w:tcBorders>
              <w:top w:val="nil"/>
              <w:left w:val="single" w:sz="4" w:space="0" w:color="auto"/>
              <w:bottom w:val="single" w:sz="4" w:space="0" w:color="000000"/>
              <w:right w:val="single" w:sz="4" w:space="0" w:color="auto"/>
            </w:tcBorders>
            <w:vAlign w:val="center"/>
            <w:hideMark/>
          </w:tcPr>
          <w:p w14:paraId="47CF8C72" w14:textId="77777777" w:rsidR="00F16EB8" w:rsidRPr="00B63409" w:rsidRDefault="00F16EB8" w:rsidP="00BE6FF5">
            <w:pPr>
              <w:rPr>
                <w:rFonts w:asciiTheme="minorHAnsi" w:hAnsiTheme="minorHAnsi" w:cstheme="minorHAnsi"/>
                <w:color w:val="000000"/>
                <w:sz w:val="18"/>
                <w:szCs w:val="18"/>
                <w:lang w:val="en-GB" w:eastAsia="en-GB"/>
              </w:rPr>
            </w:pPr>
            <w:proofErr w:type="spellStart"/>
            <w:r w:rsidRPr="00B63409">
              <w:rPr>
                <w:rFonts w:asciiTheme="minorHAnsi" w:hAnsiTheme="minorHAnsi" w:cstheme="minorHAnsi"/>
                <w:color w:val="000000"/>
                <w:sz w:val="18"/>
                <w:szCs w:val="18"/>
                <w:lang w:val="en-GB" w:eastAsia="en-GB"/>
              </w:rPr>
              <w:t>Transferuri</w:t>
            </w:r>
            <w:proofErr w:type="spellEnd"/>
          </w:p>
        </w:tc>
        <w:tc>
          <w:tcPr>
            <w:tcW w:w="680" w:type="dxa"/>
            <w:tcBorders>
              <w:top w:val="nil"/>
              <w:left w:val="nil"/>
              <w:bottom w:val="single" w:sz="4" w:space="0" w:color="auto"/>
              <w:right w:val="single" w:sz="4" w:space="0" w:color="auto"/>
            </w:tcBorders>
            <w:vAlign w:val="center"/>
            <w:hideMark/>
          </w:tcPr>
          <w:p w14:paraId="004BBBBF"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CA</w:t>
            </w:r>
          </w:p>
        </w:tc>
        <w:tc>
          <w:tcPr>
            <w:tcW w:w="993" w:type="dxa"/>
            <w:tcBorders>
              <w:top w:val="nil"/>
              <w:left w:val="nil"/>
              <w:bottom w:val="single" w:sz="4" w:space="0" w:color="auto"/>
              <w:right w:val="single" w:sz="4" w:space="0" w:color="auto"/>
            </w:tcBorders>
            <w:noWrap/>
            <w:vAlign w:val="bottom"/>
            <w:hideMark/>
          </w:tcPr>
          <w:p w14:paraId="746E490D"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887" w:type="dxa"/>
            <w:tcBorders>
              <w:top w:val="nil"/>
              <w:left w:val="nil"/>
              <w:bottom w:val="single" w:sz="4" w:space="0" w:color="auto"/>
              <w:right w:val="single" w:sz="4" w:space="0" w:color="auto"/>
            </w:tcBorders>
            <w:noWrap/>
            <w:vAlign w:val="bottom"/>
            <w:hideMark/>
          </w:tcPr>
          <w:p w14:paraId="45F5808B"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866" w:type="dxa"/>
            <w:tcBorders>
              <w:top w:val="nil"/>
              <w:left w:val="nil"/>
              <w:bottom w:val="single" w:sz="4" w:space="0" w:color="auto"/>
              <w:right w:val="single" w:sz="4" w:space="0" w:color="auto"/>
            </w:tcBorders>
            <w:noWrap/>
            <w:vAlign w:val="bottom"/>
            <w:hideMark/>
          </w:tcPr>
          <w:p w14:paraId="76513048"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94" w:type="dxa"/>
            <w:tcBorders>
              <w:top w:val="nil"/>
              <w:left w:val="nil"/>
              <w:bottom w:val="single" w:sz="4" w:space="0" w:color="auto"/>
              <w:right w:val="single" w:sz="4" w:space="0" w:color="auto"/>
            </w:tcBorders>
            <w:noWrap/>
            <w:vAlign w:val="bottom"/>
            <w:hideMark/>
          </w:tcPr>
          <w:p w14:paraId="23B6278E"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66" w:type="dxa"/>
            <w:tcBorders>
              <w:top w:val="nil"/>
              <w:left w:val="nil"/>
              <w:bottom w:val="single" w:sz="4" w:space="0" w:color="auto"/>
              <w:right w:val="single" w:sz="4" w:space="0" w:color="auto"/>
            </w:tcBorders>
            <w:noWrap/>
            <w:vAlign w:val="bottom"/>
            <w:hideMark/>
          </w:tcPr>
          <w:p w14:paraId="1E182D8F"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66" w:type="dxa"/>
            <w:tcBorders>
              <w:top w:val="nil"/>
              <w:left w:val="nil"/>
              <w:bottom w:val="single" w:sz="4" w:space="0" w:color="auto"/>
              <w:right w:val="single" w:sz="4" w:space="0" w:color="auto"/>
            </w:tcBorders>
            <w:noWrap/>
            <w:vAlign w:val="bottom"/>
            <w:hideMark/>
          </w:tcPr>
          <w:p w14:paraId="2098788E"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866" w:type="dxa"/>
            <w:tcBorders>
              <w:top w:val="nil"/>
              <w:left w:val="nil"/>
              <w:bottom w:val="single" w:sz="4" w:space="0" w:color="auto"/>
              <w:right w:val="single" w:sz="4" w:space="0" w:color="auto"/>
            </w:tcBorders>
            <w:noWrap/>
            <w:vAlign w:val="bottom"/>
            <w:hideMark/>
          </w:tcPr>
          <w:p w14:paraId="14559C81"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94" w:type="dxa"/>
            <w:tcBorders>
              <w:top w:val="nil"/>
              <w:left w:val="nil"/>
              <w:bottom w:val="single" w:sz="4" w:space="0" w:color="auto"/>
              <w:right w:val="single" w:sz="4" w:space="0" w:color="auto"/>
            </w:tcBorders>
            <w:noWrap/>
            <w:vAlign w:val="bottom"/>
            <w:hideMark/>
          </w:tcPr>
          <w:p w14:paraId="3361CE31"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66" w:type="dxa"/>
            <w:tcBorders>
              <w:top w:val="nil"/>
              <w:left w:val="nil"/>
              <w:bottom w:val="single" w:sz="4" w:space="0" w:color="auto"/>
              <w:right w:val="single" w:sz="4" w:space="0" w:color="auto"/>
            </w:tcBorders>
            <w:noWrap/>
            <w:vAlign w:val="bottom"/>
            <w:hideMark/>
          </w:tcPr>
          <w:p w14:paraId="4A2FF2A9"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94" w:type="dxa"/>
            <w:tcBorders>
              <w:top w:val="nil"/>
              <w:left w:val="nil"/>
              <w:bottom w:val="single" w:sz="4" w:space="0" w:color="auto"/>
              <w:right w:val="single" w:sz="4" w:space="0" w:color="auto"/>
            </w:tcBorders>
            <w:noWrap/>
            <w:vAlign w:val="bottom"/>
            <w:hideMark/>
          </w:tcPr>
          <w:p w14:paraId="2C7D1476"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r>
      <w:tr w:rsidR="00F16EB8" w:rsidRPr="00B63409" w14:paraId="47E036A6" w14:textId="77777777" w:rsidTr="00BE6FF5">
        <w:trPr>
          <w:trHeight w:val="300"/>
        </w:trPr>
        <w:tc>
          <w:tcPr>
            <w:tcW w:w="1525" w:type="dxa"/>
            <w:vMerge/>
            <w:tcBorders>
              <w:top w:val="nil"/>
              <w:left w:val="single" w:sz="4" w:space="0" w:color="auto"/>
              <w:bottom w:val="single" w:sz="4" w:space="0" w:color="000000"/>
              <w:right w:val="single" w:sz="4" w:space="0" w:color="auto"/>
            </w:tcBorders>
            <w:vAlign w:val="center"/>
            <w:hideMark/>
          </w:tcPr>
          <w:p w14:paraId="2FC9C908" w14:textId="77777777" w:rsidR="00F16EB8" w:rsidRPr="00B63409" w:rsidRDefault="00F16EB8" w:rsidP="00BE6FF5">
            <w:pPr>
              <w:rPr>
                <w:rFonts w:asciiTheme="minorHAnsi" w:hAnsiTheme="minorHAnsi" w:cstheme="minorHAnsi"/>
                <w:color w:val="000000"/>
                <w:sz w:val="18"/>
                <w:szCs w:val="18"/>
                <w:lang w:val="en-GB" w:eastAsia="en-GB"/>
              </w:rPr>
            </w:pPr>
          </w:p>
        </w:tc>
        <w:tc>
          <w:tcPr>
            <w:tcW w:w="680" w:type="dxa"/>
            <w:tcBorders>
              <w:top w:val="nil"/>
              <w:left w:val="nil"/>
              <w:bottom w:val="single" w:sz="4" w:space="0" w:color="auto"/>
              <w:right w:val="single" w:sz="4" w:space="0" w:color="auto"/>
            </w:tcBorders>
            <w:vAlign w:val="center"/>
            <w:hideMark/>
          </w:tcPr>
          <w:p w14:paraId="6B31F844"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CB</w:t>
            </w:r>
          </w:p>
        </w:tc>
        <w:tc>
          <w:tcPr>
            <w:tcW w:w="993" w:type="dxa"/>
            <w:tcBorders>
              <w:top w:val="nil"/>
              <w:left w:val="nil"/>
              <w:bottom w:val="single" w:sz="4" w:space="0" w:color="auto"/>
              <w:right w:val="single" w:sz="4" w:space="0" w:color="auto"/>
            </w:tcBorders>
            <w:noWrap/>
            <w:vAlign w:val="bottom"/>
            <w:hideMark/>
          </w:tcPr>
          <w:p w14:paraId="770E4A07"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887" w:type="dxa"/>
            <w:tcBorders>
              <w:top w:val="nil"/>
              <w:left w:val="nil"/>
              <w:bottom w:val="single" w:sz="4" w:space="0" w:color="auto"/>
              <w:right w:val="single" w:sz="4" w:space="0" w:color="auto"/>
            </w:tcBorders>
            <w:noWrap/>
            <w:vAlign w:val="bottom"/>
            <w:hideMark/>
          </w:tcPr>
          <w:p w14:paraId="7A3ADC29"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866" w:type="dxa"/>
            <w:tcBorders>
              <w:top w:val="nil"/>
              <w:left w:val="nil"/>
              <w:bottom w:val="single" w:sz="4" w:space="0" w:color="auto"/>
              <w:right w:val="single" w:sz="4" w:space="0" w:color="auto"/>
            </w:tcBorders>
            <w:noWrap/>
            <w:vAlign w:val="bottom"/>
            <w:hideMark/>
          </w:tcPr>
          <w:p w14:paraId="3F1D0735"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94" w:type="dxa"/>
            <w:tcBorders>
              <w:top w:val="nil"/>
              <w:left w:val="nil"/>
              <w:bottom w:val="single" w:sz="4" w:space="0" w:color="auto"/>
              <w:right w:val="single" w:sz="4" w:space="0" w:color="auto"/>
            </w:tcBorders>
            <w:noWrap/>
            <w:vAlign w:val="bottom"/>
            <w:hideMark/>
          </w:tcPr>
          <w:p w14:paraId="57AA4EE6"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66" w:type="dxa"/>
            <w:tcBorders>
              <w:top w:val="nil"/>
              <w:left w:val="nil"/>
              <w:bottom w:val="single" w:sz="4" w:space="0" w:color="auto"/>
              <w:right w:val="single" w:sz="4" w:space="0" w:color="auto"/>
            </w:tcBorders>
            <w:noWrap/>
            <w:vAlign w:val="bottom"/>
            <w:hideMark/>
          </w:tcPr>
          <w:p w14:paraId="3BA1B4CE"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66" w:type="dxa"/>
            <w:tcBorders>
              <w:top w:val="nil"/>
              <w:left w:val="nil"/>
              <w:bottom w:val="single" w:sz="4" w:space="0" w:color="auto"/>
              <w:right w:val="single" w:sz="4" w:space="0" w:color="auto"/>
            </w:tcBorders>
            <w:noWrap/>
            <w:vAlign w:val="bottom"/>
            <w:hideMark/>
          </w:tcPr>
          <w:p w14:paraId="45A22837"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866" w:type="dxa"/>
            <w:tcBorders>
              <w:top w:val="nil"/>
              <w:left w:val="nil"/>
              <w:bottom w:val="single" w:sz="4" w:space="0" w:color="auto"/>
              <w:right w:val="single" w:sz="4" w:space="0" w:color="auto"/>
            </w:tcBorders>
            <w:noWrap/>
            <w:vAlign w:val="bottom"/>
            <w:hideMark/>
          </w:tcPr>
          <w:p w14:paraId="78ED969A"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94" w:type="dxa"/>
            <w:tcBorders>
              <w:top w:val="nil"/>
              <w:left w:val="nil"/>
              <w:bottom w:val="single" w:sz="4" w:space="0" w:color="auto"/>
              <w:right w:val="single" w:sz="4" w:space="0" w:color="auto"/>
            </w:tcBorders>
            <w:noWrap/>
            <w:vAlign w:val="bottom"/>
            <w:hideMark/>
          </w:tcPr>
          <w:p w14:paraId="4DB77CDE"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66" w:type="dxa"/>
            <w:tcBorders>
              <w:top w:val="nil"/>
              <w:left w:val="nil"/>
              <w:bottom w:val="single" w:sz="4" w:space="0" w:color="auto"/>
              <w:right w:val="single" w:sz="4" w:space="0" w:color="auto"/>
            </w:tcBorders>
            <w:noWrap/>
            <w:vAlign w:val="bottom"/>
            <w:hideMark/>
          </w:tcPr>
          <w:p w14:paraId="133E3248"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94" w:type="dxa"/>
            <w:tcBorders>
              <w:top w:val="nil"/>
              <w:left w:val="nil"/>
              <w:bottom w:val="single" w:sz="4" w:space="0" w:color="auto"/>
              <w:right w:val="single" w:sz="4" w:space="0" w:color="auto"/>
            </w:tcBorders>
            <w:noWrap/>
            <w:vAlign w:val="bottom"/>
            <w:hideMark/>
          </w:tcPr>
          <w:p w14:paraId="541BC1A2"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r>
      <w:tr w:rsidR="00F16EB8" w:rsidRPr="00B63409" w14:paraId="064A151C" w14:textId="77777777" w:rsidTr="00BE6FF5">
        <w:trPr>
          <w:trHeight w:val="300"/>
        </w:trPr>
        <w:tc>
          <w:tcPr>
            <w:tcW w:w="1525" w:type="dxa"/>
            <w:vMerge w:val="restart"/>
            <w:tcBorders>
              <w:top w:val="nil"/>
              <w:left w:val="single" w:sz="4" w:space="0" w:color="auto"/>
              <w:bottom w:val="single" w:sz="4" w:space="0" w:color="000000"/>
              <w:right w:val="single" w:sz="4" w:space="0" w:color="auto"/>
            </w:tcBorders>
            <w:vAlign w:val="center"/>
            <w:hideMark/>
          </w:tcPr>
          <w:p w14:paraId="7F9D4D20"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 xml:space="preserve">Alte </w:t>
            </w:r>
            <w:proofErr w:type="spellStart"/>
            <w:r w:rsidRPr="00B63409">
              <w:rPr>
                <w:rFonts w:asciiTheme="minorHAnsi" w:hAnsiTheme="minorHAnsi" w:cstheme="minorHAnsi"/>
                <w:color w:val="000000"/>
                <w:sz w:val="18"/>
                <w:szCs w:val="18"/>
                <w:lang w:val="en-GB" w:eastAsia="en-GB"/>
              </w:rPr>
              <w:t>transferuri</w:t>
            </w:r>
            <w:proofErr w:type="spellEnd"/>
          </w:p>
        </w:tc>
        <w:tc>
          <w:tcPr>
            <w:tcW w:w="680" w:type="dxa"/>
            <w:tcBorders>
              <w:top w:val="nil"/>
              <w:left w:val="nil"/>
              <w:bottom w:val="single" w:sz="4" w:space="0" w:color="auto"/>
              <w:right w:val="single" w:sz="4" w:space="0" w:color="auto"/>
            </w:tcBorders>
            <w:vAlign w:val="center"/>
            <w:hideMark/>
          </w:tcPr>
          <w:p w14:paraId="50A4C820"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CA</w:t>
            </w:r>
          </w:p>
        </w:tc>
        <w:tc>
          <w:tcPr>
            <w:tcW w:w="993" w:type="dxa"/>
            <w:tcBorders>
              <w:top w:val="nil"/>
              <w:left w:val="nil"/>
              <w:bottom w:val="single" w:sz="4" w:space="0" w:color="auto"/>
              <w:right w:val="single" w:sz="4" w:space="0" w:color="auto"/>
            </w:tcBorders>
            <w:noWrap/>
            <w:vAlign w:val="bottom"/>
            <w:hideMark/>
          </w:tcPr>
          <w:p w14:paraId="5C9E4512"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162</w:t>
            </w:r>
          </w:p>
        </w:tc>
        <w:tc>
          <w:tcPr>
            <w:tcW w:w="887" w:type="dxa"/>
            <w:tcBorders>
              <w:top w:val="nil"/>
              <w:left w:val="nil"/>
              <w:bottom w:val="single" w:sz="4" w:space="0" w:color="auto"/>
              <w:right w:val="single" w:sz="4" w:space="0" w:color="auto"/>
            </w:tcBorders>
            <w:noWrap/>
            <w:vAlign w:val="bottom"/>
            <w:hideMark/>
          </w:tcPr>
          <w:p w14:paraId="3ECCAE63"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24</w:t>
            </w:r>
          </w:p>
        </w:tc>
        <w:tc>
          <w:tcPr>
            <w:tcW w:w="866" w:type="dxa"/>
            <w:tcBorders>
              <w:top w:val="nil"/>
              <w:left w:val="nil"/>
              <w:bottom w:val="single" w:sz="4" w:space="0" w:color="auto"/>
              <w:right w:val="single" w:sz="4" w:space="0" w:color="auto"/>
            </w:tcBorders>
            <w:noWrap/>
            <w:vAlign w:val="bottom"/>
            <w:hideMark/>
          </w:tcPr>
          <w:p w14:paraId="4D4AE68D"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52</w:t>
            </w:r>
          </w:p>
        </w:tc>
        <w:tc>
          <w:tcPr>
            <w:tcW w:w="794" w:type="dxa"/>
            <w:tcBorders>
              <w:top w:val="nil"/>
              <w:left w:val="nil"/>
              <w:bottom w:val="single" w:sz="4" w:space="0" w:color="auto"/>
              <w:right w:val="single" w:sz="4" w:space="0" w:color="auto"/>
            </w:tcBorders>
            <w:noWrap/>
            <w:vAlign w:val="bottom"/>
            <w:hideMark/>
          </w:tcPr>
          <w:p w14:paraId="4D7BA037"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9</w:t>
            </w:r>
          </w:p>
        </w:tc>
        <w:tc>
          <w:tcPr>
            <w:tcW w:w="766" w:type="dxa"/>
            <w:tcBorders>
              <w:top w:val="nil"/>
              <w:left w:val="nil"/>
              <w:bottom w:val="single" w:sz="4" w:space="0" w:color="auto"/>
              <w:right w:val="single" w:sz="4" w:space="0" w:color="auto"/>
            </w:tcBorders>
            <w:noWrap/>
            <w:vAlign w:val="bottom"/>
            <w:hideMark/>
          </w:tcPr>
          <w:p w14:paraId="1ABE3486"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26</w:t>
            </w:r>
          </w:p>
        </w:tc>
        <w:tc>
          <w:tcPr>
            <w:tcW w:w="766" w:type="dxa"/>
            <w:tcBorders>
              <w:top w:val="nil"/>
              <w:left w:val="nil"/>
              <w:bottom w:val="single" w:sz="4" w:space="0" w:color="auto"/>
              <w:right w:val="single" w:sz="4" w:space="0" w:color="auto"/>
            </w:tcBorders>
            <w:noWrap/>
            <w:vAlign w:val="bottom"/>
            <w:hideMark/>
          </w:tcPr>
          <w:p w14:paraId="0DF1CAA8"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w:t>
            </w:r>
          </w:p>
        </w:tc>
        <w:tc>
          <w:tcPr>
            <w:tcW w:w="866" w:type="dxa"/>
            <w:tcBorders>
              <w:top w:val="nil"/>
              <w:left w:val="nil"/>
              <w:bottom w:val="single" w:sz="4" w:space="0" w:color="auto"/>
              <w:right w:val="single" w:sz="4" w:space="0" w:color="auto"/>
            </w:tcBorders>
            <w:noWrap/>
            <w:vAlign w:val="bottom"/>
            <w:hideMark/>
          </w:tcPr>
          <w:p w14:paraId="0FF83792"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84</w:t>
            </w:r>
          </w:p>
        </w:tc>
        <w:tc>
          <w:tcPr>
            <w:tcW w:w="794" w:type="dxa"/>
            <w:tcBorders>
              <w:top w:val="nil"/>
              <w:left w:val="nil"/>
              <w:bottom w:val="single" w:sz="4" w:space="0" w:color="auto"/>
              <w:right w:val="single" w:sz="4" w:space="0" w:color="auto"/>
            </w:tcBorders>
            <w:noWrap/>
            <w:vAlign w:val="bottom"/>
            <w:hideMark/>
          </w:tcPr>
          <w:p w14:paraId="407899C8"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15</w:t>
            </w:r>
          </w:p>
        </w:tc>
        <w:tc>
          <w:tcPr>
            <w:tcW w:w="766" w:type="dxa"/>
            <w:tcBorders>
              <w:top w:val="nil"/>
              <w:left w:val="nil"/>
              <w:bottom w:val="single" w:sz="4" w:space="0" w:color="auto"/>
              <w:right w:val="single" w:sz="4" w:space="0" w:color="auto"/>
            </w:tcBorders>
            <w:noWrap/>
            <w:vAlign w:val="bottom"/>
            <w:hideMark/>
          </w:tcPr>
          <w:p w14:paraId="6DB05AE8"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94" w:type="dxa"/>
            <w:tcBorders>
              <w:top w:val="nil"/>
              <w:left w:val="nil"/>
              <w:bottom w:val="single" w:sz="4" w:space="0" w:color="auto"/>
              <w:right w:val="single" w:sz="4" w:space="0" w:color="auto"/>
            </w:tcBorders>
            <w:noWrap/>
            <w:vAlign w:val="bottom"/>
            <w:hideMark/>
          </w:tcPr>
          <w:p w14:paraId="219C5A8A"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r>
      <w:tr w:rsidR="00F16EB8" w:rsidRPr="00B63409" w14:paraId="108DF1E4" w14:textId="77777777" w:rsidTr="00BE6FF5">
        <w:trPr>
          <w:trHeight w:val="300"/>
        </w:trPr>
        <w:tc>
          <w:tcPr>
            <w:tcW w:w="1525" w:type="dxa"/>
            <w:vMerge/>
            <w:tcBorders>
              <w:top w:val="nil"/>
              <w:left w:val="single" w:sz="4" w:space="0" w:color="auto"/>
              <w:bottom w:val="single" w:sz="4" w:space="0" w:color="000000"/>
              <w:right w:val="single" w:sz="4" w:space="0" w:color="auto"/>
            </w:tcBorders>
            <w:vAlign w:val="center"/>
            <w:hideMark/>
          </w:tcPr>
          <w:p w14:paraId="631896C1" w14:textId="77777777" w:rsidR="00F16EB8" w:rsidRPr="00B63409" w:rsidRDefault="00F16EB8" w:rsidP="00BE6FF5">
            <w:pPr>
              <w:rPr>
                <w:rFonts w:asciiTheme="minorHAnsi" w:hAnsiTheme="minorHAnsi" w:cstheme="minorHAnsi"/>
                <w:color w:val="000000"/>
                <w:sz w:val="18"/>
                <w:szCs w:val="18"/>
                <w:lang w:val="en-GB" w:eastAsia="en-GB"/>
              </w:rPr>
            </w:pPr>
          </w:p>
        </w:tc>
        <w:tc>
          <w:tcPr>
            <w:tcW w:w="680" w:type="dxa"/>
            <w:tcBorders>
              <w:top w:val="nil"/>
              <w:left w:val="nil"/>
              <w:bottom w:val="single" w:sz="4" w:space="0" w:color="auto"/>
              <w:right w:val="single" w:sz="4" w:space="0" w:color="auto"/>
            </w:tcBorders>
            <w:vAlign w:val="center"/>
            <w:hideMark/>
          </w:tcPr>
          <w:p w14:paraId="415C642C"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CB</w:t>
            </w:r>
          </w:p>
        </w:tc>
        <w:tc>
          <w:tcPr>
            <w:tcW w:w="993" w:type="dxa"/>
            <w:tcBorders>
              <w:top w:val="nil"/>
              <w:left w:val="nil"/>
              <w:bottom w:val="single" w:sz="4" w:space="0" w:color="auto"/>
              <w:right w:val="single" w:sz="4" w:space="0" w:color="auto"/>
            </w:tcBorders>
            <w:noWrap/>
            <w:vAlign w:val="bottom"/>
            <w:hideMark/>
          </w:tcPr>
          <w:p w14:paraId="107BC1B5"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162</w:t>
            </w:r>
          </w:p>
        </w:tc>
        <w:tc>
          <w:tcPr>
            <w:tcW w:w="887" w:type="dxa"/>
            <w:tcBorders>
              <w:top w:val="nil"/>
              <w:left w:val="nil"/>
              <w:bottom w:val="single" w:sz="4" w:space="0" w:color="auto"/>
              <w:right w:val="single" w:sz="4" w:space="0" w:color="auto"/>
            </w:tcBorders>
            <w:noWrap/>
            <w:vAlign w:val="bottom"/>
            <w:hideMark/>
          </w:tcPr>
          <w:p w14:paraId="76C2E86F"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24</w:t>
            </w:r>
          </w:p>
        </w:tc>
        <w:tc>
          <w:tcPr>
            <w:tcW w:w="866" w:type="dxa"/>
            <w:tcBorders>
              <w:top w:val="nil"/>
              <w:left w:val="nil"/>
              <w:bottom w:val="single" w:sz="4" w:space="0" w:color="auto"/>
              <w:right w:val="single" w:sz="4" w:space="0" w:color="auto"/>
            </w:tcBorders>
            <w:noWrap/>
            <w:vAlign w:val="bottom"/>
            <w:hideMark/>
          </w:tcPr>
          <w:p w14:paraId="2E5BE68F"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52</w:t>
            </w:r>
          </w:p>
        </w:tc>
        <w:tc>
          <w:tcPr>
            <w:tcW w:w="794" w:type="dxa"/>
            <w:tcBorders>
              <w:top w:val="nil"/>
              <w:left w:val="nil"/>
              <w:bottom w:val="single" w:sz="4" w:space="0" w:color="auto"/>
              <w:right w:val="single" w:sz="4" w:space="0" w:color="auto"/>
            </w:tcBorders>
            <w:noWrap/>
            <w:vAlign w:val="bottom"/>
            <w:hideMark/>
          </w:tcPr>
          <w:p w14:paraId="16A8B5B9"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9</w:t>
            </w:r>
          </w:p>
        </w:tc>
        <w:tc>
          <w:tcPr>
            <w:tcW w:w="766" w:type="dxa"/>
            <w:tcBorders>
              <w:top w:val="nil"/>
              <w:left w:val="nil"/>
              <w:bottom w:val="single" w:sz="4" w:space="0" w:color="auto"/>
              <w:right w:val="single" w:sz="4" w:space="0" w:color="auto"/>
            </w:tcBorders>
            <w:noWrap/>
            <w:vAlign w:val="bottom"/>
            <w:hideMark/>
          </w:tcPr>
          <w:p w14:paraId="61502F68"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26</w:t>
            </w:r>
          </w:p>
        </w:tc>
        <w:tc>
          <w:tcPr>
            <w:tcW w:w="766" w:type="dxa"/>
            <w:tcBorders>
              <w:top w:val="nil"/>
              <w:left w:val="nil"/>
              <w:bottom w:val="single" w:sz="4" w:space="0" w:color="auto"/>
              <w:right w:val="single" w:sz="4" w:space="0" w:color="auto"/>
            </w:tcBorders>
            <w:noWrap/>
            <w:vAlign w:val="bottom"/>
            <w:hideMark/>
          </w:tcPr>
          <w:p w14:paraId="5C378145"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w:t>
            </w:r>
          </w:p>
        </w:tc>
        <w:tc>
          <w:tcPr>
            <w:tcW w:w="866" w:type="dxa"/>
            <w:tcBorders>
              <w:top w:val="nil"/>
              <w:left w:val="nil"/>
              <w:bottom w:val="single" w:sz="4" w:space="0" w:color="auto"/>
              <w:right w:val="single" w:sz="4" w:space="0" w:color="auto"/>
            </w:tcBorders>
            <w:noWrap/>
            <w:vAlign w:val="bottom"/>
            <w:hideMark/>
          </w:tcPr>
          <w:p w14:paraId="586721C3"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84</w:t>
            </w:r>
          </w:p>
        </w:tc>
        <w:tc>
          <w:tcPr>
            <w:tcW w:w="794" w:type="dxa"/>
            <w:tcBorders>
              <w:top w:val="nil"/>
              <w:left w:val="nil"/>
              <w:bottom w:val="single" w:sz="4" w:space="0" w:color="auto"/>
              <w:right w:val="single" w:sz="4" w:space="0" w:color="auto"/>
            </w:tcBorders>
            <w:noWrap/>
            <w:vAlign w:val="bottom"/>
            <w:hideMark/>
          </w:tcPr>
          <w:p w14:paraId="07870CAF"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15</w:t>
            </w:r>
          </w:p>
        </w:tc>
        <w:tc>
          <w:tcPr>
            <w:tcW w:w="766" w:type="dxa"/>
            <w:tcBorders>
              <w:top w:val="nil"/>
              <w:left w:val="nil"/>
              <w:bottom w:val="single" w:sz="4" w:space="0" w:color="auto"/>
              <w:right w:val="single" w:sz="4" w:space="0" w:color="auto"/>
            </w:tcBorders>
            <w:noWrap/>
            <w:vAlign w:val="bottom"/>
            <w:hideMark/>
          </w:tcPr>
          <w:p w14:paraId="62FE5D0E"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94" w:type="dxa"/>
            <w:tcBorders>
              <w:top w:val="nil"/>
              <w:left w:val="nil"/>
              <w:bottom w:val="single" w:sz="4" w:space="0" w:color="auto"/>
              <w:right w:val="single" w:sz="4" w:space="0" w:color="auto"/>
            </w:tcBorders>
            <w:noWrap/>
            <w:vAlign w:val="bottom"/>
            <w:hideMark/>
          </w:tcPr>
          <w:p w14:paraId="5344C6DD"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r>
      <w:tr w:rsidR="00F16EB8" w:rsidRPr="00B63409" w14:paraId="42DAD988" w14:textId="77777777" w:rsidTr="00BE6FF5">
        <w:trPr>
          <w:trHeight w:val="300"/>
        </w:trPr>
        <w:tc>
          <w:tcPr>
            <w:tcW w:w="1525" w:type="dxa"/>
            <w:vMerge w:val="restart"/>
            <w:tcBorders>
              <w:top w:val="nil"/>
              <w:left w:val="single" w:sz="4" w:space="0" w:color="auto"/>
              <w:bottom w:val="single" w:sz="4" w:space="0" w:color="000000"/>
              <w:right w:val="single" w:sz="4" w:space="0" w:color="auto"/>
            </w:tcBorders>
            <w:vAlign w:val="center"/>
            <w:hideMark/>
          </w:tcPr>
          <w:p w14:paraId="308576FE" w14:textId="77777777" w:rsidR="00F16EB8" w:rsidRPr="007A322D" w:rsidRDefault="00F16EB8" w:rsidP="00BE6FF5">
            <w:pPr>
              <w:rPr>
                <w:rFonts w:asciiTheme="minorHAnsi" w:hAnsiTheme="minorHAnsi" w:cstheme="minorHAnsi"/>
                <w:color w:val="000000"/>
                <w:sz w:val="18"/>
                <w:szCs w:val="18"/>
                <w:lang w:val="fr-FR" w:eastAsia="en-GB"/>
              </w:rPr>
            </w:pPr>
            <w:proofErr w:type="spellStart"/>
            <w:r w:rsidRPr="007A322D">
              <w:rPr>
                <w:rFonts w:asciiTheme="minorHAnsi" w:hAnsiTheme="minorHAnsi" w:cstheme="minorHAnsi"/>
                <w:color w:val="000000"/>
                <w:sz w:val="18"/>
                <w:szCs w:val="18"/>
                <w:lang w:val="fr-FR" w:eastAsia="en-GB"/>
              </w:rPr>
              <w:t>Proiecte</w:t>
            </w:r>
            <w:proofErr w:type="spellEnd"/>
            <w:r w:rsidRPr="007A322D">
              <w:rPr>
                <w:rFonts w:asciiTheme="minorHAnsi" w:hAnsiTheme="minorHAnsi" w:cstheme="minorHAnsi"/>
                <w:color w:val="000000"/>
                <w:sz w:val="18"/>
                <w:szCs w:val="18"/>
                <w:lang w:val="fr-FR" w:eastAsia="en-GB"/>
              </w:rPr>
              <w:t xml:space="preserve"> </w:t>
            </w:r>
            <w:proofErr w:type="spellStart"/>
            <w:r w:rsidRPr="007A322D">
              <w:rPr>
                <w:rFonts w:asciiTheme="minorHAnsi" w:hAnsiTheme="minorHAnsi" w:cstheme="minorHAnsi"/>
                <w:color w:val="000000"/>
                <w:sz w:val="18"/>
                <w:szCs w:val="18"/>
                <w:lang w:val="fr-FR" w:eastAsia="en-GB"/>
              </w:rPr>
              <w:t>cu</w:t>
            </w:r>
            <w:proofErr w:type="spellEnd"/>
            <w:r w:rsidRPr="007A322D">
              <w:rPr>
                <w:rFonts w:asciiTheme="minorHAnsi" w:hAnsiTheme="minorHAnsi" w:cstheme="minorHAnsi"/>
                <w:color w:val="000000"/>
                <w:sz w:val="18"/>
                <w:szCs w:val="18"/>
                <w:lang w:val="fr-FR" w:eastAsia="en-GB"/>
              </w:rPr>
              <w:t xml:space="preserve"> </w:t>
            </w:r>
            <w:proofErr w:type="spellStart"/>
            <w:r w:rsidRPr="007A322D">
              <w:rPr>
                <w:rFonts w:asciiTheme="minorHAnsi" w:hAnsiTheme="minorHAnsi" w:cstheme="minorHAnsi"/>
                <w:color w:val="000000"/>
                <w:sz w:val="18"/>
                <w:szCs w:val="18"/>
                <w:lang w:val="fr-FR" w:eastAsia="en-GB"/>
              </w:rPr>
              <w:t>finanțare</w:t>
            </w:r>
            <w:proofErr w:type="spellEnd"/>
            <w:r w:rsidRPr="007A322D">
              <w:rPr>
                <w:rFonts w:asciiTheme="minorHAnsi" w:hAnsiTheme="minorHAnsi" w:cstheme="minorHAnsi"/>
                <w:color w:val="000000"/>
                <w:sz w:val="18"/>
                <w:szCs w:val="18"/>
                <w:lang w:val="fr-FR" w:eastAsia="en-GB"/>
              </w:rPr>
              <w:t xml:space="preserve"> </w:t>
            </w:r>
            <w:proofErr w:type="spellStart"/>
            <w:r w:rsidRPr="007A322D">
              <w:rPr>
                <w:rFonts w:asciiTheme="minorHAnsi" w:hAnsiTheme="minorHAnsi" w:cstheme="minorHAnsi"/>
                <w:color w:val="000000"/>
                <w:sz w:val="18"/>
                <w:szCs w:val="18"/>
                <w:lang w:val="fr-FR" w:eastAsia="en-GB"/>
              </w:rPr>
              <w:t>din</w:t>
            </w:r>
            <w:proofErr w:type="spellEnd"/>
            <w:r w:rsidRPr="007A322D">
              <w:rPr>
                <w:rFonts w:asciiTheme="minorHAnsi" w:hAnsiTheme="minorHAnsi" w:cstheme="minorHAnsi"/>
                <w:color w:val="000000"/>
                <w:sz w:val="18"/>
                <w:szCs w:val="18"/>
                <w:lang w:val="fr-FR" w:eastAsia="en-GB"/>
              </w:rPr>
              <w:t xml:space="preserve"> FEN </w:t>
            </w:r>
            <w:proofErr w:type="spellStart"/>
            <w:r w:rsidRPr="007A322D">
              <w:rPr>
                <w:rFonts w:asciiTheme="minorHAnsi" w:hAnsiTheme="minorHAnsi" w:cstheme="minorHAnsi"/>
                <w:color w:val="000000"/>
                <w:sz w:val="18"/>
                <w:szCs w:val="18"/>
                <w:lang w:val="fr-FR" w:eastAsia="en-GB"/>
              </w:rPr>
              <w:t>postaderare</w:t>
            </w:r>
            <w:proofErr w:type="spellEnd"/>
          </w:p>
        </w:tc>
        <w:tc>
          <w:tcPr>
            <w:tcW w:w="680" w:type="dxa"/>
            <w:tcBorders>
              <w:top w:val="nil"/>
              <w:left w:val="nil"/>
              <w:bottom w:val="single" w:sz="4" w:space="0" w:color="auto"/>
              <w:right w:val="single" w:sz="4" w:space="0" w:color="auto"/>
            </w:tcBorders>
            <w:vAlign w:val="center"/>
            <w:hideMark/>
          </w:tcPr>
          <w:p w14:paraId="0B32CCD6"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CA</w:t>
            </w:r>
          </w:p>
        </w:tc>
        <w:tc>
          <w:tcPr>
            <w:tcW w:w="993" w:type="dxa"/>
            <w:tcBorders>
              <w:top w:val="nil"/>
              <w:left w:val="nil"/>
              <w:bottom w:val="single" w:sz="4" w:space="0" w:color="auto"/>
              <w:right w:val="single" w:sz="4" w:space="0" w:color="auto"/>
            </w:tcBorders>
            <w:noWrap/>
            <w:vAlign w:val="bottom"/>
            <w:hideMark/>
          </w:tcPr>
          <w:p w14:paraId="36E8EA0F"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13,189</w:t>
            </w:r>
          </w:p>
        </w:tc>
        <w:tc>
          <w:tcPr>
            <w:tcW w:w="887" w:type="dxa"/>
            <w:tcBorders>
              <w:top w:val="nil"/>
              <w:left w:val="nil"/>
              <w:bottom w:val="single" w:sz="4" w:space="0" w:color="auto"/>
              <w:right w:val="single" w:sz="4" w:space="0" w:color="auto"/>
            </w:tcBorders>
            <w:noWrap/>
            <w:vAlign w:val="bottom"/>
            <w:hideMark/>
          </w:tcPr>
          <w:p w14:paraId="206823C2"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2,398</w:t>
            </w:r>
          </w:p>
        </w:tc>
        <w:tc>
          <w:tcPr>
            <w:tcW w:w="866" w:type="dxa"/>
            <w:tcBorders>
              <w:top w:val="nil"/>
              <w:left w:val="nil"/>
              <w:bottom w:val="single" w:sz="4" w:space="0" w:color="auto"/>
              <w:right w:val="single" w:sz="4" w:space="0" w:color="auto"/>
            </w:tcBorders>
            <w:noWrap/>
            <w:vAlign w:val="bottom"/>
            <w:hideMark/>
          </w:tcPr>
          <w:p w14:paraId="563088F1"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10,914</w:t>
            </w:r>
          </w:p>
        </w:tc>
        <w:tc>
          <w:tcPr>
            <w:tcW w:w="794" w:type="dxa"/>
            <w:tcBorders>
              <w:top w:val="nil"/>
              <w:left w:val="nil"/>
              <w:bottom w:val="single" w:sz="4" w:space="0" w:color="auto"/>
              <w:right w:val="single" w:sz="4" w:space="0" w:color="auto"/>
            </w:tcBorders>
            <w:noWrap/>
            <w:vAlign w:val="bottom"/>
            <w:hideMark/>
          </w:tcPr>
          <w:p w14:paraId="1F02599F"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1,984</w:t>
            </w:r>
          </w:p>
        </w:tc>
        <w:tc>
          <w:tcPr>
            <w:tcW w:w="766" w:type="dxa"/>
            <w:tcBorders>
              <w:top w:val="nil"/>
              <w:left w:val="nil"/>
              <w:bottom w:val="single" w:sz="4" w:space="0" w:color="auto"/>
              <w:right w:val="single" w:sz="4" w:space="0" w:color="auto"/>
            </w:tcBorders>
            <w:noWrap/>
            <w:vAlign w:val="bottom"/>
            <w:hideMark/>
          </w:tcPr>
          <w:p w14:paraId="3834FAF5"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66" w:type="dxa"/>
            <w:tcBorders>
              <w:top w:val="nil"/>
              <w:left w:val="nil"/>
              <w:bottom w:val="single" w:sz="4" w:space="0" w:color="auto"/>
              <w:right w:val="single" w:sz="4" w:space="0" w:color="auto"/>
            </w:tcBorders>
            <w:noWrap/>
            <w:vAlign w:val="bottom"/>
            <w:hideMark/>
          </w:tcPr>
          <w:p w14:paraId="638C6CCE"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866" w:type="dxa"/>
            <w:tcBorders>
              <w:top w:val="nil"/>
              <w:left w:val="nil"/>
              <w:bottom w:val="single" w:sz="4" w:space="0" w:color="auto"/>
              <w:right w:val="single" w:sz="4" w:space="0" w:color="auto"/>
            </w:tcBorders>
            <w:noWrap/>
            <w:vAlign w:val="bottom"/>
            <w:hideMark/>
          </w:tcPr>
          <w:p w14:paraId="1D3718F1"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2,154</w:t>
            </w:r>
          </w:p>
        </w:tc>
        <w:tc>
          <w:tcPr>
            <w:tcW w:w="794" w:type="dxa"/>
            <w:tcBorders>
              <w:top w:val="nil"/>
              <w:left w:val="nil"/>
              <w:bottom w:val="single" w:sz="4" w:space="0" w:color="auto"/>
              <w:right w:val="single" w:sz="4" w:space="0" w:color="auto"/>
            </w:tcBorders>
            <w:noWrap/>
            <w:vAlign w:val="bottom"/>
            <w:hideMark/>
          </w:tcPr>
          <w:p w14:paraId="65C4A3EC"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392</w:t>
            </w:r>
          </w:p>
        </w:tc>
        <w:tc>
          <w:tcPr>
            <w:tcW w:w="766" w:type="dxa"/>
            <w:tcBorders>
              <w:top w:val="nil"/>
              <w:left w:val="nil"/>
              <w:bottom w:val="single" w:sz="4" w:space="0" w:color="auto"/>
              <w:right w:val="single" w:sz="4" w:space="0" w:color="auto"/>
            </w:tcBorders>
            <w:noWrap/>
            <w:vAlign w:val="bottom"/>
            <w:hideMark/>
          </w:tcPr>
          <w:p w14:paraId="43D194C9"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121</w:t>
            </w:r>
          </w:p>
        </w:tc>
        <w:tc>
          <w:tcPr>
            <w:tcW w:w="794" w:type="dxa"/>
            <w:tcBorders>
              <w:top w:val="nil"/>
              <w:left w:val="nil"/>
              <w:bottom w:val="single" w:sz="4" w:space="0" w:color="auto"/>
              <w:right w:val="single" w:sz="4" w:space="0" w:color="auto"/>
            </w:tcBorders>
            <w:noWrap/>
            <w:vAlign w:val="bottom"/>
            <w:hideMark/>
          </w:tcPr>
          <w:p w14:paraId="5A45CD1E"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22</w:t>
            </w:r>
          </w:p>
        </w:tc>
      </w:tr>
      <w:tr w:rsidR="00F16EB8" w:rsidRPr="00B63409" w14:paraId="297A0ABB" w14:textId="77777777" w:rsidTr="00BE6FF5">
        <w:trPr>
          <w:trHeight w:val="300"/>
        </w:trPr>
        <w:tc>
          <w:tcPr>
            <w:tcW w:w="1525" w:type="dxa"/>
            <w:vMerge/>
            <w:tcBorders>
              <w:top w:val="nil"/>
              <w:left w:val="single" w:sz="4" w:space="0" w:color="auto"/>
              <w:bottom w:val="single" w:sz="4" w:space="0" w:color="000000"/>
              <w:right w:val="single" w:sz="4" w:space="0" w:color="auto"/>
            </w:tcBorders>
            <w:vAlign w:val="center"/>
            <w:hideMark/>
          </w:tcPr>
          <w:p w14:paraId="60D803E1" w14:textId="77777777" w:rsidR="00F16EB8" w:rsidRPr="00B63409" w:rsidRDefault="00F16EB8" w:rsidP="00BE6FF5">
            <w:pPr>
              <w:rPr>
                <w:rFonts w:asciiTheme="minorHAnsi" w:hAnsiTheme="minorHAnsi" w:cstheme="minorHAnsi"/>
                <w:color w:val="000000"/>
                <w:sz w:val="18"/>
                <w:szCs w:val="18"/>
                <w:lang w:val="en-GB" w:eastAsia="en-GB"/>
              </w:rPr>
            </w:pPr>
          </w:p>
        </w:tc>
        <w:tc>
          <w:tcPr>
            <w:tcW w:w="680" w:type="dxa"/>
            <w:tcBorders>
              <w:top w:val="nil"/>
              <w:left w:val="nil"/>
              <w:bottom w:val="single" w:sz="4" w:space="0" w:color="auto"/>
              <w:right w:val="single" w:sz="4" w:space="0" w:color="auto"/>
            </w:tcBorders>
            <w:vAlign w:val="center"/>
            <w:hideMark/>
          </w:tcPr>
          <w:p w14:paraId="5A19C7E5"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CB</w:t>
            </w:r>
          </w:p>
        </w:tc>
        <w:tc>
          <w:tcPr>
            <w:tcW w:w="993" w:type="dxa"/>
            <w:tcBorders>
              <w:top w:val="nil"/>
              <w:left w:val="nil"/>
              <w:bottom w:val="single" w:sz="4" w:space="0" w:color="auto"/>
              <w:right w:val="single" w:sz="4" w:space="0" w:color="auto"/>
            </w:tcBorders>
            <w:noWrap/>
            <w:vAlign w:val="bottom"/>
            <w:hideMark/>
          </w:tcPr>
          <w:p w14:paraId="2A169162"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5,563</w:t>
            </w:r>
          </w:p>
        </w:tc>
        <w:tc>
          <w:tcPr>
            <w:tcW w:w="887" w:type="dxa"/>
            <w:tcBorders>
              <w:top w:val="nil"/>
              <w:left w:val="nil"/>
              <w:bottom w:val="single" w:sz="4" w:space="0" w:color="auto"/>
              <w:right w:val="single" w:sz="4" w:space="0" w:color="auto"/>
            </w:tcBorders>
            <w:noWrap/>
            <w:vAlign w:val="bottom"/>
            <w:hideMark/>
          </w:tcPr>
          <w:p w14:paraId="3ED41360"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1,011</w:t>
            </w:r>
          </w:p>
        </w:tc>
        <w:tc>
          <w:tcPr>
            <w:tcW w:w="866" w:type="dxa"/>
            <w:tcBorders>
              <w:top w:val="nil"/>
              <w:left w:val="nil"/>
              <w:bottom w:val="single" w:sz="4" w:space="0" w:color="auto"/>
              <w:right w:val="single" w:sz="4" w:space="0" w:color="auto"/>
            </w:tcBorders>
            <w:noWrap/>
            <w:vAlign w:val="bottom"/>
            <w:hideMark/>
          </w:tcPr>
          <w:p w14:paraId="68F81B3F"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3,581</w:t>
            </w:r>
          </w:p>
        </w:tc>
        <w:tc>
          <w:tcPr>
            <w:tcW w:w="794" w:type="dxa"/>
            <w:tcBorders>
              <w:top w:val="nil"/>
              <w:left w:val="nil"/>
              <w:bottom w:val="single" w:sz="4" w:space="0" w:color="auto"/>
              <w:right w:val="single" w:sz="4" w:space="0" w:color="auto"/>
            </w:tcBorders>
            <w:noWrap/>
            <w:vAlign w:val="bottom"/>
            <w:hideMark/>
          </w:tcPr>
          <w:p w14:paraId="113A23C5"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651</w:t>
            </w:r>
          </w:p>
        </w:tc>
        <w:tc>
          <w:tcPr>
            <w:tcW w:w="766" w:type="dxa"/>
            <w:tcBorders>
              <w:top w:val="nil"/>
              <w:left w:val="nil"/>
              <w:bottom w:val="single" w:sz="4" w:space="0" w:color="auto"/>
              <w:right w:val="single" w:sz="4" w:space="0" w:color="auto"/>
            </w:tcBorders>
            <w:noWrap/>
            <w:vAlign w:val="bottom"/>
            <w:hideMark/>
          </w:tcPr>
          <w:p w14:paraId="7E7AF4E9"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66" w:type="dxa"/>
            <w:tcBorders>
              <w:top w:val="nil"/>
              <w:left w:val="nil"/>
              <w:bottom w:val="single" w:sz="4" w:space="0" w:color="auto"/>
              <w:right w:val="single" w:sz="4" w:space="0" w:color="auto"/>
            </w:tcBorders>
            <w:noWrap/>
            <w:vAlign w:val="bottom"/>
            <w:hideMark/>
          </w:tcPr>
          <w:p w14:paraId="4E127F43"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866" w:type="dxa"/>
            <w:tcBorders>
              <w:top w:val="nil"/>
              <w:left w:val="nil"/>
              <w:bottom w:val="single" w:sz="4" w:space="0" w:color="auto"/>
              <w:right w:val="single" w:sz="4" w:space="0" w:color="auto"/>
            </w:tcBorders>
            <w:noWrap/>
            <w:vAlign w:val="bottom"/>
            <w:hideMark/>
          </w:tcPr>
          <w:p w14:paraId="36A9077B"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1,861</w:t>
            </w:r>
          </w:p>
        </w:tc>
        <w:tc>
          <w:tcPr>
            <w:tcW w:w="794" w:type="dxa"/>
            <w:tcBorders>
              <w:top w:val="nil"/>
              <w:left w:val="nil"/>
              <w:bottom w:val="single" w:sz="4" w:space="0" w:color="auto"/>
              <w:right w:val="single" w:sz="4" w:space="0" w:color="auto"/>
            </w:tcBorders>
            <w:noWrap/>
            <w:vAlign w:val="bottom"/>
            <w:hideMark/>
          </w:tcPr>
          <w:p w14:paraId="0D90C0DE"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338</w:t>
            </w:r>
          </w:p>
        </w:tc>
        <w:tc>
          <w:tcPr>
            <w:tcW w:w="766" w:type="dxa"/>
            <w:tcBorders>
              <w:top w:val="nil"/>
              <w:left w:val="nil"/>
              <w:bottom w:val="single" w:sz="4" w:space="0" w:color="auto"/>
              <w:right w:val="single" w:sz="4" w:space="0" w:color="auto"/>
            </w:tcBorders>
            <w:noWrap/>
            <w:vAlign w:val="bottom"/>
            <w:hideMark/>
          </w:tcPr>
          <w:p w14:paraId="0543CD8F"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121</w:t>
            </w:r>
          </w:p>
        </w:tc>
        <w:tc>
          <w:tcPr>
            <w:tcW w:w="794" w:type="dxa"/>
            <w:tcBorders>
              <w:top w:val="nil"/>
              <w:left w:val="nil"/>
              <w:bottom w:val="single" w:sz="4" w:space="0" w:color="auto"/>
              <w:right w:val="single" w:sz="4" w:space="0" w:color="auto"/>
            </w:tcBorders>
            <w:noWrap/>
            <w:vAlign w:val="bottom"/>
            <w:hideMark/>
          </w:tcPr>
          <w:p w14:paraId="15319050"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22</w:t>
            </w:r>
          </w:p>
        </w:tc>
      </w:tr>
      <w:tr w:rsidR="00F16EB8" w:rsidRPr="00B63409" w14:paraId="01E16842" w14:textId="77777777" w:rsidTr="00BE6FF5">
        <w:trPr>
          <w:trHeight w:val="300"/>
        </w:trPr>
        <w:tc>
          <w:tcPr>
            <w:tcW w:w="1525" w:type="dxa"/>
            <w:vMerge w:val="restart"/>
            <w:tcBorders>
              <w:top w:val="nil"/>
              <w:left w:val="single" w:sz="4" w:space="0" w:color="auto"/>
              <w:bottom w:val="single" w:sz="4" w:space="0" w:color="000000"/>
              <w:right w:val="single" w:sz="4" w:space="0" w:color="auto"/>
            </w:tcBorders>
            <w:vAlign w:val="center"/>
            <w:hideMark/>
          </w:tcPr>
          <w:p w14:paraId="49FA6E37" w14:textId="77777777" w:rsidR="00F16EB8" w:rsidRPr="007A322D" w:rsidRDefault="00F16EB8" w:rsidP="00BE6FF5">
            <w:pPr>
              <w:rPr>
                <w:rFonts w:asciiTheme="minorHAnsi" w:hAnsiTheme="minorHAnsi" w:cstheme="minorHAnsi"/>
                <w:color w:val="000000"/>
                <w:sz w:val="18"/>
                <w:szCs w:val="18"/>
                <w:lang w:val="fr-FR" w:eastAsia="en-GB"/>
              </w:rPr>
            </w:pPr>
            <w:proofErr w:type="spellStart"/>
            <w:r w:rsidRPr="007A322D">
              <w:rPr>
                <w:rFonts w:asciiTheme="minorHAnsi" w:hAnsiTheme="minorHAnsi" w:cstheme="minorHAnsi"/>
                <w:color w:val="000000"/>
                <w:sz w:val="18"/>
                <w:szCs w:val="18"/>
                <w:lang w:val="fr-FR" w:eastAsia="en-GB"/>
              </w:rPr>
              <w:t>Proiecte</w:t>
            </w:r>
            <w:proofErr w:type="spellEnd"/>
            <w:r w:rsidRPr="007A322D">
              <w:rPr>
                <w:rFonts w:asciiTheme="minorHAnsi" w:hAnsiTheme="minorHAnsi" w:cstheme="minorHAnsi"/>
                <w:color w:val="000000"/>
                <w:sz w:val="18"/>
                <w:szCs w:val="18"/>
                <w:lang w:val="fr-FR" w:eastAsia="en-GB"/>
              </w:rPr>
              <w:t xml:space="preserve"> </w:t>
            </w:r>
            <w:proofErr w:type="spellStart"/>
            <w:r w:rsidRPr="007A322D">
              <w:rPr>
                <w:rFonts w:asciiTheme="minorHAnsi" w:hAnsiTheme="minorHAnsi" w:cstheme="minorHAnsi"/>
                <w:color w:val="000000"/>
                <w:sz w:val="18"/>
                <w:szCs w:val="18"/>
                <w:lang w:val="fr-FR" w:eastAsia="en-GB"/>
              </w:rPr>
              <w:t>cu</w:t>
            </w:r>
            <w:proofErr w:type="spellEnd"/>
            <w:r w:rsidRPr="007A322D">
              <w:rPr>
                <w:rFonts w:asciiTheme="minorHAnsi" w:hAnsiTheme="minorHAnsi" w:cstheme="minorHAnsi"/>
                <w:color w:val="000000"/>
                <w:sz w:val="18"/>
                <w:szCs w:val="18"/>
                <w:lang w:val="fr-FR" w:eastAsia="en-GB"/>
              </w:rPr>
              <w:t xml:space="preserve"> </w:t>
            </w:r>
            <w:proofErr w:type="spellStart"/>
            <w:r w:rsidRPr="007A322D">
              <w:rPr>
                <w:rFonts w:asciiTheme="minorHAnsi" w:hAnsiTheme="minorHAnsi" w:cstheme="minorHAnsi"/>
                <w:color w:val="000000"/>
                <w:sz w:val="18"/>
                <w:szCs w:val="18"/>
                <w:lang w:val="fr-FR" w:eastAsia="en-GB"/>
              </w:rPr>
              <w:t>finanțare</w:t>
            </w:r>
            <w:proofErr w:type="spellEnd"/>
            <w:r w:rsidRPr="007A322D">
              <w:rPr>
                <w:rFonts w:asciiTheme="minorHAnsi" w:hAnsiTheme="minorHAnsi" w:cstheme="minorHAnsi"/>
                <w:color w:val="000000"/>
                <w:sz w:val="18"/>
                <w:szCs w:val="18"/>
                <w:lang w:val="fr-FR" w:eastAsia="en-GB"/>
              </w:rPr>
              <w:t xml:space="preserve"> </w:t>
            </w:r>
            <w:proofErr w:type="spellStart"/>
            <w:r w:rsidRPr="007A322D">
              <w:rPr>
                <w:rFonts w:asciiTheme="minorHAnsi" w:hAnsiTheme="minorHAnsi" w:cstheme="minorHAnsi"/>
                <w:color w:val="000000"/>
                <w:sz w:val="18"/>
                <w:szCs w:val="18"/>
                <w:lang w:val="fr-FR" w:eastAsia="en-GB"/>
              </w:rPr>
              <w:t>din</w:t>
            </w:r>
            <w:proofErr w:type="spellEnd"/>
            <w:r w:rsidRPr="007A322D">
              <w:rPr>
                <w:rFonts w:asciiTheme="minorHAnsi" w:hAnsiTheme="minorHAnsi" w:cstheme="minorHAnsi"/>
                <w:color w:val="000000"/>
                <w:sz w:val="18"/>
                <w:szCs w:val="18"/>
                <w:lang w:val="fr-FR" w:eastAsia="en-GB"/>
              </w:rPr>
              <w:t xml:space="preserve"> FEN </w:t>
            </w:r>
            <w:proofErr w:type="spellStart"/>
            <w:r w:rsidRPr="007A322D">
              <w:rPr>
                <w:rFonts w:asciiTheme="minorHAnsi" w:hAnsiTheme="minorHAnsi" w:cstheme="minorHAnsi"/>
                <w:color w:val="000000"/>
                <w:sz w:val="18"/>
                <w:szCs w:val="18"/>
                <w:lang w:val="fr-FR" w:eastAsia="en-GB"/>
              </w:rPr>
              <w:t>aferente</w:t>
            </w:r>
            <w:proofErr w:type="spellEnd"/>
            <w:r w:rsidRPr="007A322D">
              <w:rPr>
                <w:rFonts w:asciiTheme="minorHAnsi" w:hAnsiTheme="minorHAnsi" w:cstheme="minorHAnsi"/>
                <w:color w:val="000000"/>
                <w:sz w:val="18"/>
                <w:szCs w:val="18"/>
                <w:lang w:val="fr-FR" w:eastAsia="en-GB"/>
              </w:rPr>
              <w:t xml:space="preserve"> </w:t>
            </w:r>
            <w:proofErr w:type="spellStart"/>
            <w:r w:rsidRPr="007A322D">
              <w:rPr>
                <w:rFonts w:asciiTheme="minorHAnsi" w:hAnsiTheme="minorHAnsi" w:cstheme="minorHAnsi"/>
                <w:color w:val="000000"/>
                <w:sz w:val="18"/>
                <w:szCs w:val="18"/>
                <w:lang w:val="fr-FR" w:eastAsia="en-GB"/>
              </w:rPr>
              <w:t>cadrului</w:t>
            </w:r>
            <w:proofErr w:type="spellEnd"/>
            <w:r w:rsidRPr="007A322D">
              <w:rPr>
                <w:rFonts w:asciiTheme="minorHAnsi" w:hAnsiTheme="minorHAnsi" w:cstheme="minorHAnsi"/>
                <w:color w:val="000000"/>
                <w:sz w:val="18"/>
                <w:szCs w:val="18"/>
                <w:lang w:val="fr-FR" w:eastAsia="en-GB"/>
              </w:rPr>
              <w:t xml:space="preserve"> </w:t>
            </w:r>
            <w:proofErr w:type="spellStart"/>
            <w:r w:rsidRPr="007A322D">
              <w:rPr>
                <w:rFonts w:asciiTheme="minorHAnsi" w:hAnsiTheme="minorHAnsi" w:cstheme="minorHAnsi"/>
                <w:color w:val="000000"/>
                <w:sz w:val="18"/>
                <w:szCs w:val="18"/>
                <w:lang w:val="fr-FR" w:eastAsia="en-GB"/>
              </w:rPr>
              <w:t>financiar</w:t>
            </w:r>
            <w:proofErr w:type="spellEnd"/>
            <w:r w:rsidRPr="007A322D">
              <w:rPr>
                <w:rFonts w:asciiTheme="minorHAnsi" w:hAnsiTheme="minorHAnsi" w:cstheme="minorHAnsi"/>
                <w:color w:val="000000"/>
                <w:sz w:val="18"/>
                <w:szCs w:val="18"/>
                <w:lang w:val="fr-FR" w:eastAsia="en-GB"/>
              </w:rPr>
              <w:t xml:space="preserve"> 2014-2020</w:t>
            </w:r>
          </w:p>
        </w:tc>
        <w:tc>
          <w:tcPr>
            <w:tcW w:w="680" w:type="dxa"/>
            <w:tcBorders>
              <w:top w:val="nil"/>
              <w:left w:val="nil"/>
              <w:bottom w:val="single" w:sz="4" w:space="0" w:color="auto"/>
              <w:right w:val="single" w:sz="4" w:space="0" w:color="auto"/>
            </w:tcBorders>
            <w:vAlign w:val="center"/>
            <w:hideMark/>
          </w:tcPr>
          <w:p w14:paraId="27631C5B"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CA</w:t>
            </w:r>
          </w:p>
        </w:tc>
        <w:tc>
          <w:tcPr>
            <w:tcW w:w="993" w:type="dxa"/>
            <w:tcBorders>
              <w:top w:val="nil"/>
              <w:left w:val="nil"/>
              <w:bottom w:val="single" w:sz="4" w:space="0" w:color="auto"/>
              <w:right w:val="single" w:sz="4" w:space="0" w:color="auto"/>
            </w:tcBorders>
            <w:noWrap/>
            <w:vAlign w:val="bottom"/>
            <w:hideMark/>
          </w:tcPr>
          <w:p w14:paraId="2043A9E0"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997</w:t>
            </w:r>
          </w:p>
        </w:tc>
        <w:tc>
          <w:tcPr>
            <w:tcW w:w="887" w:type="dxa"/>
            <w:tcBorders>
              <w:top w:val="nil"/>
              <w:left w:val="nil"/>
              <w:bottom w:val="single" w:sz="4" w:space="0" w:color="auto"/>
              <w:right w:val="single" w:sz="4" w:space="0" w:color="auto"/>
            </w:tcBorders>
            <w:noWrap/>
            <w:vAlign w:val="bottom"/>
            <w:hideMark/>
          </w:tcPr>
          <w:p w14:paraId="5ED8AF8B"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181</w:t>
            </w:r>
          </w:p>
        </w:tc>
        <w:tc>
          <w:tcPr>
            <w:tcW w:w="866" w:type="dxa"/>
            <w:tcBorders>
              <w:top w:val="nil"/>
              <w:left w:val="nil"/>
              <w:bottom w:val="single" w:sz="4" w:space="0" w:color="auto"/>
              <w:right w:val="single" w:sz="4" w:space="0" w:color="auto"/>
            </w:tcBorders>
            <w:noWrap/>
            <w:vAlign w:val="bottom"/>
            <w:hideMark/>
          </w:tcPr>
          <w:p w14:paraId="39D3580A"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997</w:t>
            </w:r>
          </w:p>
        </w:tc>
        <w:tc>
          <w:tcPr>
            <w:tcW w:w="794" w:type="dxa"/>
            <w:tcBorders>
              <w:top w:val="nil"/>
              <w:left w:val="nil"/>
              <w:bottom w:val="single" w:sz="4" w:space="0" w:color="auto"/>
              <w:right w:val="single" w:sz="4" w:space="0" w:color="auto"/>
            </w:tcBorders>
            <w:noWrap/>
            <w:vAlign w:val="bottom"/>
            <w:hideMark/>
          </w:tcPr>
          <w:p w14:paraId="7BE54ABA"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181</w:t>
            </w:r>
          </w:p>
        </w:tc>
        <w:tc>
          <w:tcPr>
            <w:tcW w:w="766" w:type="dxa"/>
            <w:tcBorders>
              <w:top w:val="nil"/>
              <w:left w:val="nil"/>
              <w:bottom w:val="single" w:sz="4" w:space="0" w:color="auto"/>
              <w:right w:val="single" w:sz="4" w:space="0" w:color="auto"/>
            </w:tcBorders>
            <w:noWrap/>
            <w:vAlign w:val="bottom"/>
            <w:hideMark/>
          </w:tcPr>
          <w:p w14:paraId="2670AC45"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66" w:type="dxa"/>
            <w:tcBorders>
              <w:top w:val="nil"/>
              <w:left w:val="nil"/>
              <w:bottom w:val="single" w:sz="4" w:space="0" w:color="auto"/>
              <w:right w:val="single" w:sz="4" w:space="0" w:color="auto"/>
            </w:tcBorders>
            <w:noWrap/>
            <w:vAlign w:val="bottom"/>
            <w:hideMark/>
          </w:tcPr>
          <w:p w14:paraId="4B8D9FB8"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866" w:type="dxa"/>
            <w:tcBorders>
              <w:top w:val="nil"/>
              <w:left w:val="nil"/>
              <w:bottom w:val="single" w:sz="4" w:space="0" w:color="auto"/>
              <w:right w:val="single" w:sz="4" w:space="0" w:color="auto"/>
            </w:tcBorders>
            <w:noWrap/>
            <w:vAlign w:val="bottom"/>
            <w:hideMark/>
          </w:tcPr>
          <w:p w14:paraId="133528B8"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94" w:type="dxa"/>
            <w:tcBorders>
              <w:top w:val="nil"/>
              <w:left w:val="nil"/>
              <w:bottom w:val="single" w:sz="4" w:space="0" w:color="auto"/>
              <w:right w:val="single" w:sz="4" w:space="0" w:color="auto"/>
            </w:tcBorders>
            <w:noWrap/>
            <w:vAlign w:val="bottom"/>
            <w:hideMark/>
          </w:tcPr>
          <w:p w14:paraId="7967CA45"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66" w:type="dxa"/>
            <w:tcBorders>
              <w:top w:val="nil"/>
              <w:left w:val="nil"/>
              <w:bottom w:val="single" w:sz="4" w:space="0" w:color="auto"/>
              <w:right w:val="single" w:sz="4" w:space="0" w:color="auto"/>
            </w:tcBorders>
            <w:noWrap/>
            <w:vAlign w:val="bottom"/>
            <w:hideMark/>
          </w:tcPr>
          <w:p w14:paraId="1DC7B872"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94" w:type="dxa"/>
            <w:tcBorders>
              <w:top w:val="nil"/>
              <w:left w:val="nil"/>
              <w:bottom w:val="single" w:sz="4" w:space="0" w:color="auto"/>
              <w:right w:val="single" w:sz="4" w:space="0" w:color="auto"/>
            </w:tcBorders>
            <w:noWrap/>
            <w:vAlign w:val="bottom"/>
            <w:hideMark/>
          </w:tcPr>
          <w:p w14:paraId="11FBBF2A"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r>
      <w:tr w:rsidR="00F16EB8" w:rsidRPr="00B63409" w14:paraId="168FE502" w14:textId="77777777" w:rsidTr="00BE6FF5">
        <w:trPr>
          <w:trHeight w:val="300"/>
        </w:trPr>
        <w:tc>
          <w:tcPr>
            <w:tcW w:w="1525" w:type="dxa"/>
            <w:vMerge/>
            <w:tcBorders>
              <w:top w:val="nil"/>
              <w:left w:val="single" w:sz="4" w:space="0" w:color="auto"/>
              <w:bottom w:val="single" w:sz="4" w:space="0" w:color="000000"/>
              <w:right w:val="single" w:sz="4" w:space="0" w:color="auto"/>
            </w:tcBorders>
            <w:vAlign w:val="center"/>
            <w:hideMark/>
          </w:tcPr>
          <w:p w14:paraId="3F694FB8" w14:textId="77777777" w:rsidR="00F16EB8" w:rsidRPr="00B63409" w:rsidRDefault="00F16EB8" w:rsidP="00BE6FF5">
            <w:pPr>
              <w:rPr>
                <w:rFonts w:asciiTheme="minorHAnsi" w:hAnsiTheme="minorHAnsi" w:cstheme="minorHAnsi"/>
                <w:color w:val="000000"/>
                <w:sz w:val="18"/>
                <w:szCs w:val="18"/>
                <w:lang w:val="en-GB" w:eastAsia="en-GB"/>
              </w:rPr>
            </w:pPr>
          </w:p>
        </w:tc>
        <w:tc>
          <w:tcPr>
            <w:tcW w:w="680" w:type="dxa"/>
            <w:tcBorders>
              <w:top w:val="nil"/>
              <w:left w:val="nil"/>
              <w:bottom w:val="single" w:sz="4" w:space="0" w:color="auto"/>
              <w:right w:val="single" w:sz="4" w:space="0" w:color="auto"/>
            </w:tcBorders>
            <w:vAlign w:val="center"/>
            <w:hideMark/>
          </w:tcPr>
          <w:p w14:paraId="462411F9"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CB</w:t>
            </w:r>
          </w:p>
        </w:tc>
        <w:tc>
          <w:tcPr>
            <w:tcW w:w="993" w:type="dxa"/>
            <w:tcBorders>
              <w:top w:val="nil"/>
              <w:left w:val="nil"/>
              <w:bottom w:val="single" w:sz="4" w:space="0" w:color="auto"/>
              <w:right w:val="single" w:sz="4" w:space="0" w:color="auto"/>
            </w:tcBorders>
            <w:noWrap/>
            <w:vAlign w:val="bottom"/>
            <w:hideMark/>
          </w:tcPr>
          <w:p w14:paraId="70D25CEA"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997</w:t>
            </w:r>
          </w:p>
        </w:tc>
        <w:tc>
          <w:tcPr>
            <w:tcW w:w="887" w:type="dxa"/>
            <w:tcBorders>
              <w:top w:val="nil"/>
              <w:left w:val="nil"/>
              <w:bottom w:val="single" w:sz="4" w:space="0" w:color="auto"/>
              <w:right w:val="single" w:sz="4" w:space="0" w:color="auto"/>
            </w:tcBorders>
            <w:noWrap/>
            <w:vAlign w:val="bottom"/>
            <w:hideMark/>
          </w:tcPr>
          <w:p w14:paraId="51436695"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181</w:t>
            </w:r>
          </w:p>
        </w:tc>
        <w:tc>
          <w:tcPr>
            <w:tcW w:w="866" w:type="dxa"/>
            <w:tcBorders>
              <w:top w:val="nil"/>
              <w:left w:val="nil"/>
              <w:bottom w:val="single" w:sz="4" w:space="0" w:color="auto"/>
              <w:right w:val="single" w:sz="4" w:space="0" w:color="auto"/>
            </w:tcBorders>
            <w:noWrap/>
            <w:vAlign w:val="bottom"/>
            <w:hideMark/>
          </w:tcPr>
          <w:p w14:paraId="21C3396C"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997</w:t>
            </w:r>
          </w:p>
        </w:tc>
        <w:tc>
          <w:tcPr>
            <w:tcW w:w="794" w:type="dxa"/>
            <w:tcBorders>
              <w:top w:val="nil"/>
              <w:left w:val="nil"/>
              <w:bottom w:val="single" w:sz="4" w:space="0" w:color="auto"/>
              <w:right w:val="single" w:sz="4" w:space="0" w:color="auto"/>
            </w:tcBorders>
            <w:noWrap/>
            <w:vAlign w:val="bottom"/>
            <w:hideMark/>
          </w:tcPr>
          <w:p w14:paraId="597EAF29"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181</w:t>
            </w:r>
          </w:p>
        </w:tc>
        <w:tc>
          <w:tcPr>
            <w:tcW w:w="766" w:type="dxa"/>
            <w:tcBorders>
              <w:top w:val="nil"/>
              <w:left w:val="nil"/>
              <w:bottom w:val="single" w:sz="4" w:space="0" w:color="auto"/>
              <w:right w:val="single" w:sz="4" w:space="0" w:color="auto"/>
            </w:tcBorders>
            <w:noWrap/>
            <w:vAlign w:val="bottom"/>
            <w:hideMark/>
          </w:tcPr>
          <w:p w14:paraId="6C12AA4F"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66" w:type="dxa"/>
            <w:tcBorders>
              <w:top w:val="nil"/>
              <w:left w:val="nil"/>
              <w:bottom w:val="single" w:sz="4" w:space="0" w:color="auto"/>
              <w:right w:val="single" w:sz="4" w:space="0" w:color="auto"/>
            </w:tcBorders>
            <w:noWrap/>
            <w:vAlign w:val="bottom"/>
            <w:hideMark/>
          </w:tcPr>
          <w:p w14:paraId="231C808D"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866" w:type="dxa"/>
            <w:tcBorders>
              <w:top w:val="nil"/>
              <w:left w:val="nil"/>
              <w:bottom w:val="single" w:sz="4" w:space="0" w:color="auto"/>
              <w:right w:val="single" w:sz="4" w:space="0" w:color="auto"/>
            </w:tcBorders>
            <w:noWrap/>
            <w:vAlign w:val="bottom"/>
            <w:hideMark/>
          </w:tcPr>
          <w:p w14:paraId="177C71C6"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94" w:type="dxa"/>
            <w:tcBorders>
              <w:top w:val="nil"/>
              <w:left w:val="nil"/>
              <w:bottom w:val="single" w:sz="4" w:space="0" w:color="auto"/>
              <w:right w:val="single" w:sz="4" w:space="0" w:color="auto"/>
            </w:tcBorders>
            <w:noWrap/>
            <w:vAlign w:val="bottom"/>
            <w:hideMark/>
          </w:tcPr>
          <w:p w14:paraId="1C257686"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66" w:type="dxa"/>
            <w:tcBorders>
              <w:top w:val="nil"/>
              <w:left w:val="nil"/>
              <w:bottom w:val="single" w:sz="4" w:space="0" w:color="auto"/>
              <w:right w:val="single" w:sz="4" w:space="0" w:color="auto"/>
            </w:tcBorders>
            <w:noWrap/>
            <w:vAlign w:val="bottom"/>
            <w:hideMark/>
          </w:tcPr>
          <w:p w14:paraId="6440B1FE"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94" w:type="dxa"/>
            <w:tcBorders>
              <w:top w:val="nil"/>
              <w:left w:val="nil"/>
              <w:bottom w:val="single" w:sz="4" w:space="0" w:color="auto"/>
              <w:right w:val="single" w:sz="4" w:space="0" w:color="auto"/>
            </w:tcBorders>
            <w:noWrap/>
            <w:vAlign w:val="bottom"/>
            <w:hideMark/>
          </w:tcPr>
          <w:p w14:paraId="20F949C6"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r>
      <w:tr w:rsidR="00F16EB8" w:rsidRPr="00B63409" w14:paraId="48E6B065" w14:textId="77777777" w:rsidTr="00BE6FF5">
        <w:trPr>
          <w:trHeight w:val="300"/>
        </w:trPr>
        <w:tc>
          <w:tcPr>
            <w:tcW w:w="1525" w:type="dxa"/>
            <w:vMerge w:val="restart"/>
            <w:tcBorders>
              <w:top w:val="nil"/>
              <w:left w:val="single" w:sz="4" w:space="0" w:color="auto"/>
              <w:bottom w:val="single" w:sz="4" w:space="0" w:color="000000"/>
              <w:right w:val="single" w:sz="4" w:space="0" w:color="auto"/>
            </w:tcBorders>
            <w:vAlign w:val="center"/>
            <w:hideMark/>
          </w:tcPr>
          <w:p w14:paraId="29513A6C"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 xml:space="preserve">Alte </w:t>
            </w:r>
            <w:proofErr w:type="spellStart"/>
            <w:r w:rsidRPr="00B63409">
              <w:rPr>
                <w:rFonts w:asciiTheme="minorHAnsi" w:hAnsiTheme="minorHAnsi" w:cstheme="minorHAnsi"/>
                <w:color w:val="000000"/>
                <w:sz w:val="18"/>
                <w:szCs w:val="18"/>
                <w:lang w:val="en-GB" w:eastAsia="en-GB"/>
              </w:rPr>
              <w:t>cheltuieli</w:t>
            </w:r>
            <w:proofErr w:type="spellEnd"/>
          </w:p>
        </w:tc>
        <w:tc>
          <w:tcPr>
            <w:tcW w:w="680" w:type="dxa"/>
            <w:tcBorders>
              <w:top w:val="nil"/>
              <w:left w:val="nil"/>
              <w:bottom w:val="single" w:sz="4" w:space="0" w:color="auto"/>
              <w:right w:val="single" w:sz="4" w:space="0" w:color="auto"/>
            </w:tcBorders>
            <w:vAlign w:val="center"/>
            <w:hideMark/>
          </w:tcPr>
          <w:p w14:paraId="2C3AF9A8"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CA</w:t>
            </w:r>
          </w:p>
        </w:tc>
        <w:tc>
          <w:tcPr>
            <w:tcW w:w="993" w:type="dxa"/>
            <w:tcBorders>
              <w:top w:val="nil"/>
              <w:left w:val="nil"/>
              <w:bottom w:val="single" w:sz="4" w:space="0" w:color="auto"/>
              <w:right w:val="single" w:sz="4" w:space="0" w:color="auto"/>
            </w:tcBorders>
            <w:noWrap/>
            <w:vAlign w:val="bottom"/>
            <w:hideMark/>
          </w:tcPr>
          <w:p w14:paraId="6D887340"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70,661</w:t>
            </w:r>
          </w:p>
        </w:tc>
        <w:tc>
          <w:tcPr>
            <w:tcW w:w="887" w:type="dxa"/>
            <w:tcBorders>
              <w:top w:val="nil"/>
              <w:left w:val="nil"/>
              <w:bottom w:val="single" w:sz="4" w:space="0" w:color="auto"/>
              <w:right w:val="single" w:sz="4" w:space="0" w:color="auto"/>
            </w:tcBorders>
            <w:noWrap/>
            <w:vAlign w:val="bottom"/>
            <w:hideMark/>
          </w:tcPr>
          <w:p w14:paraId="26BA5A8F"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12,275</w:t>
            </w:r>
          </w:p>
        </w:tc>
        <w:tc>
          <w:tcPr>
            <w:tcW w:w="866" w:type="dxa"/>
            <w:tcBorders>
              <w:top w:val="nil"/>
              <w:left w:val="nil"/>
              <w:bottom w:val="single" w:sz="4" w:space="0" w:color="auto"/>
              <w:right w:val="single" w:sz="4" w:space="0" w:color="auto"/>
            </w:tcBorders>
            <w:noWrap/>
            <w:vAlign w:val="bottom"/>
            <w:hideMark/>
          </w:tcPr>
          <w:p w14:paraId="5630E09C"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1,355</w:t>
            </w:r>
          </w:p>
        </w:tc>
        <w:tc>
          <w:tcPr>
            <w:tcW w:w="794" w:type="dxa"/>
            <w:tcBorders>
              <w:top w:val="nil"/>
              <w:left w:val="nil"/>
              <w:bottom w:val="single" w:sz="4" w:space="0" w:color="auto"/>
              <w:right w:val="single" w:sz="4" w:space="0" w:color="auto"/>
            </w:tcBorders>
            <w:noWrap/>
            <w:vAlign w:val="bottom"/>
            <w:hideMark/>
          </w:tcPr>
          <w:p w14:paraId="2C25B782"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246</w:t>
            </w:r>
          </w:p>
        </w:tc>
        <w:tc>
          <w:tcPr>
            <w:tcW w:w="766" w:type="dxa"/>
            <w:tcBorders>
              <w:top w:val="nil"/>
              <w:left w:val="nil"/>
              <w:bottom w:val="single" w:sz="4" w:space="0" w:color="auto"/>
              <w:right w:val="single" w:sz="4" w:space="0" w:color="auto"/>
            </w:tcBorders>
            <w:noWrap/>
            <w:vAlign w:val="bottom"/>
            <w:hideMark/>
          </w:tcPr>
          <w:p w14:paraId="3DFDD337"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3,151</w:t>
            </w:r>
          </w:p>
        </w:tc>
        <w:tc>
          <w:tcPr>
            <w:tcW w:w="766" w:type="dxa"/>
            <w:tcBorders>
              <w:top w:val="nil"/>
              <w:left w:val="nil"/>
              <w:bottom w:val="single" w:sz="4" w:space="0" w:color="auto"/>
              <w:right w:val="single" w:sz="4" w:space="0" w:color="auto"/>
            </w:tcBorders>
            <w:noWrap/>
            <w:vAlign w:val="bottom"/>
            <w:hideMark/>
          </w:tcPr>
          <w:p w14:paraId="4D9CA86A"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573</w:t>
            </w:r>
          </w:p>
        </w:tc>
        <w:tc>
          <w:tcPr>
            <w:tcW w:w="866" w:type="dxa"/>
            <w:tcBorders>
              <w:top w:val="nil"/>
              <w:left w:val="nil"/>
              <w:bottom w:val="single" w:sz="4" w:space="0" w:color="auto"/>
              <w:right w:val="single" w:sz="4" w:space="0" w:color="auto"/>
            </w:tcBorders>
            <w:noWrap/>
            <w:vAlign w:val="bottom"/>
            <w:hideMark/>
          </w:tcPr>
          <w:p w14:paraId="0DF5D6A2"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62,863</w:t>
            </w:r>
          </w:p>
        </w:tc>
        <w:tc>
          <w:tcPr>
            <w:tcW w:w="794" w:type="dxa"/>
            <w:tcBorders>
              <w:top w:val="nil"/>
              <w:left w:val="nil"/>
              <w:bottom w:val="single" w:sz="4" w:space="0" w:color="auto"/>
              <w:right w:val="single" w:sz="4" w:space="0" w:color="auto"/>
            </w:tcBorders>
            <w:noWrap/>
            <w:vAlign w:val="bottom"/>
            <w:hideMark/>
          </w:tcPr>
          <w:p w14:paraId="2B37BC73"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11,430</w:t>
            </w:r>
          </w:p>
        </w:tc>
        <w:tc>
          <w:tcPr>
            <w:tcW w:w="766" w:type="dxa"/>
            <w:tcBorders>
              <w:top w:val="nil"/>
              <w:left w:val="nil"/>
              <w:bottom w:val="single" w:sz="4" w:space="0" w:color="auto"/>
              <w:right w:val="single" w:sz="4" w:space="0" w:color="auto"/>
            </w:tcBorders>
            <w:noWrap/>
            <w:vAlign w:val="bottom"/>
            <w:hideMark/>
          </w:tcPr>
          <w:p w14:paraId="14455914"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3,292</w:t>
            </w:r>
          </w:p>
        </w:tc>
        <w:tc>
          <w:tcPr>
            <w:tcW w:w="794" w:type="dxa"/>
            <w:tcBorders>
              <w:top w:val="nil"/>
              <w:left w:val="nil"/>
              <w:bottom w:val="single" w:sz="4" w:space="0" w:color="auto"/>
              <w:right w:val="single" w:sz="4" w:space="0" w:color="auto"/>
            </w:tcBorders>
            <w:noWrap/>
            <w:vAlign w:val="bottom"/>
            <w:hideMark/>
          </w:tcPr>
          <w:p w14:paraId="43770AD0"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599</w:t>
            </w:r>
          </w:p>
        </w:tc>
      </w:tr>
      <w:tr w:rsidR="00F16EB8" w:rsidRPr="00B63409" w14:paraId="12939724" w14:textId="77777777" w:rsidTr="00BE6FF5">
        <w:trPr>
          <w:trHeight w:val="300"/>
        </w:trPr>
        <w:tc>
          <w:tcPr>
            <w:tcW w:w="1525" w:type="dxa"/>
            <w:vMerge/>
            <w:tcBorders>
              <w:top w:val="nil"/>
              <w:left w:val="single" w:sz="4" w:space="0" w:color="auto"/>
              <w:bottom w:val="single" w:sz="4" w:space="0" w:color="000000"/>
              <w:right w:val="single" w:sz="4" w:space="0" w:color="auto"/>
            </w:tcBorders>
            <w:vAlign w:val="center"/>
            <w:hideMark/>
          </w:tcPr>
          <w:p w14:paraId="5509DC92" w14:textId="77777777" w:rsidR="00F16EB8" w:rsidRPr="00B63409" w:rsidRDefault="00F16EB8" w:rsidP="00BE6FF5">
            <w:pPr>
              <w:rPr>
                <w:rFonts w:asciiTheme="minorHAnsi" w:hAnsiTheme="minorHAnsi" w:cstheme="minorHAnsi"/>
                <w:color w:val="000000"/>
                <w:sz w:val="18"/>
                <w:szCs w:val="18"/>
                <w:lang w:val="en-GB" w:eastAsia="en-GB"/>
              </w:rPr>
            </w:pPr>
          </w:p>
        </w:tc>
        <w:tc>
          <w:tcPr>
            <w:tcW w:w="680" w:type="dxa"/>
            <w:tcBorders>
              <w:top w:val="nil"/>
              <w:left w:val="nil"/>
              <w:bottom w:val="single" w:sz="4" w:space="0" w:color="auto"/>
              <w:right w:val="single" w:sz="4" w:space="0" w:color="auto"/>
            </w:tcBorders>
            <w:vAlign w:val="center"/>
            <w:hideMark/>
          </w:tcPr>
          <w:p w14:paraId="765FAA9F"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CB</w:t>
            </w:r>
          </w:p>
        </w:tc>
        <w:tc>
          <w:tcPr>
            <w:tcW w:w="993" w:type="dxa"/>
            <w:tcBorders>
              <w:top w:val="nil"/>
              <w:left w:val="nil"/>
              <w:bottom w:val="single" w:sz="4" w:space="0" w:color="auto"/>
              <w:right w:val="single" w:sz="4" w:space="0" w:color="auto"/>
            </w:tcBorders>
            <w:noWrap/>
            <w:vAlign w:val="bottom"/>
            <w:hideMark/>
          </w:tcPr>
          <w:p w14:paraId="4F2190F1"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70,661</w:t>
            </w:r>
          </w:p>
        </w:tc>
        <w:tc>
          <w:tcPr>
            <w:tcW w:w="887" w:type="dxa"/>
            <w:tcBorders>
              <w:top w:val="nil"/>
              <w:left w:val="nil"/>
              <w:bottom w:val="single" w:sz="4" w:space="0" w:color="auto"/>
              <w:right w:val="single" w:sz="4" w:space="0" w:color="auto"/>
            </w:tcBorders>
            <w:noWrap/>
            <w:vAlign w:val="bottom"/>
            <w:hideMark/>
          </w:tcPr>
          <w:p w14:paraId="55C25F11"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12,275</w:t>
            </w:r>
          </w:p>
        </w:tc>
        <w:tc>
          <w:tcPr>
            <w:tcW w:w="866" w:type="dxa"/>
            <w:tcBorders>
              <w:top w:val="nil"/>
              <w:left w:val="nil"/>
              <w:bottom w:val="single" w:sz="4" w:space="0" w:color="auto"/>
              <w:right w:val="single" w:sz="4" w:space="0" w:color="auto"/>
            </w:tcBorders>
            <w:noWrap/>
            <w:vAlign w:val="bottom"/>
            <w:hideMark/>
          </w:tcPr>
          <w:p w14:paraId="1CC5F023"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1,355</w:t>
            </w:r>
          </w:p>
        </w:tc>
        <w:tc>
          <w:tcPr>
            <w:tcW w:w="794" w:type="dxa"/>
            <w:tcBorders>
              <w:top w:val="nil"/>
              <w:left w:val="nil"/>
              <w:bottom w:val="single" w:sz="4" w:space="0" w:color="auto"/>
              <w:right w:val="single" w:sz="4" w:space="0" w:color="auto"/>
            </w:tcBorders>
            <w:noWrap/>
            <w:vAlign w:val="bottom"/>
            <w:hideMark/>
          </w:tcPr>
          <w:p w14:paraId="709A23D6"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246</w:t>
            </w:r>
          </w:p>
        </w:tc>
        <w:tc>
          <w:tcPr>
            <w:tcW w:w="766" w:type="dxa"/>
            <w:tcBorders>
              <w:top w:val="nil"/>
              <w:left w:val="nil"/>
              <w:bottom w:val="single" w:sz="4" w:space="0" w:color="auto"/>
              <w:right w:val="single" w:sz="4" w:space="0" w:color="auto"/>
            </w:tcBorders>
            <w:noWrap/>
            <w:vAlign w:val="bottom"/>
            <w:hideMark/>
          </w:tcPr>
          <w:p w14:paraId="645DC0A0"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3,151</w:t>
            </w:r>
          </w:p>
        </w:tc>
        <w:tc>
          <w:tcPr>
            <w:tcW w:w="766" w:type="dxa"/>
            <w:tcBorders>
              <w:top w:val="nil"/>
              <w:left w:val="nil"/>
              <w:bottom w:val="single" w:sz="4" w:space="0" w:color="auto"/>
              <w:right w:val="single" w:sz="4" w:space="0" w:color="auto"/>
            </w:tcBorders>
            <w:noWrap/>
            <w:vAlign w:val="bottom"/>
            <w:hideMark/>
          </w:tcPr>
          <w:p w14:paraId="7BB3ABF0"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573</w:t>
            </w:r>
          </w:p>
        </w:tc>
        <w:tc>
          <w:tcPr>
            <w:tcW w:w="866" w:type="dxa"/>
            <w:tcBorders>
              <w:top w:val="nil"/>
              <w:left w:val="nil"/>
              <w:bottom w:val="single" w:sz="4" w:space="0" w:color="auto"/>
              <w:right w:val="single" w:sz="4" w:space="0" w:color="auto"/>
            </w:tcBorders>
            <w:noWrap/>
            <w:vAlign w:val="bottom"/>
            <w:hideMark/>
          </w:tcPr>
          <w:p w14:paraId="36D81305"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62,863</w:t>
            </w:r>
          </w:p>
        </w:tc>
        <w:tc>
          <w:tcPr>
            <w:tcW w:w="794" w:type="dxa"/>
            <w:tcBorders>
              <w:top w:val="nil"/>
              <w:left w:val="nil"/>
              <w:bottom w:val="single" w:sz="4" w:space="0" w:color="auto"/>
              <w:right w:val="single" w:sz="4" w:space="0" w:color="auto"/>
            </w:tcBorders>
            <w:noWrap/>
            <w:vAlign w:val="bottom"/>
            <w:hideMark/>
          </w:tcPr>
          <w:p w14:paraId="1A5E71F9"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11,430</w:t>
            </w:r>
          </w:p>
        </w:tc>
        <w:tc>
          <w:tcPr>
            <w:tcW w:w="766" w:type="dxa"/>
            <w:tcBorders>
              <w:top w:val="nil"/>
              <w:left w:val="nil"/>
              <w:bottom w:val="single" w:sz="4" w:space="0" w:color="auto"/>
              <w:right w:val="single" w:sz="4" w:space="0" w:color="auto"/>
            </w:tcBorders>
            <w:noWrap/>
            <w:vAlign w:val="bottom"/>
            <w:hideMark/>
          </w:tcPr>
          <w:p w14:paraId="3447180D"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3,292</w:t>
            </w:r>
          </w:p>
        </w:tc>
        <w:tc>
          <w:tcPr>
            <w:tcW w:w="794" w:type="dxa"/>
            <w:tcBorders>
              <w:top w:val="nil"/>
              <w:left w:val="nil"/>
              <w:bottom w:val="single" w:sz="4" w:space="0" w:color="auto"/>
              <w:right w:val="single" w:sz="4" w:space="0" w:color="auto"/>
            </w:tcBorders>
            <w:noWrap/>
            <w:vAlign w:val="bottom"/>
            <w:hideMark/>
          </w:tcPr>
          <w:p w14:paraId="26728636"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599</w:t>
            </w:r>
          </w:p>
        </w:tc>
      </w:tr>
      <w:tr w:rsidR="00F16EB8" w:rsidRPr="00B63409" w14:paraId="61AF700D" w14:textId="77777777" w:rsidTr="00BE6FF5">
        <w:trPr>
          <w:trHeight w:val="300"/>
        </w:trPr>
        <w:tc>
          <w:tcPr>
            <w:tcW w:w="1525" w:type="dxa"/>
            <w:vMerge w:val="restart"/>
            <w:tcBorders>
              <w:top w:val="nil"/>
              <w:left w:val="single" w:sz="4" w:space="0" w:color="auto"/>
              <w:bottom w:val="single" w:sz="4" w:space="0" w:color="000000"/>
              <w:right w:val="single" w:sz="4" w:space="0" w:color="auto"/>
            </w:tcBorders>
            <w:vAlign w:val="center"/>
            <w:hideMark/>
          </w:tcPr>
          <w:p w14:paraId="431A0B88" w14:textId="77777777" w:rsidR="00F16EB8" w:rsidRPr="00B63409" w:rsidRDefault="00F16EB8" w:rsidP="00BE6FF5">
            <w:pPr>
              <w:rPr>
                <w:rFonts w:asciiTheme="minorHAnsi" w:hAnsiTheme="minorHAnsi" w:cstheme="minorHAnsi"/>
                <w:color w:val="000000"/>
                <w:sz w:val="18"/>
                <w:szCs w:val="18"/>
                <w:lang w:val="en-GB" w:eastAsia="en-GB"/>
              </w:rPr>
            </w:pPr>
            <w:proofErr w:type="spellStart"/>
            <w:r w:rsidRPr="00B63409">
              <w:rPr>
                <w:rFonts w:asciiTheme="minorHAnsi" w:hAnsiTheme="minorHAnsi" w:cstheme="minorHAnsi"/>
                <w:color w:val="000000"/>
                <w:sz w:val="18"/>
                <w:szCs w:val="18"/>
                <w:lang w:val="en-GB" w:eastAsia="en-GB"/>
              </w:rPr>
              <w:t>Proiecte</w:t>
            </w:r>
            <w:proofErr w:type="spellEnd"/>
            <w:r w:rsidRPr="00B63409">
              <w:rPr>
                <w:rFonts w:asciiTheme="minorHAnsi" w:hAnsiTheme="minorHAnsi" w:cstheme="minorHAnsi"/>
                <w:color w:val="000000"/>
                <w:sz w:val="18"/>
                <w:szCs w:val="18"/>
                <w:lang w:val="en-GB" w:eastAsia="en-GB"/>
              </w:rPr>
              <w:t xml:space="preserve"> cu </w:t>
            </w:r>
            <w:proofErr w:type="spellStart"/>
            <w:r w:rsidRPr="00B63409">
              <w:rPr>
                <w:rFonts w:asciiTheme="minorHAnsi" w:hAnsiTheme="minorHAnsi" w:cstheme="minorHAnsi"/>
                <w:color w:val="000000"/>
                <w:sz w:val="18"/>
                <w:szCs w:val="18"/>
                <w:lang w:val="en-GB" w:eastAsia="en-GB"/>
              </w:rPr>
              <w:t>finanțate</w:t>
            </w:r>
            <w:proofErr w:type="spellEnd"/>
            <w:r w:rsidRPr="00B63409">
              <w:rPr>
                <w:rFonts w:asciiTheme="minorHAnsi" w:hAnsiTheme="minorHAnsi" w:cstheme="minorHAnsi"/>
                <w:color w:val="000000"/>
                <w:sz w:val="18"/>
                <w:szCs w:val="18"/>
                <w:lang w:val="en-GB" w:eastAsia="en-GB"/>
              </w:rPr>
              <w:t xml:space="preserve"> din </w:t>
            </w:r>
            <w:proofErr w:type="spellStart"/>
            <w:r w:rsidRPr="00B63409">
              <w:rPr>
                <w:rFonts w:asciiTheme="minorHAnsi" w:hAnsiTheme="minorHAnsi" w:cstheme="minorHAnsi"/>
                <w:color w:val="000000"/>
                <w:sz w:val="18"/>
                <w:szCs w:val="18"/>
                <w:lang w:val="en-GB" w:eastAsia="en-GB"/>
              </w:rPr>
              <w:t>sumele</w:t>
            </w:r>
            <w:proofErr w:type="spellEnd"/>
            <w:r w:rsidRPr="00B63409">
              <w:rPr>
                <w:rFonts w:asciiTheme="minorHAnsi" w:hAnsiTheme="minorHAnsi" w:cstheme="minorHAnsi"/>
                <w:color w:val="000000"/>
                <w:sz w:val="18"/>
                <w:szCs w:val="18"/>
                <w:lang w:val="en-GB" w:eastAsia="en-GB"/>
              </w:rPr>
              <w:t xml:space="preserve"> </w:t>
            </w:r>
            <w:proofErr w:type="spellStart"/>
            <w:r w:rsidRPr="00B63409">
              <w:rPr>
                <w:rFonts w:asciiTheme="minorHAnsi" w:hAnsiTheme="minorHAnsi" w:cstheme="minorHAnsi"/>
                <w:color w:val="000000"/>
                <w:sz w:val="18"/>
                <w:szCs w:val="18"/>
                <w:lang w:val="en-GB" w:eastAsia="en-GB"/>
              </w:rPr>
              <w:t>reprezentând</w:t>
            </w:r>
            <w:proofErr w:type="spellEnd"/>
            <w:r w:rsidRPr="00B63409">
              <w:rPr>
                <w:rFonts w:asciiTheme="minorHAnsi" w:hAnsiTheme="minorHAnsi" w:cstheme="minorHAnsi"/>
                <w:color w:val="000000"/>
                <w:sz w:val="18"/>
                <w:szCs w:val="18"/>
                <w:lang w:val="en-GB" w:eastAsia="en-GB"/>
              </w:rPr>
              <w:t xml:space="preserve"> </w:t>
            </w:r>
            <w:proofErr w:type="spellStart"/>
            <w:r w:rsidRPr="00B63409">
              <w:rPr>
                <w:rFonts w:asciiTheme="minorHAnsi" w:hAnsiTheme="minorHAnsi" w:cstheme="minorHAnsi"/>
                <w:color w:val="000000"/>
                <w:sz w:val="18"/>
                <w:szCs w:val="18"/>
                <w:lang w:val="en-GB" w:eastAsia="en-GB"/>
              </w:rPr>
              <w:t>asistență</w:t>
            </w:r>
            <w:proofErr w:type="spellEnd"/>
            <w:r w:rsidRPr="00B63409">
              <w:rPr>
                <w:rFonts w:asciiTheme="minorHAnsi" w:hAnsiTheme="minorHAnsi" w:cstheme="minorHAnsi"/>
                <w:color w:val="000000"/>
                <w:sz w:val="18"/>
                <w:szCs w:val="18"/>
                <w:lang w:val="en-GB" w:eastAsia="en-GB"/>
              </w:rPr>
              <w:t xml:space="preserve"> </w:t>
            </w:r>
            <w:proofErr w:type="spellStart"/>
            <w:r w:rsidRPr="00B63409">
              <w:rPr>
                <w:rFonts w:asciiTheme="minorHAnsi" w:hAnsiTheme="minorHAnsi" w:cstheme="minorHAnsi"/>
                <w:color w:val="000000"/>
                <w:sz w:val="18"/>
                <w:szCs w:val="18"/>
                <w:lang w:val="en-GB" w:eastAsia="en-GB"/>
              </w:rPr>
              <w:t>financiară</w:t>
            </w:r>
            <w:proofErr w:type="spellEnd"/>
            <w:r w:rsidRPr="00B63409">
              <w:rPr>
                <w:rFonts w:asciiTheme="minorHAnsi" w:hAnsiTheme="minorHAnsi" w:cstheme="minorHAnsi"/>
                <w:color w:val="000000"/>
                <w:sz w:val="18"/>
                <w:szCs w:val="18"/>
                <w:lang w:val="en-GB" w:eastAsia="en-GB"/>
              </w:rPr>
              <w:t xml:space="preserve"> </w:t>
            </w:r>
          </w:p>
        </w:tc>
        <w:tc>
          <w:tcPr>
            <w:tcW w:w="680" w:type="dxa"/>
            <w:tcBorders>
              <w:top w:val="nil"/>
              <w:left w:val="nil"/>
              <w:bottom w:val="single" w:sz="4" w:space="0" w:color="auto"/>
              <w:right w:val="single" w:sz="4" w:space="0" w:color="auto"/>
            </w:tcBorders>
            <w:vAlign w:val="center"/>
            <w:hideMark/>
          </w:tcPr>
          <w:p w14:paraId="593936DF"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CA</w:t>
            </w:r>
          </w:p>
        </w:tc>
        <w:tc>
          <w:tcPr>
            <w:tcW w:w="993" w:type="dxa"/>
            <w:tcBorders>
              <w:top w:val="nil"/>
              <w:left w:val="nil"/>
              <w:bottom w:val="single" w:sz="4" w:space="0" w:color="auto"/>
              <w:right w:val="single" w:sz="4" w:space="0" w:color="auto"/>
            </w:tcBorders>
            <w:noWrap/>
            <w:vAlign w:val="bottom"/>
            <w:hideMark/>
          </w:tcPr>
          <w:p w14:paraId="02FAFA62"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887" w:type="dxa"/>
            <w:tcBorders>
              <w:top w:val="nil"/>
              <w:left w:val="nil"/>
              <w:bottom w:val="single" w:sz="4" w:space="0" w:color="auto"/>
              <w:right w:val="single" w:sz="4" w:space="0" w:color="auto"/>
            </w:tcBorders>
            <w:noWrap/>
            <w:vAlign w:val="bottom"/>
            <w:hideMark/>
          </w:tcPr>
          <w:p w14:paraId="71642E42"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866" w:type="dxa"/>
            <w:tcBorders>
              <w:top w:val="nil"/>
              <w:left w:val="nil"/>
              <w:bottom w:val="single" w:sz="4" w:space="0" w:color="auto"/>
              <w:right w:val="single" w:sz="4" w:space="0" w:color="auto"/>
            </w:tcBorders>
            <w:noWrap/>
            <w:vAlign w:val="bottom"/>
            <w:hideMark/>
          </w:tcPr>
          <w:p w14:paraId="2B4F7DB6"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94" w:type="dxa"/>
            <w:tcBorders>
              <w:top w:val="nil"/>
              <w:left w:val="nil"/>
              <w:bottom w:val="single" w:sz="4" w:space="0" w:color="auto"/>
              <w:right w:val="single" w:sz="4" w:space="0" w:color="auto"/>
            </w:tcBorders>
            <w:noWrap/>
            <w:vAlign w:val="bottom"/>
            <w:hideMark/>
          </w:tcPr>
          <w:p w14:paraId="23967088"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66" w:type="dxa"/>
            <w:tcBorders>
              <w:top w:val="nil"/>
              <w:left w:val="nil"/>
              <w:bottom w:val="single" w:sz="4" w:space="0" w:color="auto"/>
              <w:right w:val="single" w:sz="4" w:space="0" w:color="auto"/>
            </w:tcBorders>
            <w:noWrap/>
            <w:vAlign w:val="bottom"/>
            <w:hideMark/>
          </w:tcPr>
          <w:p w14:paraId="5D67DAD6"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66" w:type="dxa"/>
            <w:tcBorders>
              <w:top w:val="nil"/>
              <w:left w:val="nil"/>
              <w:bottom w:val="single" w:sz="4" w:space="0" w:color="auto"/>
              <w:right w:val="single" w:sz="4" w:space="0" w:color="auto"/>
            </w:tcBorders>
            <w:noWrap/>
            <w:vAlign w:val="bottom"/>
            <w:hideMark/>
          </w:tcPr>
          <w:p w14:paraId="74431DE1"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866" w:type="dxa"/>
            <w:tcBorders>
              <w:top w:val="nil"/>
              <w:left w:val="nil"/>
              <w:bottom w:val="single" w:sz="4" w:space="0" w:color="auto"/>
              <w:right w:val="single" w:sz="4" w:space="0" w:color="auto"/>
            </w:tcBorders>
            <w:noWrap/>
            <w:vAlign w:val="bottom"/>
            <w:hideMark/>
          </w:tcPr>
          <w:p w14:paraId="4DDE2E48"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94" w:type="dxa"/>
            <w:tcBorders>
              <w:top w:val="nil"/>
              <w:left w:val="nil"/>
              <w:bottom w:val="single" w:sz="4" w:space="0" w:color="auto"/>
              <w:right w:val="single" w:sz="4" w:space="0" w:color="auto"/>
            </w:tcBorders>
            <w:noWrap/>
            <w:vAlign w:val="bottom"/>
            <w:hideMark/>
          </w:tcPr>
          <w:p w14:paraId="5FA26F93"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66" w:type="dxa"/>
            <w:tcBorders>
              <w:top w:val="nil"/>
              <w:left w:val="nil"/>
              <w:bottom w:val="single" w:sz="4" w:space="0" w:color="auto"/>
              <w:right w:val="single" w:sz="4" w:space="0" w:color="auto"/>
            </w:tcBorders>
            <w:noWrap/>
            <w:vAlign w:val="bottom"/>
            <w:hideMark/>
          </w:tcPr>
          <w:p w14:paraId="759F380F"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94" w:type="dxa"/>
            <w:tcBorders>
              <w:top w:val="nil"/>
              <w:left w:val="nil"/>
              <w:bottom w:val="single" w:sz="4" w:space="0" w:color="auto"/>
              <w:right w:val="single" w:sz="4" w:space="0" w:color="auto"/>
            </w:tcBorders>
            <w:noWrap/>
            <w:vAlign w:val="bottom"/>
            <w:hideMark/>
          </w:tcPr>
          <w:p w14:paraId="78369999"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r>
      <w:tr w:rsidR="00F16EB8" w:rsidRPr="00B63409" w14:paraId="28583D33" w14:textId="77777777" w:rsidTr="00BE6FF5">
        <w:trPr>
          <w:trHeight w:val="300"/>
        </w:trPr>
        <w:tc>
          <w:tcPr>
            <w:tcW w:w="1525" w:type="dxa"/>
            <w:vMerge/>
            <w:tcBorders>
              <w:top w:val="nil"/>
              <w:left w:val="single" w:sz="4" w:space="0" w:color="auto"/>
              <w:bottom w:val="single" w:sz="4" w:space="0" w:color="000000"/>
              <w:right w:val="single" w:sz="4" w:space="0" w:color="auto"/>
            </w:tcBorders>
            <w:vAlign w:val="center"/>
            <w:hideMark/>
          </w:tcPr>
          <w:p w14:paraId="226A8B1A" w14:textId="77777777" w:rsidR="00F16EB8" w:rsidRPr="00B63409" w:rsidRDefault="00F16EB8" w:rsidP="00BE6FF5">
            <w:pPr>
              <w:rPr>
                <w:rFonts w:asciiTheme="minorHAnsi" w:hAnsiTheme="minorHAnsi" w:cstheme="minorHAnsi"/>
                <w:color w:val="000000"/>
                <w:sz w:val="18"/>
                <w:szCs w:val="18"/>
                <w:lang w:val="en-GB" w:eastAsia="en-GB"/>
              </w:rPr>
            </w:pPr>
          </w:p>
        </w:tc>
        <w:tc>
          <w:tcPr>
            <w:tcW w:w="680" w:type="dxa"/>
            <w:tcBorders>
              <w:top w:val="nil"/>
              <w:left w:val="nil"/>
              <w:bottom w:val="single" w:sz="4" w:space="0" w:color="auto"/>
              <w:right w:val="single" w:sz="4" w:space="0" w:color="auto"/>
            </w:tcBorders>
            <w:vAlign w:val="center"/>
            <w:hideMark/>
          </w:tcPr>
          <w:p w14:paraId="6C6718E5"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CB</w:t>
            </w:r>
          </w:p>
        </w:tc>
        <w:tc>
          <w:tcPr>
            <w:tcW w:w="993" w:type="dxa"/>
            <w:tcBorders>
              <w:top w:val="nil"/>
              <w:left w:val="nil"/>
              <w:bottom w:val="single" w:sz="4" w:space="0" w:color="auto"/>
              <w:right w:val="single" w:sz="4" w:space="0" w:color="auto"/>
            </w:tcBorders>
            <w:noWrap/>
            <w:vAlign w:val="bottom"/>
            <w:hideMark/>
          </w:tcPr>
          <w:p w14:paraId="4A32E8BA"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887" w:type="dxa"/>
            <w:tcBorders>
              <w:top w:val="nil"/>
              <w:left w:val="nil"/>
              <w:bottom w:val="single" w:sz="4" w:space="0" w:color="auto"/>
              <w:right w:val="single" w:sz="4" w:space="0" w:color="auto"/>
            </w:tcBorders>
            <w:noWrap/>
            <w:vAlign w:val="bottom"/>
            <w:hideMark/>
          </w:tcPr>
          <w:p w14:paraId="1E16F1D4"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866" w:type="dxa"/>
            <w:tcBorders>
              <w:top w:val="nil"/>
              <w:left w:val="nil"/>
              <w:bottom w:val="single" w:sz="4" w:space="0" w:color="auto"/>
              <w:right w:val="single" w:sz="4" w:space="0" w:color="auto"/>
            </w:tcBorders>
            <w:noWrap/>
            <w:vAlign w:val="bottom"/>
            <w:hideMark/>
          </w:tcPr>
          <w:p w14:paraId="714805B7"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94" w:type="dxa"/>
            <w:tcBorders>
              <w:top w:val="nil"/>
              <w:left w:val="nil"/>
              <w:bottom w:val="single" w:sz="4" w:space="0" w:color="auto"/>
              <w:right w:val="single" w:sz="4" w:space="0" w:color="auto"/>
            </w:tcBorders>
            <w:noWrap/>
            <w:vAlign w:val="bottom"/>
            <w:hideMark/>
          </w:tcPr>
          <w:p w14:paraId="7310240E"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66" w:type="dxa"/>
            <w:tcBorders>
              <w:top w:val="nil"/>
              <w:left w:val="nil"/>
              <w:bottom w:val="single" w:sz="4" w:space="0" w:color="auto"/>
              <w:right w:val="single" w:sz="4" w:space="0" w:color="auto"/>
            </w:tcBorders>
            <w:noWrap/>
            <w:vAlign w:val="bottom"/>
            <w:hideMark/>
          </w:tcPr>
          <w:p w14:paraId="4D44208D"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66" w:type="dxa"/>
            <w:tcBorders>
              <w:top w:val="nil"/>
              <w:left w:val="nil"/>
              <w:bottom w:val="single" w:sz="4" w:space="0" w:color="auto"/>
              <w:right w:val="single" w:sz="4" w:space="0" w:color="auto"/>
            </w:tcBorders>
            <w:noWrap/>
            <w:vAlign w:val="bottom"/>
            <w:hideMark/>
          </w:tcPr>
          <w:p w14:paraId="49A1979D"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866" w:type="dxa"/>
            <w:tcBorders>
              <w:top w:val="nil"/>
              <w:left w:val="nil"/>
              <w:bottom w:val="single" w:sz="4" w:space="0" w:color="auto"/>
              <w:right w:val="single" w:sz="4" w:space="0" w:color="auto"/>
            </w:tcBorders>
            <w:noWrap/>
            <w:vAlign w:val="bottom"/>
            <w:hideMark/>
          </w:tcPr>
          <w:p w14:paraId="57424C6F"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94" w:type="dxa"/>
            <w:tcBorders>
              <w:top w:val="nil"/>
              <w:left w:val="nil"/>
              <w:bottom w:val="single" w:sz="4" w:space="0" w:color="auto"/>
              <w:right w:val="single" w:sz="4" w:space="0" w:color="auto"/>
            </w:tcBorders>
            <w:noWrap/>
            <w:vAlign w:val="bottom"/>
            <w:hideMark/>
          </w:tcPr>
          <w:p w14:paraId="257B1578"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66" w:type="dxa"/>
            <w:tcBorders>
              <w:top w:val="nil"/>
              <w:left w:val="nil"/>
              <w:bottom w:val="single" w:sz="4" w:space="0" w:color="auto"/>
              <w:right w:val="single" w:sz="4" w:space="0" w:color="auto"/>
            </w:tcBorders>
            <w:noWrap/>
            <w:vAlign w:val="bottom"/>
            <w:hideMark/>
          </w:tcPr>
          <w:p w14:paraId="7DF35995"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c>
          <w:tcPr>
            <w:tcW w:w="794" w:type="dxa"/>
            <w:tcBorders>
              <w:top w:val="nil"/>
              <w:left w:val="nil"/>
              <w:bottom w:val="single" w:sz="4" w:space="0" w:color="auto"/>
              <w:right w:val="single" w:sz="4" w:space="0" w:color="auto"/>
            </w:tcBorders>
            <w:noWrap/>
            <w:vAlign w:val="bottom"/>
            <w:hideMark/>
          </w:tcPr>
          <w:p w14:paraId="7BC0A3C8"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0</w:t>
            </w:r>
          </w:p>
        </w:tc>
      </w:tr>
      <w:tr w:rsidR="00F16EB8" w:rsidRPr="00B63409" w14:paraId="2E6ADF53" w14:textId="77777777" w:rsidTr="00BE6FF5">
        <w:trPr>
          <w:trHeight w:val="300"/>
        </w:trPr>
        <w:tc>
          <w:tcPr>
            <w:tcW w:w="1525" w:type="dxa"/>
            <w:vMerge w:val="restart"/>
            <w:tcBorders>
              <w:top w:val="nil"/>
              <w:left w:val="single" w:sz="4" w:space="0" w:color="auto"/>
              <w:bottom w:val="single" w:sz="4" w:space="0" w:color="000000"/>
              <w:right w:val="single" w:sz="4" w:space="0" w:color="auto"/>
            </w:tcBorders>
            <w:vAlign w:val="center"/>
            <w:hideMark/>
          </w:tcPr>
          <w:p w14:paraId="5C3085A6" w14:textId="77777777" w:rsidR="00F16EB8" w:rsidRPr="00B63409" w:rsidRDefault="00F16EB8" w:rsidP="00BE6FF5">
            <w:pPr>
              <w:rPr>
                <w:rFonts w:asciiTheme="minorHAnsi" w:hAnsiTheme="minorHAnsi" w:cstheme="minorHAnsi"/>
                <w:color w:val="000000"/>
                <w:sz w:val="18"/>
                <w:szCs w:val="18"/>
                <w:lang w:val="en-GB" w:eastAsia="en-GB"/>
              </w:rPr>
            </w:pPr>
            <w:proofErr w:type="spellStart"/>
            <w:r w:rsidRPr="00B63409">
              <w:rPr>
                <w:rFonts w:asciiTheme="minorHAnsi" w:hAnsiTheme="minorHAnsi" w:cstheme="minorHAnsi"/>
                <w:color w:val="000000"/>
                <w:sz w:val="18"/>
                <w:szCs w:val="18"/>
                <w:lang w:val="en-GB" w:eastAsia="en-GB"/>
              </w:rPr>
              <w:t>Cheltuieli</w:t>
            </w:r>
            <w:proofErr w:type="spellEnd"/>
            <w:r w:rsidRPr="00B63409">
              <w:rPr>
                <w:rFonts w:asciiTheme="minorHAnsi" w:hAnsiTheme="minorHAnsi" w:cstheme="minorHAnsi"/>
                <w:color w:val="000000"/>
                <w:sz w:val="18"/>
                <w:szCs w:val="18"/>
                <w:lang w:val="en-GB" w:eastAsia="en-GB"/>
              </w:rPr>
              <w:t xml:space="preserve"> de capital</w:t>
            </w:r>
          </w:p>
        </w:tc>
        <w:tc>
          <w:tcPr>
            <w:tcW w:w="680" w:type="dxa"/>
            <w:tcBorders>
              <w:top w:val="nil"/>
              <w:left w:val="nil"/>
              <w:bottom w:val="single" w:sz="4" w:space="0" w:color="auto"/>
              <w:right w:val="single" w:sz="4" w:space="0" w:color="auto"/>
            </w:tcBorders>
            <w:vAlign w:val="center"/>
            <w:hideMark/>
          </w:tcPr>
          <w:p w14:paraId="4C840D04"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CA</w:t>
            </w:r>
          </w:p>
        </w:tc>
        <w:tc>
          <w:tcPr>
            <w:tcW w:w="993" w:type="dxa"/>
            <w:tcBorders>
              <w:top w:val="nil"/>
              <w:left w:val="nil"/>
              <w:bottom w:val="single" w:sz="4" w:space="0" w:color="auto"/>
              <w:right w:val="single" w:sz="4" w:space="0" w:color="auto"/>
            </w:tcBorders>
            <w:noWrap/>
            <w:vAlign w:val="bottom"/>
            <w:hideMark/>
          </w:tcPr>
          <w:p w14:paraId="00F438E2"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2,867</w:t>
            </w:r>
          </w:p>
        </w:tc>
        <w:tc>
          <w:tcPr>
            <w:tcW w:w="887" w:type="dxa"/>
            <w:tcBorders>
              <w:top w:val="nil"/>
              <w:left w:val="nil"/>
              <w:bottom w:val="single" w:sz="4" w:space="0" w:color="auto"/>
              <w:right w:val="single" w:sz="4" w:space="0" w:color="auto"/>
            </w:tcBorders>
            <w:noWrap/>
            <w:vAlign w:val="bottom"/>
            <w:hideMark/>
          </w:tcPr>
          <w:p w14:paraId="3436F531"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299</w:t>
            </w:r>
          </w:p>
        </w:tc>
        <w:tc>
          <w:tcPr>
            <w:tcW w:w="866" w:type="dxa"/>
            <w:tcBorders>
              <w:top w:val="nil"/>
              <w:left w:val="nil"/>
              <w:bottom w:val="single" w:sz="4" w:space="0" w:color="auto"/>
              <w:right w:val="single" w:sz="4" w:space="0" w:color="auto"/>
            </w:tcBorders>
            <w:noWrap/>
            <w:vAlign w:val="bottom"/>
            <w:hideMark/>
          </w:tcPr>
          <w:p w14:paraId="3B693065"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601</w:t>
            </w:r>
          </w:p>
        </w:tc>
        <w:tc>
          <w:tcPr>
            <w:tcW w:w="794" w:type="dxa"/>
            <w:tcBorders>
              <w:top w:val="nil"/>
              <w:left w:val="nil"/>
              <w:bottom w:val="single" w:sz="4" w:space="0" w:color="auto"/>
              <w:right w:val="single" w:sz="4" w:space="0" w:color="auto"/>
            </w:tcBorders>
            <w:noWrap/>
            <w:vAlign w:val="bottom"/>
            <w:hideMark/>
          </w:tcPr>
          <w:p w14:paraId="4D725EA1"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109</w:t>
            </w:r>
          </w:p>
        </w:tc>
        <w:tc>
          <w:tcPr>
            <w:tcW w:w="766" w:type="dxa"/>
            <w:tcBorders>
              <w:top w:val="nil"/>
              <w:left w:val="nil"/>
              <w:bottom w:val="single" w:sz="4" w:space="0" w:color="auto"/>
              <w:right w:val="single" w:sz="4" w:space="0" w:color="auto"/>
            </w:tcBorders>
            <w:noWrap/>
            <w:vAlign w:val="bottom"/>
            <w:hideMark/>
          </w:tcPr>
          <w:p w14:paraId="37A53708"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1,224</w:t>
            </w:r>
          </w:p>
        </w:tc>
        <w:tc>
          <w:tcPr>
            <w:tcW w:w="766" w:type="dxa"/>
            <w:tcBorders>
              <w:top w:val="nil"/>
              <w:left w:val="nil"/>
              <w:bottom w:val="single" w:sz="4" w:space="0" w:color="auto"/>
              <w:right w:val="single" w:sz="4" w:space="0" w:color="auto"/>
            </w:tcBorders>
            <w:noWrap/>
            <w:vAlign w:val="bottom"/>
            <w:hideMark/>
          </w:tcPr>
          <w:p w14:paraId="583D0100"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223</w:t>
            </w:r>
          </w:p>
        </w:tc>
        <w:tc>
          <w:tcPr>
            <w:tcW w:w="866" w:type="dxa"/>
            <w:tcBorders>
              <w:top w:val="nil"/>
              <w:left w:val="nil"/>
              <w:bottom w:val="single" w:sz="4" w:space="0" w:color="auto"/>
              <w:right w:val="single" w:sz="4" w:space="0" w:color="auto"/>
            </w:tcBorders>
            <w:noWrap/>
            <w:vAlign w:val="bottom"/>
            <w:hideMark/>
          </w:tcPr>
          <w:p w14:paraId="375C47B3"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417</w:t>
            </w:r>
          </w:p>
        </w:tc>
        <w:tc>
          <w:tcPr>
            <w:tcW w:w="794" w:type="dxa"/>
            <w:tcBorders>
              <w:top w:val="nil"/>
              <w:left w:val="nil"/>
              <w:bottom w:val="single" w:sz="4" w:space="0" w:color="auto"/>
              <w:right w:val="single" w:sz="4" w:space="0" w:color="auto"/>
            </w:tcBorders>
            <w:noWrap/>
            <w:vAlign w:val="bottom"/>
            <w:hideMark/>
          </w:tcPr>
          <w:p w14:paraId="6A376AAD"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76</w:t>
            </w:r>
          </w:p>
        </w:tc>
        <w:tc>
          <w:tcPr>
            <w:tcW w:w="766" w:type="dxa"/>
            <w:tcBorders>
              <w:top w:val="nil"/>
              <w:left w:val="nil"/>
              <w:bottom w:val="single" w:sz="4" w:space="0" w:color="auto"/>
              <w:right w:val="single" w:sz="4" w:space="0" w:color="auto"/>
            </w:tcBorders>
            <w:noWrap/>
            <w:vAlign w:val="bottom"/>
            <w:hideMark/>
          </w:tcPr>
          <w:p w14:paraId="6B046814"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625</w:t>
            </w:r>
          </w:p>
        </w:tc>
        <w:tc>
          <w:tcPr>
            <w:tcW w:w="794" w:type="dxa"/>
            <w:tcBorders>
              <w:top w:val="nil"/>
              <w:left w:val="nil"/>
              <w:bottom w:val="single" w:sz="4" w:space="0" w:color="auto"/>
              <w:right w:val="single" w:sz="4" w:space="0" w:color="auto"/>
            </w:tcBorders>
            <w:noWrap/>
            <w:vAlign w:val="bottom"/>
            <w:hideMark/>
          </w:tcPr>
          <w:p w14:paraId="2319C36D"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114</w:t>
            </w:r>
          </w:p>
        </w:tc>
      </w:tr>
      <w:tr w:rsidR="00F16EB8" w:rsidRPr="00B63409" w14:paraId="55119085" w14:textId="77777777" w:rsidTr="00BE6FF5">
        <w:trPr>
          <w:trHeight w:val="300"/>
        </w:trPr>
        <w:tc>
          <w:tcPr>
            <w:tcW w:w="1525" w:type="dxa"/>
            <w:vMerge/>
            <w:tcBorders>
              <w:top w:val="nil"/>
              <w:left w:val="single" w:sz="4" w:space="0" w:color="auto"/>
              <w:bottom w:val="single" w:sz="4" w:space="0" w:color="000000"/>
              <w:right w:val="single" w:sz="4" w:space="0" w:color="auto"/>
            </w:tcBorders>
            <w:vAlign w:val="center"/>
            <w:hideMark/>
          </w:tcPr>
          <w:p w14:paraId="55064BDE" w14:textId="77777777" w:rsidR="00F16EB8" w:rsidRPr="00B63409" w:rsidRDefault="00F16EB8" w:rsidP="00BE6FF5">
            <w:pPr>
              <w:rPr>
                <w:rFonts w:asciiTheme="minorHAnsi" w:hAnsiTheme="minorHAnsi" w:cstheme="minorHAnsi"/>
                <w:color w:val="000000"/>
                <w:sz w:val="18"/>
                <w:szCs w:val="18"/>
                <w:lang w:val="en-GB" w:eastAsia="en-GB"/>
              </w:rPr>
            </w:pPr>
          </w:p>
        </w:tc>
        <w:tc>
          <w:tcPr>
            <w:tcW w:w="680" w:type="dxa"/>
            <w:tcBorders>
              <w:top w:val="nil"/>
              <w:left w:val="nil"/>
              <w:bottom w:val="single" w:sz="4" w:space="0" w:color="auto"/>
              <w:right w:val="single" w:sz="4" w:space="0" w:color="auto"/>
            </w:tcBorders>
            <w:noWrap/>
            <w:vAlign w:val="bottom"/>
            <w:hideMark/>
          </w:tcPr>
          <w:p w14:paraId="6D995FE2" w14:textId="77777777" w:rsidR="00F16EB8" w:rsidRPr="00B63409" w:rsidRDefault="00F16EB8" w:rsidP="00BE6FF5">
            <w:pPr>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CB</w:t>
            </w:r>
          </w:p>
        </w:tc>
        <w:tc>
          <w:tcPr>
            <w:tcW w:w="993" w:type="dxa"/>
            <w:tcBorders>
              <w:top w:val="nil"/>
              <w:left w:val="nil"/>
              <w:bottom w:val="single" w:sz="4" w:space="0" w:color="auto"/>
              <w:right w:val="single" w:sz="4" w:space="0" w:color="auto"/>
            </w:tcBorders>
            <w:noWrap/>
            <w:vAlign w:val="bottom"/>
            <w:hideMark/>
          </w:tcPr>
          <w:p w14:paraId="300051F2"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2,867</w:t>
            </w:r>
          </w:p>
        </w:tc>
        <w:tc>
          <w:tcPr>
            <w:tcW w:w="887" w:type="dxa"/>
            <w:tcBorders>
              <w:top w:val="nil"/>
              <w:left w:val="nil"/>
              <w:bottom w:val="single" w:sz="4" w:space="0" w:color="auto"/>
              <w:right w:val="single" w:sz="4" w:space="0" w:color="auto"/>
            </w:tcBorders>
            <w:noWrap/>
            <w:vAlign w:val="bottom"/>
            <w:hideMark/>
          </w:tcPr>
          <w:p w14:paraId="175479AC"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299</w:t>
            </w:r>
          </w:p>
        </w:tc>
        <w:tc>
          <w:tcPr>
            <w:tcW w:w="866" w:type="dxa"/>
            <w:tcBorders>
              <w:top w:val="nil"/>
              <w:left w:val="nil"/>
              <w:bottom w:val="single" w:sz="4" w:space="0" w:color="auto"/>
              <w:right w:val="single" w:sz="4" w:space="0" w:color="auto"/>
            </w:tcBorders>
            <w:noWrap/>
            <w:vAlign w:val="bottom"/>
            <w:hideMark/>
          </w:tcPr>
          <w:p w14:paraId="1ECC7D46"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601</w:t>
            </w:r>
          </w:p>
        </w:tc>
        <w:tc>
          <w:tcPr>
            <w:tcW w:w="794" w:type="dxa"/>
            <w:tcBorders>
              <w:top w:val="nil"/>
              <w:left w:val="nil"/>
              <w:bottom w:val="single" w:sz="4" w:space="0" w:color="auto"/>
              <w:right w:val="single" w:sz="4" w:space="0" w:color="auto"/>
            </w:tcBorders>
            <w:noWrap/>
            <w:vAlign w:val="bottom"/>
            <w:hideMark/>
          </w:tcPr>
          <w:p w14:paraId="25EEAC57"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109</w:t>
            </w:r>
          </w:p>
        </w:tc>
        <w:tc>
          <w:tcPr>
            <w:tcW w:w="766" w:type="dxa"/>
            <w:tcBorders>
              <w:top w:val="nil"/>
              <w:left w:val="nil"/>
              <w:bottom w:val="single" w:sz="4" w:space="0" w:color="auto"/>
              <w:right w:val="single" w:sz="4" w:space="0" w:color="auto"/>
            </w:tcBorders>
            <w:noWrap/>
            <w:vAlign w:val="bottom"/>
            <w:hideMark/>
          </w:tcPr>
          <w:p w14:paraId="50564B23"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1,224</w:t>
            </w:r>
          </w:p>
        </w:tc>
        <w:tc>
          <w:tcPr>
            <w:tcW w:w="766" w:type="dxa"/>
            <w:tcBorders>
              <w:top w:val="nil"/>
              <w:left w:val="nil"/>
              <w:bottom w:val="single" w:sz="4" w:space="0" w:color="auto"/>
              <w:right w:val="single" w:sz="4" w:space="0" w:color="auto"/>
            </w:tcBorders>
            <w:noWrap/>
            <w:vAlign w:val="bottom"/>
            <w:hideMark/>
          </w:tcPr>
          <w:p w14:paraId="198D6D23"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223</w:t>
            </w:r>
          </w:p>
        </w:tc>
        <w:tc>
          <w:tcPr>
            <w:tcW w:w="866" w:type="dxa"/>
            <w:tcBorders>
              <w:top w:val="nil"/>
              <w:left w:val="nil"/>
              <w:bottom w:val="single" w:sz="4" w:space="0" w:color="auto"/>
              <w:right w:val="single" w:sz="4" w:space="0" w:color="auto"/>
            </w:tcBorders>
            <w:noWrap/>
            <w:vAlign w:val="bottom"/>
            <w:hideMark/>
          </w:tcPr>
          <w:p w14:paraId="61A08F03"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417</w:t>
            </w:r>
          </w:p>
        </w:tc>
        <w:tc>
          <w:tcPr>
            <w:tcW w:w="794" w:type="dxa"/>
            <w:tcBorders>
              <w:top w:val="nil"/>
              <w:left w:val="nil"/>
              <w:bottom w:val="single" w:sz="4" w:space="0" w:color="auto"/>
              <w:right w:val="single" w:sz="4" w:space="0" w:color="auto"/>
            </w:tcBorders>
            <w:noWrap/>
            <w:vAlign w:val="bottom"/>
            <w:hideMark/>
          </w:tcPr>
          <w:p w14:paraId="679B41E0"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76</w:t>
            </w:r>
          </w:p>
        </w:tc>
        <w:tc>
          <w:tcPr>
            <w:tcW w:w="766" w:type="dxa"/>
            <w:tcBorders>
              <w:top w:val="nil"/>
              <w:left w:val="nil"/>
              <w:bottom w:val="single" w:sz="4" w:space="0" w:color="auto"/>
              <w:right w:val="single" w:sz="4" w:space="0" w:color="auto"/>
            </w:tcBorders>
            <w:noWrap/>
            <w:vAlign w:val="bottom"/>
            <w:hideMark/>
          </w:tcPr>
          <w:p w14:paraId="4A3B1BC5"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625</w:t>
            </w:r>
          </w:p>
        </w:tc>
        <w:tc>
          <w:tcPr>
            <w:tcW w:w="794" w:type="dxa"/>
            <w:tcBorders>
              <w:top w:val="nil"/>
              <w:left w:val="nil"/>
              <w:bottom w:val="single" w:sz="4" w:space="0" w:color="auto"/>
              <w:right w:val="single" w:sz="4" w:space="0" w:color="auto"/>
            </w:tcBorders>
            <w:noWrap/>
            <w:vAlign w:val="bottom"/>
            <w:hideMark/>
          </w:tcPr>
          <w:p w14:paraId="58A535E6" w14:textId="77777777" w:rsidR="00F16EB8" w:rsidRPr="00B63409" w:rsidRDefault="00F16EB8" w:rsidP="00BE6FF5">
            <w:pPr>
              <w:jc w:val="right"/>
              <w:rPr>
                <w:rFonts w:asciiTheme="minorHAnsi" w:hAnsiTheme="minorHAnsi" w:cstheme="minorHAnsi"/>
                <w:color w:val="000000"/>
                <w:sz w:val="18"/>
                <w:szCs w:val="18"/>
                <w:lang w:val="en-GB" w:eastAsia="en-GB"/>
              </w:rPr>
            </w:pPr>
            <w:r w:rsidRPr="00B63409">
              <w:rPr>
                <w:rFonts w:asciiTheme="minorHAnsi" w:hAnsiTheme="minorHAnsi" w:cstheme="minorHAnsi"/>
                <w:color w:val="000000"/>
                <w:sz w:val="18"/>
                <w:szCs w:val="18"/>
                <w:lang w:val="en-GB" w:eastAsia="en-GB"/>
              </w:rPr>
              <w:t>114</w:t>
            </w:r>
          </w:p>
        </w:tc>
      </w:tr>
    </w:tbl>
    <w:p w14:paraId="741FB959" w14:textId="7A62314C" w:rsidR="00F95196" w:rsidRPr="00F95196" w:rsidRDefault="00F95196" w:rsidP="009E3AD8">
      <w:pPr>
        <w:spacing w:line="276" w:lineRule="auto"/>
        <w:ind w:right="-180"/>
        <w:jc w:val="both"/>
        <w:rPr>
          <w:rFonts w:ascii="Calibri" w:hAnsi="Calibri" w:cs="Calibri"/>
          <w:sz w:val="26"/>
          <w:szCs w:val="26"/>
        </w:rPr>
      </w:pPr>
    </w:p>
    <w:p w14:paraId="00167B6E" w14:textId="77777777" w:rsidR="00F95196" w:rsidRPr="00F95196" w:rsidRDefault="00F95196" w:rsidP="00F16EB8">
      <w:pPr>
        <w:keepNext/>
        <w:spacing w:line="276" w:lineRule="auto"/>
        <w:ind w:right="-180"/>
        <w:jc w:val="both"/>
        <w:rPr>
          <w:rFonts w:ascii="Calibri" w:hAnsi="Calibri" w:cs="Calibri"/>
          <w:sz w:val="26"/>
          <w:szCs w:val="26"/>
        </w:rPr>
      </w:pPr>
      <w:r w:rsidRPr="00F95196">
        <w:rPr>
          <w:rFonts w:ascii="Calibri" w:hAnsi="Calibri" w:cs="Calibri"/>
          <w:sz w:val="26"/>
          <w:szCs w:val="26"/>
        </w:rPr>
        <w:lastRenderedPageBreak/>
        <w:t>Prezentarea grafică, precum şi dinamica bugetelor pe perioada 2024-2026 este ilustrată, astfel:</w:t>
      </w:r>
    </w:p>
    <w:p w14:paraId="4524FAFF" w14:textId="77777777" w:rsidR="006F0E6A" w:rsidRDefault="006F0E6A" w:rsidP="00F16EB8">
      <w:pPr>
        <w:keepNext/>
        <w:spacing w:line="276" w:lineRule="auto"/>
        <w:ind w:right="-180" w:firstLine="387"/>
        <w:jc w:val="center"/>
        <w:rPr>
          <w:rFonts w:ascii="Calibri" w:hAnsi="Calibri" w:cs="Calibri"/>
          <w:b/>
          <w:sz w:val="26"/>
          <w:szCs w:val="26"/>
        </w:rPr>
      </w:pPr>
    </w:p>
    <w:p w14:paraId="7989D43E" w14:textId="2B966ECA" w:rsidR="00F95196" w:rsidRPr="00F95196" w:rsidRDefault="00F95196" w:rsidP="00F16EB8">
      <w:pPr>
        <w:keepNext/>
        <w:spacing w:line="276" w:lineRule="auto"/>
        <w:ind w:right="-180" w:firstLine="387"/>
        <w:jc w:val="center"/>
        <w:rPr>
          <w:rFonts w:ascii="Calibri" w:hAnsi="Calibri" w:cs="Calibri"/>
          <w:b/>
          <w:sz w:val="26"/>
          <w:szCs w:val="26"/>
        </w:rPr>
      </w:pPr>
      <w:r w:rsidRPr="00F95196">
        <w:rPr>
          <w:rFonts w:ascii="Calibri" w:hAnsi="Calibri" w:cs="Calibri"/>
          <w:b/>
          <w:sz w:val="26"/>
          <w:szCs w:val="26"/>
        </w:rPr>
        <w:t xml:space="preserve">CONSILIUL SUPERIOR AL MAGISTRATURII </w:t>
      </w:r>
    </w:p>
    <w:p w14:paraId="1C74AF78" w14:textId="79768CF2" w:rsidR="00F95196" w:rsidRPr="009E3D5E" w:rsidRDefault="00F95196" w:rsidP="00F16EB8">
      <w:pPr>
        <w:keepNext/>
        <w:spacing w:line="276" w:lineRule="auto"/>
        <w:ind w:right="-180" w:firstLine="387"/>
        <w:jc w:val="center"/>
        <w:rPr>
          <w:rFonts w:ascii="Calibri" w:hAnsi="Calibri" w:cs="Calibri"/>
          <w:b/>
          <w:sz w:val="26"/>
          <w:szCs w:val="26"/>
        </w:rPr>
      </w:pPr>
      <w:r w:rsidRPr="00F95196">
        <w:rPr>
          <w:rFonts w:ascii="Calibri" w:hAnsi="Calibri" w:cs="Calibri"/>
          <w:b/>
          <w:sz w:val="26"/>
          <w:szCs w:val="26"/>
        </w:rPr>
        <w:t>APARAT PROPRIU</w:t>
      </w:r>
    </w:p>
    <w:p w14:paraId="437C606A" w14:textId="77777777" w:rsidR="00F95196" w:rsidRPr="00F95196" w:rsidRDefault="00F95196" w:rsidP="00F16EB8">
      <w:pPr>
        <w:keepNext/>
        <w:spacing w:line="276" w:lineRule="auto"/>
        <w:rPr>
          <w:rFonts w:ascii="Calibri" w:hAnsi="Calibri" w:cs="Calibri"/>
          <w:sz w:val="20"/>
        </w:rPr>
      </w:pPr>
    </w:p>
    <w:p w14:paraId="158BA9D6" w14:textId="77777777" w:rsidR="00F95196" w:rsidRPr="00F95196" w:rsidRDefault="00F95196" w:rsidP="00F16EB8">
      <w:pPr>
        <w:keepNext/>
        <w:spacing w:line="276" w:lineRule="auto"/>
        <w:jc w:val="center"/>
        <w:rPr>
          <w:rFonts w:ascii="Calibri" w:hAnsi="Calibri" w:cs="Calibri"/>
          <w:b/>
          <w:noProof/>
          <w:sz w:val="26"/>
          <w:szCs w:val="26"/>
          <w:lang w:val="en-GB" w:eastAsia="en-GB"/>
        </w:rPr>
      </w:pPr>
      <w:r w:rsidRPr="00F95196">
        <w:rPr>
          <w:noProof/>
        </w:rPr>
        <w:drawing>
          <wp:inline distT="0" distB="0" distL="0" distR="0" wp14:anchorId="53250BC5" wp14:editId="2C9967F1">
            <wp:extent cx="5534025" cy="2857500"/>
            <wp:effectExtent l="0" t="0" r="9525" b="0"/>
            <wp:docPr id="1405034923" name="Chart 1">
              <a:extLst xmlns:a="http://schemas.openxmlformats.org/drawingml/2006/main">
                <a:ext uri="{FF2B5EF4-FFF2-40B4-BE49-F238E27FC236}">
                  <a16:creationId xmlns:a16="http://schemas.microsoft.com/office/drawing/2014/main"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5E13B44" w14:textId="77777777" w:rsidR="00040104" w:rsidRDefault="00F95196" w:rsidP="009E3AD8">
      <w:pPr>
        <w:spacing w:line="276" w:lineRule="auto"/>
        <w:ind w:left="8496" w:firstLine="708"/>
        <w:jc w:val="both"/>
        <w:rPr>
          <w:rFonts w:ascii="Calibri" w:hAnsi="Calibri" w:cs="Calibri"/>
          <w:b/>
          <w:noProof/>
          <w:sz w:val="26"/>
          <w:szCs w:val="26"/>
          <w:lang w:val="en-GB" w:eastAsia="en-GB"/>
        </w:rPr>
      </w:pPr>
      <w:r w:rsidRPr="00F95196">
        <w:rPr>
          <w:rFonts w:ascii="Calibri" w:hAnsi="Calibri" w:cs="Calibri"/>
          <w:b/>
          <w:noProof/>
          <w:sz w:val="26"/>
          <w:szCs w:val="26"/>
          <w:lang w:val="en-GB" w:eastAsia="en-GB"/>
        </w:rPr>
        <w:tab/>
      </w:r>
    </w:p>
    <w:p w14:paraId="2313A61D" w14:textId="77777777" w:rsidR="00040104" w:rsidRDefault="00040104" w:rsidP="00040104">
      <w:pPr>
        <w:spacing w:line="276" w:lineRule="auto"/>
        <w:ind w:left="8496"/>
        <w:jc w:val="both"/>
        <w:rPr>
          <w:rFonts w:ascii="Calibri" w:hAnsi="Calibri" w:cs="Calibri"/>
          <w:b/>
          <w:noProof/>
          <w:sz w:val="26"/>
          <w:szCs w:val="26"/>
          <w:lang w:val="en-GB" w:eastAsia="en-GB"/>
        </w:rPr>
      </w:pPr>
    </w:p>
    <w:p w14:paraId="62D8DF05" w14:textId="77777777" w:rsidR="00040104" w:rsidRDefault="00040104" w:rsidP="00040104">
      <w:pPr>
        <w:spacing w:line="276" w:lineRule="auto"/>
        <w:ind w:left="8496"/>
        <w:jc w:val="both"/>
        <w:rPr>
          <w:rFonts w:ascii="Calibri" w:hAnsi="Calibri" w:cs="Calibri"/>
          <w:b/>
          <w:noProof/>
          <w:sz w:val="26"/>
          <w:szCs w:val="26"/>
          <w:lang w:val="en-GB" w:eastAsia="en-GB"/>
        </w:rPr>
      </w:pPr>
    </w:p>
    <w:p w14:paraId="29FF3CBA" w14:textId="7494C51B" w:rsidR="00F95196" w:rsidRPr="005B041F" w:rsidRDefault="00040104" w:rsidP="00040104">
      <w:pPr>
        <w:spacing w:line="276" w:lineRule="auto"/>
        <w:ind w:left="8496"/>
        <w:jc w:val="both"/>
        <w:rPr>
          <w:rFonts w:ascii="Calibri" w:hAnsi="Calibri" w:cs="Calibri"/>
          <w:b/>
          <w:sz w:val="26"/>
          <w:szCs w:val="26"/>
        </w:rPr>
      </w:pPr>
      <w:r>
        <w:rPr>
          <w:rFonts w:ascii="Calibri" w:hAnsi="Calibri" w:cs="Calibri"/>
          <w:b/>
          <w:noProof/>
          <w:sz w:val="26"/>
          <w:szCs w:val="26"/>
          <w:lang w:val="en-GB" w:eastAsia="en-GB"/>
        </w:rPr>
        <w:t xml:space="preserve">     </w:t>
      </w:r>
      <w:r w:rsidR="00F95196" w:rsidRPr="00F95196">
        <w:rPr>
          <w:rFonts w:ascii="Calibri" w:hAnsi="Calibri" w:cs="Calibri"/>
          <w:b/>
          <w:noProof/>
          <w:sz w:val="26"/>
          <w:szCs w:val="26"/>
          <w:lang w:val="en-GB" w:eastAsia="en-GB"/>
        </w:rPr>
        <w:tab/>
      </w:r>
      <w:r w:rsidR="00F95196" w:rsidRPr="005B041F">
        <w:rPr>
          <w:rFonts w:ascii="Calibri" w:hAnsi="Calibri" w:cs="Calibri"/>
          <w:b/>
          <w:sz w:val="26"/>
          <w:szCs w:val="26"/>
        </w:rPr>
        <w:t>mii lei</w:t>
      </w:r>
    </w:p>
    <w:p w14:paraId="3FC97813" w14:textId="46136C6A" w:rsidR="00F95196" w:rsidRPr="00F95196" w:rsidRDefault="00F95196" w:rsidP="009E3AD8">
      <w:pPr>
        <w:spacing w:line="276" w:lineRule="auto"/>
        <w:jc w:val="center"/>
        <w:rPr>
          <w:rFonts w:ascii="Calibri" w:hAnsi="Calibri" w:cs="Calibri"/>
          <w:b/>
          <w:noProof/>
          <w:sz w:val="26"/>
          <w:szCs w:val="26"/>
          <w:lang w:val="en-GB" w:eastAsia="en-GB"/>
        </w:rPr>
      </w:pPr>
      <w:r w:rsidRPr="00F95196">
        <w:rPr>
          <w:noProof/>
        </w:rPr>
        <w:drawing>
          <wp:inline distT="0" distB="0" distL="0" distR="0" wp14:anchorId="1C5EEFF8" wp14:editId="0128C39B">
            <wp:extent cx="6479540" cy="1987550"/>
            <wp:effectExtent l="0" t="0" r="0" b="0"/>
            <wp:docPr id="64036880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79540" cy="1987550"/>
                    </a:xfrm>
                    <a:prstGeom prst="rect">
                      <a:avLst/>
                    </a:prstGeom>
                    <a:noFill/>
                    <a:ln>
                      <a:noFill/>
                    </a:ln>
                  </pic:spPr>
                </pic:pic>
              </a:graphicData>
            </a:graphic>
          </wp:inline>
        </w:drawing>
      </w:r>
    </w:p>
    <w:p w14:paraId="479E10BF" w14:textId="77777777" w:rsidR="00CB016E" w:rsidRDefault="00CB016E" w:rsidP="009E3AD8">
      <w:pPr>
        <w:spacing w:line="276" w:lineRule="auto"/>
        <w:jc w:val="center"/>
        <w:rPr>
          <w:rFonts w:ascii="Calibri" w:hAnsi="Calibri" w:cs="Calibri"/>
          <w:b/>
          <w:noProof/>
          <w:sz w:val="26"/>
          <w:szCs w:val="26"/>
          <w:lang w:val="en-GB" w:eastAsia="en-GB"/>
        </w:rPr>
      </w:pPr>
    </w:p>
    <w:p w14:paraId="1BD21A90" w14:textId="0C76E0E3" w:rsidR="00F95196" w:rsidRPr="00F95196" w:rsidRDefault="00F95196" w:rsidP="00F16EB8">
      <w:pPr>
        <w:keepNext/>
        <w:spacing w:line="276" w:lineRule="auto"/>
        <w:jc w:val="center"/>
        <w:rPr>
          <w:rFonts w:ascii="Calibri" w:hAnsi="Calibri" w:cs="Calibri"/>
          <w:b/>
          <w:noProof/>
          <w:sz w:val="26"/>
          <w:szCs w:val="26"/>
          <w:lang w:val="en-GB" w:eastAsia="en-GB"/>
        </w:rPr>
      </w:pPr>
      <w:r w:rsidRPr="00F95196">
        <w:rPr>
          <w:rFonts w:ascii="Calibri" w:hAnsi="Calibri" w:cs="Calibri"/>
          <w:b/>
          <w:noProof/>
          <w:sz w:val="26"/>
          <w:szCs w:val="26"/>
          <w:lang w:val="en-GB" w:eastAsia="en-GB"/>
        </w:rPr>
        <w:lastRenderedPageBreak/>
        <w:t>INSPECȚIA JUDICIARĂ</w:t>
      </w:r>
    </w:p>
    <w:p w14:paraId="57F1CE0E" w14:textId="6DCBE29E" w:rsidR="009E3D5E" w:rsidRDefault="00F95196" w:rsidP="00F16EB8">
      <w:pPr>
        <w:keepNext/>
        <w:spacing w:line="276" w:lineRule="auto"/>
        <w:jc w:val="center"/>
        <w:rPr>
          <w:rFonts w:ascii="Calibri" w:hAnsi="Calibri" w:cs="Calibri"/>
          <w:b/>
          <w:noProof/>
          <w:sz w:val="26"/>
          <w:szCs w:val="26"/>
          <w:lang w:val="en-GB" w:eastAsia="en-GB"/>
        </w:rPr>
      </w:pPr>
      <w:r w:rsidRPr="00F95196">
        <w:rPr>
          <w:noProof/>
        </w:rPr>
        <w:drawing>
          <wp:inline distT="0" distB="0" distL="0" distR="0" wp14:anchorId="13E4C1DD" wp14:editId="49EE09BC">
            <wp:extent cx="5524500" cy="3914775"/>
            <wp:effectExtent l="0" t="0" r="0" b="9525"/>
            <wp:docPr id="754671502" name="Chart 1">
              <a:extLst xmlns:a="http://schemas.openxmlformats.org/drawingml/2006/main">
                <a:ext uri="{FF2B5EF4-FFF2-40B4-BE49-F238E27FC236}">
                  <a16:creationId xmlns:a16="http://schemas.microsoft.com/office/drawing/2014/main" id="{312D03C7-0F78-7D0A-C794-3FEED94252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F95196">
        <w:rPr>
          <w:rFonts w:ascii="Calibri" w:hAnsi="Calibri" w:cs="Calibri"/>
          <w:b/>
          <w:noProof/>
          <w:sz w:val="26"/>
          <w:szCs w:val="26"/>
          <w:lang w:val="en-GB" w:eastAsia="en-GB"/>
        </w:rPr>
        <w:tab/>
        <w:t xml:space="preserve">     </w:t>
      </w:r>
      <w:r w:rsidR="009E3D5E">
        <w:rPr>
          <w:rFonts w:ascii="Calibri" w:hAnsi="Calibri" w:cs="Calibri"/>
          <w:b/>
          <w:noProof/>
          <w:sz w:val="26"/>
          <w:szCs w:val="26"/>
          <w:lang w:val="en-GB" w:eastAsia="en-GB"/>
        </w:rPr>
        <w:t xml:space="preserve">                       </w:t>
      </w:r>
    </w:p>
    <w:p w14:paraId="6C6F52C6" w14:textId="77777777" w:rsidR="009E3D5E" w:rsidRDefault="009E3D5E" w:rsidP="009E3AD8">
      <w:pPr>
        <w:spacing w:line="276" w:lineRule="auto"/>
        <w:jc w:val="center"/>
        <w:rPr>
          <w:rFonts w:ascii="Calibri" w:hAnsi="Calibri" w:cs="Calibri"/>
          <w:b/>
          <w:noProof/>
          <w:sz w:val="26"/>
          <w:szCs w:val="26"/>
          <w:lang w:val="en-GB" w:eastAsia="en-GB"/>
        </w:rPr>
      </w:pPr>
    </w:p>
    <w:p w14:paraId="0A05C402" w14:textId="2C8F81A6" w:rsidR="00F95196" w:rsidRPr="00F95196" w:rsidRDefault="009E3D5E" w:rsidP="009E3AD8">
      <w:pPr>
        <w:spacing w:line="276" w:lineRule="auto"/>
        <w:jc w:val="center"/>
        <w:rPr>
          <w:rFonts w:ascii="Calibri" w:hAnsi="Calibri" w:cs="Calibri"/>
          <w:b/>
          <w:noProof/>
          <w:sz w:val="26"/>
          <w:szCs w:val="26"/>
          <w:lang w:val="en-GB" w:eastAsia="en-GB"/>
        </w:rPr>
      </w:pPr>
      <w:r>
        <w:rPr>
          <w:rFonts w:ascii="Calibri" w:hAnsi="Calibri" w:cs="Calibri"/>
          <w:b/>
          <w:noProof/>
          <w:sz w:val="26"/>
          <w:szCs w:val="26"/>
          <w:lang w:val="en-GB" w:eastAsia="en-GB"/>
        </w:rPr>
        <w:t xml:space="preserve">                                                                                                                                                                 </w:t>
      </w:r>
      <w:r w:rsidR="00F95196" w:rsidRPr="00F95196">
        <w:rPr>
          <w:rFonts w:ascii="Calibri" w:hAnsi="Calibri" w:cs="Calibri"/>
          <w:b/>
          <w:noProof/>
          <w:sz w:val="26"/>
          <w:szCs w:val="26"/>
          <w:lang w:val="en-GB" w:eastAsia="en-GB"/>
        </w:rPr>
        <w:t xml:space="preserve"> mii lei</w:t>
      </w:r>
    </w:p>
    <w:tbl>
      <w:tblPr>
        <w:tblW w:w="10338" w:type="dxa"/>
        <w:tblLook w:val="04A0" w:firstRow="1" w:lastRow="0" w:firstColumn="1" w:lastColumn="0" w:noHBand="0" w:noVBand="1"/>
      </w:tblPr>
      <w:tblGrid>
        <w:gridCol w:w="818"/>
        <w:gridCol w:w="849"/>
        <w:gridCol w:w="922"/>
        <w:gridCol w:w="1026"/>
        <w:gridCol w:w="1026"/>
        <w:gridCol w:w="1151"/>
        <w:gridCol w:w="1192"/>
        <w:gridCol w:w="1175"/>
        <w:gridCol w:w="1066"/>
        <w:gridCol w:w="1113"/>
      </w:tblGrid>
      <w:tr w:rsidR="00F95196" w:rsidRPr="00F95196" w14:paraId="57768503" w14:textId="77777777" w:rsidTr="00BE6FF5">
        <w:trPr>
          <w:trHeight w:val="1374"/>
        </w:trPr>
        <w:tc>
          <w:tcPr>
            <w:tcW w:w="818"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1A3D49B6" w14:textId="77777777" w:rsidR="00F95196" w:rsidRPr="00F95196" w:rsidRDefault="00F95196" w:rsidP="009E3AD8">
            <w:pPr>
              <w:spacing w:line="276" w:lineRule="auto"/>
              <w:jc w:val="center"/>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An</w:t>
            </w:r>
          </w:p>
        </w:tc>
        <w:tc>
          <w:tcPr>
            <w:tcW w:w="849" w:type="dxa"/>
            <w:tcBorders>
              <w:top w:val="single" w:sz="8" w:space="0" w:color="auto"/>
              <w:left w:val="nil"/>
              <w:bottom w:val="single" w:sz="4" w:space="0" w:color="auto"/>
              <w:right w:val="single" w:sz="4" w:space="0" w:color="auto"/>
            </w:tcBorders>
            <w:shd w:val="clear" w:color="000000" w:fill="D9D9D9"/>
            <w:vAlign w:val="center"/>
            <w:hideMark/>
          </w:tcPr>
          <w:p w14:paraId="3C417B72" w14:textId="77777777" w:rsidR="00F95196" w:rsidRPr="00F95196" w:rsidRDefault="00F95196" w:rsidP="009E3AD8">
            <w:pPr>
              <w:spacing w:line="276" w:lineRule="auto"/>
              <w:jc w:val="center"/>
              <w:rPr>
                <w:rFonts w:ascii="Calibri Light" w:hAnsi="Calibri Light" w:cs="Calibri Light"/>
                <w:color w:val="000000"/>
                <w:sz w:val="20"/>
                <w:lang w:val="en-US"/>
              </w:rPr>
            </w:pPr>
            <w:r w:rsidRPr="00F95196">
              <w:rPr>
                <w:rFonts w:ascii="Calibri Light" w:hAnsi="Calibri Light" w:cs="Calibri Light"/>
                <w:color w:val="000000"/>
                <w:sz w:val="20"/>
                <w:lang w:val="en-US"/>
              </w:rPr>
              <w:t>Tip</w:t>
            </w:r>
            <w:r w:rsidRPr="00F95196">
              <w:rPr>
                <w:rFonts w:ascii="Calibri Light" w:hAnsi="Calibri Light" w:cs="Calibri Light"/>
                <w:color w:val="000000"/>
                <w:sz w:val="20"/>
                <w:lang w:val="en-US"/>
              </w:rPr>
              <w:br/>
              <w:t>credit</w:t>
            </w:r>
          </w:p>
        </w:tc>
        <w:tc>
          <w:tcPr>
            <w:tcW w:w="922" w:type="dxa"/>
            <w:tcBorders>
              <w:top w:val="single" w:sz="8" w:space="0" w:color="auto"/>
              <w:left w:val="nil"/>
              <w:bottom w:val="single" w:sz="4" w:space="0" w:color="auto"/>
              <w:right w:val="single" w:sz="4" w:space="0" w:color="auto"/>
            </w:tcBorders>
            <w:shd w:val="clear" w:color="000000" w:fill="D9D9D9"/>
            <w:vAlign w:val="center"/>
            <w:hideMark/>
          </w:tcPr>
          <w:p w14:paraId="3729A453" w14:textId="77777777" w:rsidR="00F95196" w:rsidRPr="00F95196" w:rsidRDefault="00F95196" w:rsidP="009E3AD8">
            <w:pPr>
              <w:spacing w:line="276" w:lineRule="auto"/>
              <w:jc w:val="center"/>
              <w:rPr>
                <w:rFonts w:ascii="Calibri Light" w:hAnsi="Calibri Light" w:cs="Calibri Light"/>
                <w:color w:val="000000"/>
                <w:sz w:val="20"/>
                <w:lang w:val="en-US"/>
              </w:rPr>
            </w:pPr>
            <w:r w:rsidRPr="00F95196">
              <w:rPr>
                <w:rFonts w:ascii="Calibri Light" w:hAnsi="Calibri Light" w:cs="Calibri Light"/>
                <w:color w:val="000000"/>
                <w:sz w:val="20"/>
                <w:lang w:val="en-US"/>
              </w:rPr>
              <w:t>Total</w:t>
            </w:r>
          </w:p>
        </w:tc>
        <w:tc>
          <w:tcPr>
            <w:tcW w:w="1026" w:type="dxa"/>
            <w:tcBorders>
              <w:top w:val="single" w:sz="8" w:space="0" w:color="auto"/>
              <w:left w:val="nil"/>
              <w:bottom w:val="single" w:sz="4" w:space="0" w:color="auto"/>
              <w:right w:val="single" w:sz="4" w:space="0" w:color="auto"/>
            </w:tcBorders>
            <w:shd w:val="clear" w:color="000000" w:fill="D9D9D9"/>
            <w:vAlign w:val="center"/>
            <w:hideMark/>
          </w:tcPr>
          <w:p w14:paraId="5391CACF" w14:textId="77777777" w:rsidR="00F95196" w:rsidRPr="00F95196" w:rsidRDefault="00F95196" w:rsidP="009E3AD8">
            <w:pPr>
              <w:spacing w:line="276" w:lineRule="auto"/>
              <w:jc w:val="center"/>
              <w:rPr>
                <w:rFonts w:ascii="Calibri Light" w:hAnsi="Calibri Light" w:cs="Calibri Light"/>
                <w:color w:val="000000"/>
                <w:sz w:val="20"/>
                <w:lang w:val="en-US"/>
              </w:rPr>
            </w:pPr>
            <w:proofErr w:type="spellStart"/>
            <w:r w:rsidRPr="00F95196">
              <w:rPr>
                <w:rFonts w:ascii="Calibri Light" w:hAnsi="Calibri Light" w:cs="Calibri Light"/>
                <w:color w:val="000000"/>
                <w:sz w:val="20"/>
                <w:lang w:val="en-US"/>
              </w:rPr>
              <w:t>Cheltuieli</w:t>
            </w:r>
            <w:proofErr w:type="spellEnd"/>
            <w:r w:rsidRPr="00F95196">
              <w:rPr>
                <w:rFonts w:ascii="Calibri Light" w:hAnsi="Calibri Light" w:cs="Calibri Light"/>
                <w:color w:val="000000"/>
                <w:sz w:val="20"/>
                <w:lang w:val="en-US"/>
              </w:rPr>
              <w:t xml:space="preserve"> de personal</w:t>
            </w:r>
          </w:p>
        </w:tc>
        <w:tc>
          <w:tcPr>
            <w:tcW w:w="1026" w:type="dxa"/>
            <w:tcBorders>
              <w:top w:val="single" w:sz="8" w:space="0" w:color="auto"/>
              <w:left w:val="nil"/>
              <w:bottom w:val="single" w:sz="4" w:space="0" w:color="auto"/>
              <w:right w:val="single" w:sz="4" w:space="0" w:color="auto"/>
            </w:tcBorders>
            <w:shd w:val="clear" w:color="000000" w:fill="D9D9D9"/>
            <w:vAlign w:val="center"/>
            <w:hideMark/>
          </w:tcPr>
          <w:p w14:paraId="1B1E4C0E" w14:textId="77777777" w:rsidR="00F95196" w:rsidRPr="00F95196" w:rsidRDefault="00F95196" w:rsidP="009E3AD8">
            <w:pPr>
              <w:spacing w:line="276" w:lineRule="auto"/>
              <w:jc w:val="center"/>
              <w:rPr>
                <w:rFonts w:ascii="Calibri Light" w:hAnsi="Calibri Light" w:cs="Calibri Light"/>
                <w:color w:val="000000"/>
                <w:sz w:val="20"/>
                <w:lang w:val="en-US"/>
              </w:rPr>
            </w:pPr>
            <w:proofErr w:type="spellStart"/>
            <w:r w:rsidRPr="00F95196">
              <w:rPr>
                <w:rFonts w:ascii="Calibri Light" w:hAnsi="Calibri Light" w:cs="Calibri Light"/>
                <w:color w:val="000000"/>
                <w:sz w:val="20"/>
                <w:lang w:val="en-US"/>
              </w:rPr>
              <w:t>Bunuri</w:t>
            </w:r>
            <w:proofErr w:type="spellEnd"/>
            <w:r w:rsidRPr="00F95196">
              <w:rPr>
                <w:rFonts w:ascii="Calibri Light" w:hAnsi="Calibri Light" w:cs="Calibri Light"/>
                <w:color w:val="000000"/>
                <w:sz w:val="20"/>
                <w:lang w:val="en-US"/>
              </w:rPr>
              <w:t xml:space="preserve"> </w:t>
            </w:r>
            <w:proofErr w:type="spellStart"/>
            <w:r w:rsidRPr="00F95196">
              <w:rPr>
                <w:rFonts w:ascii="Calibri Light" w:hAnsi="Calibri Light" w:cs="Calibri Light"/>
                <w:color w:val="000000"/>
                <w:sz w:val="20"/>
                <w:lang w:val="en-US"/>
              </w:rPr>
              <w:t>și</w:t>
            </w:r>
            <w:proofErr w:type="spellEnd"/>
            <w:r w:rsidRPr="00F95196">
              <w:rPr>
                <w:rFonts w:ascii="Calibri Light" w:hAnsi="Calibri Light" w:cs="Calibri Light"/>
                <w:color w:val="000000"/>
                <w:sz w:val="20"/>
                <w:lang w:val="en-US"/>
              </w:rPr>
              <w:t xml:space="preserve"> </w:t>
            </w:r>
            <w:proofErr w:type="spellStart"/>
            <w:r w:rsidRPr="00F95196">
              <w:rPr>
                <w:rFonts w:ascii="Calibri Light" w:hAnsi="Calibri Light" w:cs="Calibri Light"/>
                <w:color w:val="000000"/>
                <w:sz w:val="20"/>
                <w:lang w:val="en-US"/>
              </w:rPr>
              <w:t>servicii</w:t>
            </w:r>
            <w:proofErr w:type="spellEnd"/>
          </w:p>
        </w:tc>
        <w:tc>
          <w:tcPr>
            <w:tcW w:w="1151" w:type="dxa"/>
            <w:tcBorders>
              <w:top w:val="single" w:sz="8" w:space="0" w:color="auto"/>
              <w:left w:val="nil"/>
              <w:bottom w:val="single" w:sz="4" w:space="0" w:color="auto"/>
              <w:right w:val="single" w:sz="4" w:space="0" w:color="auto"/>
            </w:tcBorders>
            <w:shd w:val="clear" w:color="000000" w:fill="D9D9D9"/>
            <w:vAlign w:val="center"/>
            <w:hideMark/>
          </w:tcPr>
          <w:p w14:paraId="74587B4A" w14:textId="77777777" w:rsidR="00F95196" w:rsidRPr="00F95196" w:rsidRDefault="00F95196" w:rsidP="009E3AD8">
            <w:pPr>
              <w:spacing w:line="276" w:lineRule="auto"/>
              <w:jc w:val="center"/>
              <w:rPr>
                <w:rFonts w:ascii="Calibri Light" w:hAnsi="Calibri Light" w:cs="Calibri Light"/>
                <w:color w:val="000000"/>
                <w:sz w:val="20"/>
                <w:lang w:val="en-US"/>
              </w:rPr>
            </w:pPr>
            <w:proofErr w:type="spellStart"/>
            <w:r w:rsidRPr="00F95196">
              <w:rPr>
                <w:rFonts w:ascii="Calibri Light" w:hAnsi="Calibri Light" w:cs="Calibri Light"/>
                <w:color w:val="000000"/>
                <w:sz w:val="20"/>
                <w:lang w:val="en-US"/>
              </w:rPr>
              <w:t>Transferuri</w:t>
            </w:r>
            <w:proofErr w:type="spellEnd"/>
          </w:p>
        </w:tc>
        <w:tc>
          <w:tcPr>
            <w:tcW w:w="1192" w:type="dxa"/>
            <w:tcBorders>
              <w:top w:val="single" w:sz="8" w:space="0" w:color="auto"/>
              <w:left w:val="nil"/>
              <w:bottom w:val="single" w:sz="4" w:space="0" w:color="auto"/>
              <w:right w:val="single" w:sz="4" w:space="0" w:color="auto"/>
            </w:tcBorders>
            <w:shd w:val="clear" w:color="000000" w:fill="D9D9D9"/>
            <w:vAlign w:val="center"/>
            <w:hideMark/>
          </w:tcPr>
          <w:p w14:paraId="017ECDA8" w14:textId="77777777" w:rsidR="00F95196" w:rsidRPr="00F95196" w:rsidRDefault="00F95196" w:rsidP="009E3AD8">
            <w:pPr>
              <w:spacing w:line="276" w:lineRule="auto"/>
              <w:jc w:val="center"/>
              <w:rPr>
                <w:rFonts w:ascii="Calibri Light" w:hAnsi="Calibri Light" w:cs="Calibri Light"/>
                <w:color w:val="000000"/>
                <w:sz w:val="20"/>
                <w:lang w:val="en-US"/>
              </w:rPr>
            </w:pPr>
            <w:r w:rsidRPr="00F95196">
              <w:rPr>
                <w:rFonts w:ascii="Calibri Light" w:hAnsi="Calibri Light" w:cs="Calibri Light"/>
                <w:color w:val="000000"/>
                <w:sz w:val="20"/>
                <w:lang w:val="en-US"/>
              </w:rPr>
              <w:t xml:space="preserve">Alte </w:t>
            </w:r>
            <w:proofErr w:type="spellStart"/>
            <w:r w:rsidRPr="00F95196">
              <w:rPr>
                <w:rFonts w:ascii="Calibri Light" w:hAnsi="Calibri Light" w:cs="Calibri Light"/>
                <w:color w:val="000000"/>
                <w:sz w:val="20"/>
                <w:lang w:val="en-US"/>
              </w:rPr>
              <w:t>transferuri</w:t>
            </w:r>
            <w:proofErr w:type="spellEnd"/>
          </w:p>
        </w:tc>
        <w:tc>
          <w:tcPr>
            <w:tcW w:w="1175" w:type="dxa"/>
            <w:tcBorders>
              <w:top w:val="single" w:sz="8" w:space="0" w:color="auto"/>
              <w:left w:val="nil"/>
              <w:bottom w:val="single" w:sz="4" w:space="0" w:color="auto"/>
              <w:right w:val="single" w:sz="4" w:space="0" w:color="auto"/>
            </w:tcBorders>
            <w:shd w:val="clear" w:color="000000" w:fill="D9D9D9"/>
            <w:vAlign w:val="center"/>
            <w:hideMark/>
          </w:tcPr>
          <w:p w14:paraId="78A45E99" w14:textId="77777777" w:rsidR="00F95196" w:rsidRPr="00A35EF2" w:rsidRDefault="00F95196" w:rsidP="009E3AD8">
            <w:pPr>
              <w:spacing w:line="276" w:lineRule="auto"/>
              <w:jc w:val="center"/>
              <w:rPr>
                <w:rFonts w:ascii="Calibri Light" w:hAnsi="Calibri Light" w:cs="Calibri Light"/>
                <w:color w:val="000000"/>
                <w:sz w:val="20"/>
                <w:lang w:val="fr-FR"/>
              </w:rPr>
            </w:pPr>
            <w:proofErr w:type="spellStart"/>
            <w:r w:rsidRPr="00A35EF2">
              <w:rPr>
                <w:rFonts w:ascii="Calibri Light" w:hAnsi="Calibri Light" w:cs="Calibri Light"/>
                <w:color w:val="000000"/>
                <w:sz w:val="20"/>
                <w:lang w:val="fr-FR"/>
              </w:rPr>
              <w:t>Proiecte</w:t>
            </w:r>
            <w:proofErr w:type="spellEnd"/>
            <w:r w:rsidRPr="00A35EF2">
              <w:rPr>
                <w:rFonts w:ascii="Calibri Light" w:hAnsi="Calibri Light" w:cs="Calibri Light"/>
                <w:color w:val="000000"/>
                <w:sz w:val="20"/>
                <w:lang w:val="fr-FR"/>
              </w:rPr>
              <w:t xml:space="preserve"> </w:t>
            </w:r>
            <w:proofErr w:type="spellStart"/>
            <w:r w:rsidRPr="00A35EF2">
              <w:rPr>
                <w:rFonts w:ascii="Calibri Light" w:hAnsi="Calibri Light" w:cs="Calibri Light"/>
                <w:color w:val="000000"/>
                <w:sz w:val="20"/>
                <w:lang w:val="fr-FR"/>
              </w:rPr>
              <w:t>cu</w:t>
            </w:r>
            <w:proofErr w:type="spellEnd"/>
            <w:r w:rsidRPr="00A35EF2">
              <w:rPr>
                <w:rFonts w:ascii="Calibri Light" w:hAnsi="Calibri Light" w:cs="Calibri Light"/>
                <w:color w:val="000000"/>
                <w:sz w:val="20"/>
                <w:lang w:val="fr-FR"/>
              </w:rPr>
              <w:t xml:space="preserve"> </w:t>
            </w:r>
            <w:proofErr w:type="spellStart"/>
            <w:r w:rsidRPr="00A35EF2">
              <w:rPr>
                <w:rFonts w:ascii="Calibri Light" w:hAnsi="Calibri Light" w:cs="Calibri Light"/>
                <w:color w:val="000000"/>
                <w:sz w:val="20"/>
                <w:lang w:val="fr-FR"/>
              </w:rPr>
              <w:t>finanțare</w:t>
            </w:r>
            <w:proofErr w:type="spellEnd"/>
            <w:r w:rsidRPr="00A35EF2">
              <w:rPr>
                <w:rFonts w:ascii="Calibri Light" w:hAnsi="Calibri Light" w:cs="Calibri Light"/>
                <w:color w:val="000000"/>
                <w:sz w:val="20"/>
                <w:lang w:val="fr-FR"/>
              </w:rPr>
              <w:t xml:space="preserve"> </w:t>
            </w:r>
            <w:proofErr w:type="spellStart"/>
            <w:r w:rsidRPr="00A35EF2">
              <w:rPr>
                <w:rFonts w:ascii="Calibri Light" w:hAnsi="Calibri Light" w:cs="Calibri Light"/>
                <w:color w:val="000000"/>
                <w:sz w:val="20"/>
                <w:lang w:val="fr-FR"/>
              </w:rPr>
              <w:t>din</w:t>
            </w:r>
            <w:proofErr w:type="spellEnd"/>
            <w:r w:rsidRPr="00A35EF2">
              <w:rPr>
                <w:rFonts w:ascii="Calibri Light" w:hAnsi="Calibri Light" w:cs="Calibri Light"/>
                <w:color w:val="000000"/>
                <w:sz w:val="20"/>
                <w:lang w:val="fr-FR"/>
              </w:rPr>
              <w:t xml:space="preserve"> FEN </w:t>
            </w:r>
            <w:proofErr w:type="spellStart"/>
            <w:r w:rsidRPr="00A35EF2">
              <w:rPr>
                <w:rFonts w:ascii="Calibri Light" w:hAnsi="Calibri Light" w:cs="Calibri Light"/>
                <w:color w:val="000000"/>
                <w:sz w:val="20"/>
                <w:lang w:val="fr-FR"/>
              </w:rPr>
              <w:t>aferente</w:t>
            </w:r>
            <w:proofErr w:type="spellEnd"/>
            <w:r w:rsidRPr="00A35EF2">
              <w:rPr>
                <w:rFonts w:ascii="Calibri Light" w:hAnsi="Calibri Light" w:cs="Calibri Light"/>
                <w:color w:val="000000"/>
                <w:sz w:val="20"/>
                <w:lang w:val="fr-FR"/>
              </w:rPr>
              <w:br/>
              <w:t xml:space="preserve"> </w:t>
            </w:r>
            <w:proofErr w:type="spellStart"/>
            <w:r w:rsidRPr="00A35EF2">
              <w:rPr>
                <w:rFonts w:ascii="Calibri Light" w:hAnsi="Calibri Light" w:cs="Calibri Light"/>
                <w:color w:val="000000"/>
                <w:sz w:val="20"/>
                <w:lang w:val="fr-FR"/>
              </w:rPr>
              <w:t>cadrului</w:t>
            </w:r>
            <w:proofErr w:type="spellEnd"/>
            <w:r w:rsidRPr="00A35EF2">
              <w:rPr>
                <w:rFonts w:ascii="Calibri Light" w:hAnsi="Calibri Light" w:cs="Calibri Light"/>
                <w:color w:val="000000"/>
                <w:sz w:val="20"/>
                <w:lang w:val="fr-FR"/>
              </w:rPr>
              <w:t xml:space="preserve"> </w:t>
            </w:r>
            <w:proofErr w:type="spellStart"/>
            <w:r w:rsidRPr="00A35EF2">
              <w:rPr>
                <w:rFonts w:ascii="Calibri Light" w:hAnsi="Calibri Light" w:cs="Calibri Light"/>
                <w:color w:val="000000"/>
                <w:sz w:val="20"/>
                <w:lang w:val="fr-FR"/>
              </w:rPr>
              <w:t>financiar</w:t>
            </w:r>
            <w:proofErr w:type="spellEnd"/>
            <w:r w:rsidRPr="00A35EF2">
              <w:rPr>
                <w:rFonts w:ascii="Calibri Light" w:hAnsi="Calibri Light" w:cs="Calibri Light"/>
                <w:color w:val="000000"/>
                <w:sz w:val="20"/>
                <w:lang w:val="fr-FR"/>
              </w:rPr>
              <w:t xml:space="preserve"> 2014-2020</w:t>
            </w:r>
          </w:p>
        </w:tc>
        <w:tc>
          <w:tcPr>
            <w:tcW w:w="1066" w:type="dxa"/>
            <w:tcBorders>
              <w:top w:val="single" w:sz="8" w:space="0" w:color="auto"/>
              <w:left w:val="nil"/>
              <w:bottom w:val="single" w:sz="4" w:space="0" w:color="auto"/>
              <w:right w:val="single" w:sz="4" w:space="0" w:color="auto"/>
            </w:tcBorders>
            <w:shd w:val="clear" w:color="000000" w:fill="D9D9D9"/>
            <w:vAlign w:val="center"/>
            <w:hideMark/>
          </w:tcPr>
          <w:p w14:paraId="54CE191B" w14:textId="77777777" w:rsidR="00F95196" w:rsidRPr="00F95196" w:rsidRDefault="00F95196" w:rsidP="009E3AD8">
            <w:pPr>
              <w:spacing w:line="276" w:lineRule="auto"/>
              <w:jc w:val="center"/>
              <w:rPr>
                <w:rFonts w:ascii="Calibri Light" w:hAnsi="Calibri Light" w:cs="Calibri Light"/>
                <w:color w:val="000000"/>
                <w:sz w:val="20"/>
                <w:lang w:val="en-US"/>
              </w:rPr>
            </w:pPr>
            <w:r w:rsidRPr="00F95196">
              <w:rPr>
                <w:rFonts w:ascii="Calibri Light" w:hAnsi="Calibri Light" w:cs="Calibri Light"/>
                <w:color w:val="000000"/>
                <w:sz w:val="20"/>
                <w:lang w:val="en-US"/>
              </w:rPr>
              <w:t xml:space="preserve">Alte </w:t>
            </w:r>
            <w:proofErr w:type="spellStart"/>
            <w:r w:rsidRPr="00F95196">
              <w:rPr>
                <w:rFonts w:ascii="Calibri Light" w:hAnsi="Calibri Light" w:cs="Calibri Light"/>
                <w:color w:val="000000"/>
                <w:sz w:val="20"/>
                <w:lang w:val="en-US"/>
              </w:rPr>
              <w:t>cheltuieli</w:t>
            </w:r>
            <w:proofErr w:type="spellEnd"/>
          </w:p>
        </w:tc>
        <w:tc>
          <w:tcPr>
            <w:tcW w:w="1113" w:type="dxa"/>
            <w:tcBorders>
              <w:top w:val="single" w:sz="8" w:space="0" w:color="auto"/>
              <w:left w:val="nil"/>
              <w:bottom w:val="single" w:sz="4" w:space="0" w:color="auto"/>
              <w:right w:val="single" w:sz="8" w:space="0" w:color="auto"/>
            </w:tcBorders>
            <w:shd w:val="clear" w:color="000000" w:fill="D9D9D9"/>
            <w:vAlign w:val="center"/>
            <w:hideMark/>
          </w:tcPr>
          <w:p w14:paraId="01A5FA0D" w14:textId="77777777" w:rsidR="00F95196" w:rsidRPr="00F95196" w:rsidRDefault="00F95196" w:rsidP="009E3AD8">
            <w:pPr>
              <w:spacing w:line="276" w:lineRule="auto"/>
              <w:jc w:val="center"/>
              <w:rPr>
                <w:rFonts w:ascii="Calibri Light" w:hAnsi="Calibri Light" w:cs="Calibri Light"/>
                <w:color w:val="000000"/>
                <w:sz w:val="20"/>
                <w:lang w:val="en-US"/>
              </w:rPr>
            </w:pPr>
            <w:proofErr w:type="spellStart"/>
            <w:r w:rsidRPr="00F95196">
              <w:rPr>
                <w:rFonts w:ascii="Calibri Light" w:hAnsi="Calibri Light" w:cs="Calibri Light"/>
                <w:color w:val="000000"/>
                <w:sz w:val="20"/>
                <w:lang w:val="en-US"/>
              </w:rPr>
              <w:t>Cheltuieli</w:t>
            </w:r>
            <w:proofErr w:type="spellEnd"/>
            <w:r w:rsidRPr="00F95196">
              <w:rPr>
                <w:rFonts w:ascii="Calibri Light" w:hAnsi="Calibri Light" w:cs="Calibri Light"/>
                <w:color w:val="000000"/>
                <w:sz w:val="20"/>
                <w:lang w:val="en-US"/>
              </w:rPr>
              <w:t xml:space="preserve"> de capital</w:t>
            </w:r>
          </w:p>
        </w:tc>
      </w:tr>
      <w:tr w:rsidR="00F95196" w:rsidRPr="00F95196" w14:paraId="43993A6B" w14:textId="77777777" w:rsidTr="00BE6FF5">
        <w:trPr>
          <w:trHeight w:val="300"/>
        </w:trPr>
        <w:tc>
          <w:tcPr>
            <w:tcW w:w="818" w:type="dxa"/>
            <w:tcBorders>
              <w:top w:val="nil"/>
              <w:left w:val="single" w:sz="8" w:space="0" w:color="auto"/>
              <w:bottom w:val="single" w:sz="4" w:space="0" w:color="auto"/>
              <w:right w:val="single" w:sz="4" w:space="0" w:color="auto"/>
            </w:tcBorders>
            <w:noWrap/>
            <w:vAlign w:val="bottom"/>
            <w:hideMark/>
          </w:tcPr>
          <w:p w14:paraId="78D99815"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2024</w:t>
            </w:r>
          </w:p>
        </w:tc>
        <w:tc>
          <w:tcPr>
            <w:tcW w:w="849" w:type="dxa"/>
            <w:tcBorders>
              <w:top w:val="nil"/>
              <w:left w:val="nil"/>
              <w:bottom w:val="single" w:sz="4" w:space="0" w:color="auto"/>
              <w:right w:val="single" w:sz="4" w:space="0" w:color="auto"/>
            </w:tcBorders>
            <w:noWrap/>
            <w:vAlign w:val="bottom"/>
            <w:hideMark/>
          </w:tcPr>
          <w:p w14:paraId="4EAC5AAF" w14:textId="77777777" w:rsidR="00F95196" w:rsidRPr="00F95196" w:rsidRDefault="00F95196" w:rsidP="009E3AD8">
            <w:pPr>
              <w:spacing w:line="276" w:lineRule="auto"/>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CA</w:t>
            </w:r>
          </w:p>
        </w:tc>
        <w:tc>
          <w:tcPr>
            <w:tcW w:w="922" w:type="dxa"/>
            <w:tcBorders>
              <w:top w:val="nil"/>
              <w:left w:val="nil"/>
              <w:bottom w:val="single" w:sz="4" w:space="0" w:color="auto"/>
              <w:right w:val="single" w:sz="4" w:space="0" w:color="auto"/>
            </w:tcBorders>
            <w:noWrap/>
            <w:vAlign w:val="bottom"/>
            <w:hideMark/>
          </w:tcPr>
          <w:p w14:paraId="451FCB8F"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52 679</w:t>
            </w:r>
          </w:p>
        </w:tc>
        <w:tc>
          <w:tcPr>
            <w:tcW w:w="1026" w:type="dxa"/>
            <w:tcBorders>
              <w:top w:val="nil"/>
              <w:left w:val="nil"/>
              <w:bottom w:val="single" w:sz="4" w:space="0" w:color="auto"/>
              <w:right w:val="single" w:sz="4" w:space="0" w:color="auto"/>
            </w:tcBorders>
            <w:noWrap/>
            <w:vAlign w:val="bottom"/>
            <w:hideMark/>
          </w:tcPr>
          <w:p w14:paraId="6FD0FA93"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49 466</w:t>
            </w:r>
          </w:p>
        </w:tc>
        <w:tc>
          <w:tcPr>
            <w:tcW w:w="1026" w:type="dxa"/>
            <w:tcBorders>
              <w:top w:val="nil"/>
              <w:left w:val="nil"/>
              <w:bottom w:val="single" w:sz="4" w:space="0" w:color="auto"/>
              <w:right w:val="single" w:sz="4" w:space="0" w:color="auto"/>
            </w:tcBorders>
            <w:noWrap/>
            <w:vAlign w:val="bottom"/>
            <w:hideMark/>
          </w:tcPr>
          <w:p w14:paraId="3F29BA23"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2 813</w:t>
            </w:r>
          </w:p>
        </w:tc>
        <w:tc>
          <w:tcPr>
            <w:tcW w:w="1151" w:type="dxa"/>
            <w:tcBorders>
              <w:top w:val="nil"/>
              <w:left w:val="nil"/>
              <w:bottom w:val="single" w:sz="4" w:space="0" w:color="auto"/>
              <w:right w:val="single" w:sz="4" w:space="0" w:color="auto"/>
            </w:tcBorders>
            <w:noWrap/>
            <w:vAlign w:val="bottom"/>
            <w:hideMark/>
          </w:tcPr>
          <w:p w14:paraId="3ED6975F"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0</w:t>
            </w:r>
          </w:p>
        </w:tc>
        <w:tc>
          <w:tcPr>
            <w:tcW w:w="1192" w:type="dxa"/>
            <w:tcBorders>
              <w:top w:val="nil"/>
              <w:left w:val="nil"/>
              <w:bottom w:val="single" w:sz="4" w:space="0" w:color="auto"/>
              <w:right w:val="single" w:sz="4" w:space="0" w:color="auto"/>
            </w:tcBorders>
            <w:noWrap/>
            <w:vAlign w:val="bottom"/>
            <w:hideMark/>
          </w:tcPr>
          <w:p w14:paraId="4979FC5D"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0</w:t>
            </w:r>
          </w:p>
        </w:tc>
        <w:tc>
          <w:tcPr>
            <w:tcW w:w="1175" w:type="dxa"/>
            <w:tcBorders>
              <w:top w:val="nil"/>
              <w:left w:val="nil"/>
              <w:bottom w:val="single" w:sz="4" w:space="0" w:color="auto"/>
              <w:right w:val="single" w:sz="4" w:space="0" w:color="auto"/>
            </w:tcBorders>
            <w:noWrap/>
            <w:vAlign w:val="bottom"/>
            <w:hideMark/>
          </w:tcPr>
          <w:p w14:paraId="67D3685B"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0</w:t>
            </w:r>
          </w:p>
        </w:tc>
        <w:tc>
          <w:tcPr>
            <w:tcW w:w="1066" w:type="dxa"/>
            <w:tcBorders>
              <w:top w:val="nil"/>
              <w:left w:val="nil"/>
              <w:bottom w:val="single" w:sz="4" w:space="0" w:color="auto"/>
              <w:right w:val="single" w:sz="4" w:space="0" w:color="auto"/>
            </w:tcBorders>
            <w:noWrap/>
            <w:vAlign w:val="bottom"/>
            <w:hideMark/>
          </w:tcPr>
          <w:p w14:paraId="34574C77"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265</w:t>
            </w:r>
          </w:p>
        </w:tc>
        <w:tc>
          <w:tcPr>
            <w:tcW w:w="1113" w:type="dxa"/>
            <w:tcBorders>
              <w:top w:val="nil"/>
              <w:left w:val="nil"/>
              <w:bottom w:val="single" w:sz="4" w:space="0" w:color="auto"/>
              <w:right w:val="single" w:sz="8" w:space="0" w:color="auto"/>
            </w:tcBorders>
            <w:noWrap/>
            <w:vAlign w:val="bottom"/>
            <w:hideMark/>
          </w:tcPr>
          <w:p w14:paraId="141D502B"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135</w:t>
            </w:r>
          </w:p>
        </w:tc>
      </w:tr>
      <w:tr w:rsidR="00F95196" w:rsidRPr="00F95196" w14:paraId="3316F85D" w14:textId="77777777" w:rsidTr="00BE6FF5">
        <w:trPr>
          <w:trHeight w:val="300"/>
        </w:trPr>
        <w:tc>
          <w:tcPr>
            <w:tcW w:w="818" w:type="dxa"/>
            <w:tcBorders>
              <w:top w:val="nil"/>
              <w:left w:val="single" w:sz="8" w:space="0" w:color="auto"/>
              <w:bottom w:val="single" w:sz="4" w:space="0" w:color="auto"/>
              <w:right w:val="single" w:sz="4" w:space="0" w:color="auto"/>
            </w:tcBorders>
            <w:noWrap/>
            <w:vAlign w:val="bottom"/>
            <w:hideMark/>
          </w:tcPr>
          <w:p w14:paraId="6862E892"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2024</w:t>
            </w:r>
          </w:p>
        </w:tc>
        <w:tc>
          <w:tcPr>
            <w:tcW w:w="849" w:type="dxa"/>
            <w:tcBorders>
              <w:top w:val="nil"/>
              <w:left w:val="nil"/>
              <w:bottom w:val="single" w:sz="4" w:space="0" w:color="auto"/>
              <w:right w:val="single" w:sz="4" w:space="0" w:color="auto"/>
            </w:tcBorders>
            <w:noWrap/>
            <w:vAlign w:val="bottom"/>
            <w:hideMark/>
          </w:tcPr>
          <w:p w14:paraId="358110BE" w14:textId="77777777" w:rsidR="00F95196" w:rsidRPr="00F95196" w:rsidRDefault="00F95196" w:rsidP="009E3AD8">
            <w:pPr>
              <w:spacing w:line="276" w:lineRule="auto"/>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CB</w:t>
            </w:r>
          </w:p>
        </w:tc>
        <w:tc>
          <w:tcPr>
            <w:tcW w:w="922" w:type="dxa"/>
            <w:tcBorders>
              <w:top w:val="nil"/>
              <w:left w:val="nil"/>
              <w:bottom w:val="single" w:sz="4" w:space="0" w:color="auto"/>
              <w:right w:val="single" w:sz="4" w:space="0" w:color="auto"/>
            </w:tcBorders>
            <w:noWrap/>
            <w:vAlign w:val="bottom"/>
            <w:hideMark/>
          </w:tcPr>
          <w:p w14:paraId="336C0B7C"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52 355</w:t>
            </w:r>
          </w:p>
        </w:tc>
        <w:tc>
          <w:tcPr>
            <w:tcW w:w="1026" w:type="dxa"/>
            <w:tcBorders>
              <w:top w:val="nil"/>
              <w:left w:val="nil"/>
              <w:bottom w:val="single" w:sz="4" w:space="0" w:color="auto"/>
              <w:right w:val="single" w:sz="4" w:space="0" w:color="auto"/>
            </w:tcBorders>
            <w:noWrap/>
            <w:vAlign w:val="bottom"/>
            <w:hideMark/>
          </w:tcPr>
          <w:p w14:paraId="5301724E"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49 466</w:t>
            </w:r>
          </w:p>
        </w:tc>
        <w:tc>
          <w:tcPr>
            <w:tcW w:w="1026" w:type="dxa"/>
            <w:tcBorders>
              <w:top w:val="nil"/>
              <w:left w:val="nil"/>
              <w:bottom w:val="single" w:sz="4" w:space="0" w:color="auto"/>
              <w:right w:val="single" w:sz="4" w:space="0" w:color="auto"/>
            </w:tcBorders>
            <w:noWrap/>
            <w:vAlign w:val="bottom"/>
            <w:hideMark/>
          </w:tcPr>
          <w:p w14:paraId="798B0781"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2 489</w:t>
            </w:r>
          </w:p>
        </w:tc>
        <w:tc>
          <w:tcPr>
            <w:tcW w:w="1151" w:type="dxa"/>
            <w:tcBorders>
              <w:top w:val="nil"/>
              <w:left w:val="nil"/>
              <w:bottom w:val="single" w:sz="4" w:space="0" w:color="auto"/>
              <w:right w:val="single" w:sz="4" w:space="0" w:color="auto"/>
            </w:tcBorders>
            <w:noWrap/>
            <w:vAlign w:val="bottom"/>
            <w:hideMark/>
          </w:tcPr>
          <w:p w14:paraId="65ABD2A7"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0</w:t>
            </w:r>
          </w:p>
        </w:tc>
        <w:tc>
          <w:tcPr>
            <w:tcW w:w="1192" w:type="dxa"/>
            <w:tcBorders>
              <w:top w:val="nil"/>
              <w:left w:val="nil"/>
              <w:bottom w:val="single" w:sz="4" w:space="0" w:color="auto"/>
              <w:right w:val="single" w:sz="4" w:space="0" w:color="auto"/>
            </w:tcBorders>
            <w:noWrap/>
            <w:vAlign w:val="bottom"/>
            <w:hideMark/>
          </w:tcPr>
          <w:p w14:paraId="0BBD3500"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0</w:t>
            </w:r>
          </w:p>
        </w:tc>
        <w:tc>
          <w:tcPr>
            <w:tcW w:w="1175" w:type="dxa"/>
            <w:tcBorders>
              <w:top w:val="nil"/>
              <w:left w:val="nil"/>
              <w:bottom w:val="single" w:sz="4" w:space="0" w:color="auto"/>
              <w:right w:val="single" w:sz="4" w:space="0" w:color="auto"/>
            </w:tcBorders>
            <w:noWrap/>
            <w:vAlign w:val="bottom"/>
            <w:hideMark/>
          </w:tcPr>
          <w:p w14:paraId="74A6FCCA"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0</w:t>
            </w:r>
          </w:p>
        </w:tc>
        <w:tc>
          <w:tcPr>
            <w:tcW w:w="1066" w:type="dxa"/>
            <w:tcBorders>
              <w:top w:val="nil"/>
              <w:left w:val="nil"/>
              <w:bottom w:val="single" w:sz="4" w:space="0" w:color="auto"/>
              <w:right w:val="single" w:sz="4" w:space="0" w:color="auto"/>
            </w:tcBorders>
            <w:noWrap/>
            <w:vAlign w:val="bottom"/>
            <w:hideMark/>
          </w:tcPr>
          <w:p w14:paraId="453CCFA3"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265</w:t>
            </w:r>
          </w:p>
        </w:tc>
        <w:tc>
          <w:tcPr>
            <w:tcW w:w="1113" w:type="dxa"/>
            <w:tcBorders>
              <w:top w:val="nil"/>
              <w:left w:val="nil"/>
              <w:bottom w:val="single" w:sz="4" w:space="0" w:color="auto"/>
              <w:right w:val="single" w:sz="8" w:space="0" w:color="auto"/>
            </w:tcBorders>
            <w:noWrap/>
            <w:vAlign w:val="bottom"/>
            <w:hideMark/>
          </w:tcPr>
          <w:p w14:paraId="48F67C9A"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135</w:t>
            </w:r>
          </w:p>
        </w:tc>
      </w:tr>
      <w:tr w:rsidR="00F95196" w:rsidRPr="00F95196" w14:paraId="134C2E1D" w14:textId="77777777" w:rsidTr="00BE6FF5">
        <w:trPr>
          <w:trHeight w:val="300"/>
        </w:trPr>
        <w:tc>
          <w:tcPr>
            <w:tcW w:w="818" w:type="dxa"/>
            <w:tcBorders>
              <w:top w:val="nil"/>
              <w:left w:val="single" w:sz="8" w:space="0" w:color="auto"/>
              <w:bottom w:val="single" w:sz="4" w:space="0" w:color="auto"/>
              <w:right w:val="single" w:sz="4" w:space="0" w:color="auto"/>
            </w:tcBorders>
            <w:noWrap/>
            <w:vAlign w:val="bottom"/>
            <w:hideMark/>
          </w:tcPr>
          <w:p w14:paraId="1342C827"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2025</w:t>
            </w:r>
          </w:p>
        </w:tc>
        <w:tc>
          <w:tcPr>
            <w:tcW w:w="849" w:type="dxa"/>
            <w:tcBorders>
              <w:top w:val="nil"/>
              <w:left w:val="nil"/>
              <w:bottom w:val="single" w:sz="4" w:space="0" w:color="auto"/>
              <w:right w:val="single" w:sz="4" w:space="0" w:color="auto"/>
            </w:tcBorders>
            <w:noWrap/>
            <w:vAlign w:val="bottom"/>
            <w:hideMark/>
          </w:tcPr>
          <w:p w14:paraId="040534C6" w14:textId="77777777" w:rsidR="00F95196" w:rsidRPr="00F95196" w:rsidRDefault="00F95196" w:rsidP="009E3AD8">
            <w:pPr>
              <w:spacing w:line="276" w:lineRule="auto"/>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CA</w:t>
            </w:r>
          </w:p>
        </w:tc>
        <w:tc>
          <w:tcPr>
            <w:tcW w:w="922" w:type="dxa"/>
            <w:tcBorders>
              <w:top w:val="nil"/>
              <w:left w:val="nil"/>
              <w:bottom w:val="single" w:sz="4" w:space="0" w:color="auto"/>
              <w:right w:val="single" w:sz="4" w:space="0" w:color="auto"/>
            </w:tcBorders>
            <w:noWrap/>
            <w:vAlign w:val="bottom"/>
            <w:hideMark/>
          </w:tcPr>
          <w:p w14:paraId="56C630AC"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44 258</w:t>
            </w:r>
          </w:p>
        </w:tc>
        <w:tc>
          <w:tcPr>
            <w:tcW w:w="1026" w:type="dxa"/>
            <w:tcBorders>
              <w:top w:val="nil"/>
              <w:left w:val="nil"/>
              <w:bottom w:val="single" w:sz="4" w:space="0" w:color="auto"/>
              <w:right w:val="single" w:sz="4" w:space="0" w:color="auto"/>
            </w:tcBorders>
            <w:noWrap/>
            <w:vAlign w:val="bottom"/>
            <w:hideMark/>
          </w:tcPr>
          <w:p w14:paraId="0C461ECA"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41 420</w:t>
            </w:r>
          </w:p>
        </w:tc>
        <w:tc>
          <w:tcPr>
            <w:tcW w:w="1026" w:type="dxa"/>
            <w:tcBorders>
              <w:top w:val="nil"/>
              <w:left w:val="nil"/>
              <w:bottom w:val="single" w:sz="4" w:space="0" w:color="auto"/>
              <w:right w:val="single" w:sz="4" w:space="0" w:color="auto"/>
            </w:tcBorders>
            <w:noWrap/>
            <w:vAlign w:val="bottom"/>
            <w:hideMark/>
          </w:tcPr>
          <w:p w14:paraId="7917D8DC"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2 406</w:t>
            </w:r>
          </w:p>
        </w:tc>
        <w:tc>
          <w:tcPr>
            <w:tcW w:w="1151" w:type="dxa"/>
            <w:tcBorders>
              <w:top w:val="nil"/>
              <w:left w:val="nil"/>
              <w:bottom w:val="single" w:sz="4" w:space="0" w:color="auto"/>
              <w:right w:val="single" w:sz="4" w:space="0" w:color="auto"/>
            </w:tcBorders>
            <w:noWrap/>
            <w:vAlign w:val="bottom"/>
            <w:hideMark/>
          </w:tcPr>
          <w:p w14:paraId="22E779F1"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0</w:t>
            </w:r>
          </w:p>
        </w:tc>
        <w:tc>
          <w:tcPr>
            <w:tcW w:w="1192" w:type="dxa"/>
            <w:tcBorders>
              <w:top w:val="nil"/>
              <w:left w:val="nil"/>
              <w:bottom w:val="single" w:sz="4" w:space="0" w:color="auto"/>
              <w:right w:val="single" w:sz="4" w:space="0" w:color="auto"/>
            </w:tcBorders>
            <w:noWrap/>
            <w:vAlign w:val="bottom"/>
            <w:hideMark/>
          </w:tcPr>
          <w:p w14:paraId="253DDC82"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22</w:t>
            </w:r>
          </w:p>
        </w:tc>
        <w:tc>
          <w:tcPr>
            <w:tcW w:w="1175" w:type="dxa"/>
            <w:tcBorders>
              <w:top w:val="nil"/>
              <w:left w:val="nil"/>
              <w:bottom w:val="single" w:sz="4" w:space="0" w:color="auto"/>
              <w:right w:val="single" w:sz="4" w:space="0" w:color="auto"/>
            </w:tcBorders>
            <w:noWrap/>
            <w:vAlign w:val="bottom"/>
            <w:hideMark/>
          </w:tcPr>
          <w:p w14:paraId="5141256B"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0</w:t>
            </w:r>
          </w:p>
        </w:tc>
        <w:tc>
          <w:tcPr>
            <w:tcW w:w="1066" w:type="dxa"/>
            <w:tcBorders>
              <w:top w:val="nil"/>
              <w:left w:val="nil"/>
              <w:bottom w:val="single" w:sz="4" w:space="0" w:color="auto"/>
              <w:right w:val="single" w:sz="4" w:space="0" w:color="auto"/>
            </w:tcBorders>
            <w:noWrap/>
            <w:vAlign w:val="bottom"/>
            <w:hideMark/>
          </w:tcPr>
          <w:p w14:paraId="4B454A92"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270</w:t>
            </w:r>
          </w:p>
        </w:tc>
        <w:tc>
          <w:tcPr>
            <w:tcW w:w="1113" w:type="dxa"/>
            <w:tcBorders>
              <w:top w:val="nil"/>
              <w:left w:val="nil"/>
              <w:bottom w:val="single" w:sz="4" w:space="0" w:color="auto"/>
              <w:right w:val="single" w:sz="8" w:space="0" w:color="auto"/>
            </w:tcBorders>
            <w:noWrap/>
            <w:vAlign w:val="bottom"/>
            <w:hideMark/>
          </w:tcPr>
          <w:p w14:paraId="3C4A8E91"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140</w:t>
            </w:r>
          </w:p>
        </w:tc>
      </w:tr>
      <w:tr w:rsidR="00F95196" w:rsidRPr="00F95196" w14:paraId="57AF8953" w14:textId="77777777" w:rsidTr="00BE6FF5">
        <w:trPr>
          <w:trHeight w:val="300"/>
        </w:trPr>
        <w:tc>
          <w:tcPr>
            <w:tcW w:w="818" w:type="dxa"/>
            <w:tcBorders>
              <w:top w:val="nil"/>
              <w:left w:val="single" w:sz="8" w:space="0" w:color="auto"/>
              <w:bottom w:val="nil"/>
              <w:right w:val="single" w:sz="4" w:space="0" w:color="auto"/>
            </w:tcBorders>
            <w:noWrap/>
            <w:vAlign w:val="bottom"/>
            <w:hideMark/>
          </w:tcPr>
          <w:p w14:paraId="6C91D56A"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2025</w:t>
            </w:r>
          </w:p>
        </w:tc>
        <w:tc>
          <w:tcPr>
            <w:tcW w:w="849" w:type="dxa"/>
            <w:tcBorders>
              <w:top w:val="nil"/>
              <w:left w:val="nil"/>
              <w:bottom w:val="nil"/>
              <w:right w:val="single" w:sz="4" w:space="0" w:color="auto"/>
            </w:tcBorders>
            <w:noWrap/>
            <w:vAlign w:val="bottom"/>
            <w:hideMark/>
          </w:tcPr>
          <w:p w14:paraId="31B53D44" w14:textId="77777777" w:rsidR="00F95196" w:rsidRPr="00F95196" w:rsidRDefault="00F95196" w:rsidP="009E3AD8">
            <w:pPr>
              <w:spacing w:line="276" w:lineRule="auto"/>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CB</w:t>
            </w:r>
          </w:p>
        </w:tc>
        <w:tc>
          <w:tcPr>
            <w:tcW w:w="922" w:type="dxa"/>
            <w:tcBorders>
              <w:top w:val="nil"/>
              <w:left w:val="nil"/>
              <w:bottom w:val="nil"/>
              <w:right w:val="single" w:sz="4" w:space="0" w:color="auto"/>
            </w:tcBorders>
            <w:noWrap/>
            <w:vAlign w:val="bottom"/>
            <w:hideMark/>
          </w:tcPr>
          <w:p w14:paraId="10FC39FD"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44 258</w:t>
            </w:r>
          </w:p>
        </w:tc>
        <w:tc>
          <w:tcPr>
            <w:tcW w:w="1026" w:type="dxa"/>
            <w:tcBorders>
              <w:top w:val="nil"/>
              <w:left w:val="nil"/>
              <w:bottom w:val="nil"/>
              <w:right w:val="single" w:sz="4" w:space="0" w:color="auto"/>
            </w:tcBorders>
            <w:noWrap/>
            <w:vAlign w:val="bottom"/>
            <w:hideMark/>
          </w:tcPr>
          <w:p w14:paraId="3749620C"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41 420</w:t>
            </w:r>
          </w:p>
        </w:tc>
        <w:tc>
          <w:tcPr>
            <w:tcW w:w="1026" w:type="dxa"/>
            <w:tcBorders>
              <w:top w:val="nil"/>
              <w:left w:val="nil"/>
              <w:bottom w:val="nil"/>
              <w:right w:val="single" w:sz="4" w:space="0" w:color="auto"/>
            </w:tcBorders>
            <w:noWrap/>
            <w:vAlign w:val="bottom"/>
            <w:hideMark/>
          </w:tcPr>
          <w:p w14:paraId="1543369C"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2 406</w:t>
            </w:r>
          </w:p>
        </w:tc>
        <w:tc>
          <w:tcPr>
            <w:tcW w:w="1151" w:type="dxa"/>
            <w:tcBorders>
              <w:top w:val="nil"/>
              <w:left w:val="nil"/>
              <w:bottom w:val="nil"/>
              <w:right w:val="single" w:sz="4" w:space="0" w:color="auto"/>
            </w:tcBorders>
            <w:noWrap/>
            <w:vAlign w:val="bottom"/>
            <w:hideMark/>
          </w:tcPr>
          <w:p w14:paraId="4E92C6C1"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0</w:t>
            </w:r>
          </w:p>
        </w:tc>
        <w:tc>
          <w:tcPr>
            <w:tcW w:w="1192" w:type="dxa"/>
            <w:tcBorders>
              <w:top w:val="nil"/>
              <w:left w:val="nil"/>
              <w:bottom w:val="nil"/>
              <w:right w:val="single" w:sz="4" w:space="0" w:color="auto"/>
            </w:tcBorders>
            <w:noWrap/>
            <w:vAlign w:val="bottom"/>
            <w:hideMark/>
          </w:tcPr>
          <w:p w14:paraId="6FDFA9E9"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22</w:t>
            </w:r>
          </w:p>
        </w:tc>
        <w:tc>
          <w:tcPr>
            <w:tcW w:w="1175" w:type="dxa"/>
            <w:tcBorders>
              <w:top w:val="nil"/>
              <w:left w:val="nil"/>
              <w:bottom w:val="nil"/>
              <w:right w:val="single" w:sz="4" w:space="0" w:color="auto"/>
            </w:tcBorders>
            <w:noWrap/>
            <w:vAlign w:val="bottom"/>
            <w:hideMark/>
          </w:tcPr>
          <w:p w14:paraId="72863AA4"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0</w:t>
            </w:r>
          </w:p>
        </w:tc>
        <w:tc>
          <w:tcPr>
            <w:tcW w:w="1066" w:type="dxa"/>
            <w:tcBorders>
              <w:top w:val="nil"/>
              <w:left w:val="nil"/>
              <w:bottom w:val="nil"/>
              <w:right w:val="single" w:sz="4" w:space="0" w:color="auto"/>
            </w:tcBorders>
            <w:noWrap/>
            <w:vAlign w:val="bottom"/>
            <w:hideMark/>
          </w:tcPr>
          <w:p w14:paraId="22848E1B"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270</w:t>
            </w:r>
          </w:p>
        </w:tc>
        <w:tc>
          <w:tcPr>
            <w:tcW w:w="1113" w:type="dxa"/>
            <w:tcBorders>
              <w:top w:val="nil"/>
              <w:left w:val="nil"/>
              <w:bottom w:val="single" w:sz="4" w:space="0" w:color="auto"/>
              <w:right w:val="single" w:sz="8" w:space="0" w:color="auto"/>
            </w:tcBorders>
            <w:noWrap/>
            <w:vAlign w:val="bottom"/>
            <w:hideMark/>
          </w:tcPr>
          <w:p w14:paraId="524C6445"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140</w:t>
            </w:r>
          </w:p>
        </w:tc>
      </w:tr>
      <w:tr w:rsidR="00F95196" w:rsidRPr="00F95196" w14:paraId="7AC83E99" w14:textId="77777777" w:rsidTr="00BE6FF5">
        <w:trPr>
          <w:trHeight w:val="300"/>
        </w:trPr>
        <w:tc>
          <w:tcPr>
            <w:tcW w:w="818" w:type="dxa"/>
            <w:tcBorders>
              <w:top w:val="single" w:sz="4" w:space="0" w:color="auto"/>
              <w:left w:val="single" w:sz="8" w:space="0" w:color="auto"/>
              <w:bottom w:val="single" w:sz="4" w:space="0" w:color="auto"/>
              <w:right w:val="single" w:sz="4" w:space="0" w:color="auto"/>
            </w:tcBorders>
            <w:noWrap/>
            <w:vAlign w:val="bottom"/>
            <w:hideMark/>
          </w:tcPr>
          <w:p w14:paraId="04342254" w14:textId="77777777" w:rsidR="00F95196" w:rsidRPr="00F95196" w:rsidRDefault="00F95196" w:rsidP="009E3AD8">
            <w:pPr>
              <w:spacing w:line="276" w:lineRule="auto"/>
              <w:jc w:val="right"/>
              <w:rPr>
                <w:rFonts w:ascii="Calibri" w:hAnsi="Calibri" w:cs="Calibri"/>
                <w:color w:val="000000"/>
                <w:sz w:val="22"/>
                <w:szCs w:val="22"/>
                <w:lang w:val="en-US"/>
              </w:rPr>
            </w:pPr>
            <w:r w:rsidRPr="00F95196">
              <w:rPr>
                <w:rFonts w:ascii="Calibri" w:hAnsi="Calibri" w:cs="Calibri"/>
                <w:color w:val="000000"/>
                <w:sz w:val="22"/>
                <w:szCs w:val="22"/>
                <w:lang w:val="en-US"/>
              </w:rPr>
              <w:t>2 026</w:t>
            </w:r>
          </w:p>
        </w:tc>
        <w:tc>
          <w:tcPr>
            <w:tcW w:w="849" w:type="dxa"/>
            <w:tcBorders>
              <w:top w:val="single" w:sz="4" w:space="0" w:color="auto"/>
              <w:left w:val="nil"/>
              <w:bottom w:val="single" w:sz="4" w:space="0" w:color="auto"/>
              <w:right w:val="single" w:sz="4" w:space="0" w:color="auto"/>
            </w:tcBorders>
            <w:noWrap/>
            <w:vAlign w:val="bottom"/>
            <w:hideMark/>
          </w:tcPr>
          <w:p w14:paraId="5F159694" w14:textId="77777777" w:rsidR="00F95196" w:rsidRPr="00F95196" w:rsidRDefault="00F95196" w:rsidP="009E3AD8">
            <w:pPr>
              <w:spacing w:line="276" w:lineRule="auto"/>
              <w:rPr>
                <w:rFonts w:ascii="Calibri" w:hAnsi="Calibri" w:cs="Calibri"/>
                <w:color w:val="000000"/>
                <w:sz w:val="22"/>
                <w:szCs w:val="22"/>
                <w:lang w:val="en-US"/>
              </w:rPr>
            </w:pPr>
            <w:r w:rsidRPr="00F95196">
              <w:rPr>
                <w:rFonts w:ascii="Calibri" w:hAnsi="Calibri" w:cs="Calibri"/>
                <w:color w:val="000000"/>
                <w:sz w:val="22"/>
                <w:szCs w:val="22"/>
                <w:lang w:val="en-US"/>
              </w:rPr>
              <w:t>CA</w:t>
            </w:r>
          </w:p>
        </w:tc>
        <w:tc>
          <w:tcPr>
            <w:tcW w:w="922" w:type="dxa"/>
            <w:tcBorders>
              <w:top w:val="single" w:sz="4" w:space="0" w:color="auto"/>
              <w:left w:val="nil"/>
              <w:bottom w:val="nil"/>
              <w:right w:val="single" w:sz="4" w:space="0" w:color="auto"/>
            </w:tcBorders>
            <w:noWrap/>
            <w:vAlign w:val="bottom"/>
            <w:hideMark/>
          </w:tcPr>
          <w:p w14:paraId="5A3E9018"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76 276</w:t>
            </w:r>
          </w:p>
        </w:tc>
        <w:tc>
          <w:tcPr>
            <w:tcW w:w="1026" w:type="dxa"/>
            <w:tcBorders>
              <w:top w:val="single" w:sz="4" w:space="0" w:color="auto"/>
              <w:left w:val="nil"/>
              <w:bottom w:val="single" w:sz="4" w:space="0" w:color="auto"/>
              <w:right w:val="single" w:sz="4" w:space="0" w:color="auto"/>
            </w:tcBorders>
            <w:noWrap/>
            <w:vAlign w:val="bottom"/>
            <w:hideMark/>
          </w:tcPr>
          <w:p w14:paraId="2D2ACAE0" w14:textId="77777777" w:rsidR="00F95196" w:rsidRPr="00F95196" w:rsidRDefault="00F95196" w:rsidP="009E3AD8">
            <w:pPr>
              <w:spacing w:line="276" w:lineRule="auto"/>
              <w:jc w:val="right"/>
              <w:rPr>
                <w:rFonts w:ascii="Calibri" w:hAnsi="Calibri" w:cs="Calibri"/>
                <w:color w:val="000000"/>
                <w:sz w:val="22"/>
                <w:szCs w:val="22"/>
                <w:lang w:val="en-US"/>
              </w:rPr>
            </w:pPr>
            <w:r w:rsidRPr="00F95196">
              <w:rPr>
                <w:rFonts w:ascii="Calibri" w:hAnsi="Calibri" w:cs="Calibri"/>
                <w:color w:val="000000"/>
                <w:sz w:val="22"/>
                <w:szCs w:val="22"/>
                <w:lang w:val="en-US"/>
              </w:rPr>
              <w:t>68 266</w:t>
            </w:r>
          </w:p>
        </w:tc>
        <w:tc>
          <w:tcPr>
            <w:tcW w:w="1026" w:type="dxa"/>
            <w:tcBorders>
              <w:top w:val="single" w:sz="4" w:space="0" w:color="auto"/>
              <w:left w:val="nil"/>
              <w:bottom w:val="single" w:sz="4" w:space="0" w:color="auto"/>
              <w:right w:val="single" w:sz="4" w:space="0" w:color="auto"/>
            </w:tcBorders>
            <w:noWrap/>
            <w:vAlign w:val="bottom"/>
            <w:hideMark/>
          </w:tcPr>
          <w:p w14:paraId="5DB5CB44" w14:textId="77777777" w:rsidR="00F95196" w:rsidRPr="00F95196" w:rsidRDefault="00F95196" w:rsidP="009E3AD8">
            <w:pPr>
              <w:spacing w:line="276" w:lineRule="auto"/>
              <w:jc w:val="right"/>
              <w:rPr>
                <w:rFonts w:ascii="Calibri" w:hAnsi="Calibri" w:cs="Calibri"/>
                <w:color w:val="000000"/>
                <w:sz w:val="22"/>
                <w:szCs w:val="22"/>
                <w:lang w:val="en-US"/>
              </w:rPr>
            </w:pPr>
            <w:r w:rsidRPr="00F95196">
              <w:rPr>
                <w:rFonts w:ascii="Calibri" w:hAnsi="Calibri" w:cs="Calibri"/>
                <w:color w:val="000000"/>
                <w:sz w:val="22"/>
                <w:szCs w:val="22"/>
                <w:lang w:val="en-US"/>
              </w:rPr>
              <w:t>3 609</w:t>
            </w:r>
          </w:p>
        </w:tc>
        <w:tc>
          <w:tcPr>
            <w:tcW w:w="1151" w:type="dxa"/>
            <w:tcBorders>
              <w:top w:val="single" w:sz="4" w:space="0" w:color="auto"/>
              <w:left w:val="nil"/>
              <w:bottom w:val="single" w:sz="4" w:space="0" w:color="auto"/>
              <w:right w:val="single" w:sz="4" w:space="0" w:color="auto"/>
            </w:tcBorders>
            <w:noWrap/>
            <w:vAlign w:val="bottom"/>
            <w:hideMark/>
          </w:tcPr>
          <w:p w14:paraId="2243CC04" w14:textId="77777777" w:rsidR="00F95196" w:rsidRPr="00F95196" w:rsidRDefault="00F95196" w:rsidP="009E3AD8">
            <w:pPr>
              <w:spacing w:line="276" w:lineRule="auto"/>
              <w:jc w:val="right"/>
              <w:rPr>
                <w:rFonts w:ascii="Calibri" w:hAnsi="Calibri" w:cs="Calibri"/>
                <w:color w:val="000000"/>
                <w:sz w:val="22"/>
                <w:szCs w:val="22"/>
                <w:lang w:val="en-US"/>
              </w:rPr>
            </w:pPr>
            <w:r w:rsidRPr="00F95196">
              <w:rPr>
                <w:rFonts w:ascii="Calibri" w:hAnsi="Calibri" w:cs="Calibri"/>
                <w:color w:val="000000"/>
                <w:sz w:val="22"/>
                <w:szCs w:val="22"/>
                <w:lang w:val="en-US"/>
              </w:rPr>
              <w:t>0</w:t>
            </w:r>
          </w:p>
        </w:tc>
        <w:tc>
          <w:tcPr>
            <w:tcW w:w="1192" w:type="dxa"/>
            <w:tcBorders>
              <w:top w:val="single" w:sz="4" w:space="0" w:color="auto"/>
              <w:left w:val="nil"/>
              <w:bottom w:val="single" w:sz="4" w:space="0" w:color="auto"/>
              <w:right w:val="single" w:sz="4" w:space="0" w:color="auto"/>
            </w:tcBorders>
            <w:noWrap/>
            <w:vAlign w:val="bottom"/>
            <w:hideMark/>
          </w:tcPr>
          <w:p w14:paraId="1DF686E7" w14:textId="77777777" w:rsidR="00F95196" w:rsidRPr="00F95196" w:rsidRDefault="00F95196" w:rsidP="009E3AD8">
            <w:pPr>
              <w:spacing w:line="276" w:lineRule="auto"/>
              <w:jc w:val="right"/>
              <w:rPr>
                <w:rFonts w:ascii="Calibri" w:hAnsi="Calibri" w:cs="Calibri"/>
                <w:color w:val="000000"/>
                <w:sz w:val="22"/>
                <w:szCs w:val="22"/>
                <w:lang w:val="en-US"/>
              </w:rPr>
            </w:pPr>
            <w:r w:rsidRPr="00F95196">
              <w:rPr>
                <w:rFonts w:ascii="Calibri" w:hAnsi="Calibri" w:cs="Calibri"/>
                <w:color w:val="000000"/>
                <w:sz w:val="22"/>
                <w:szCs w:val="22"/>
                <w:lang w:val="en-US"/>
              </w:rPr>
              <w:t>26</w:t>
            </w:r>
          </w:p>
        </w:tc>
        <w:tc>
          <w:tcPr>
            <w:tcW w:w="1175" w:type="dxa"/>
            <w:tcBorders>
              <w:top w:val="single" w:sz="4" w:space="0" w:color="auto"/>
              <w:left w:val="nil"/>
              <w:bottom w:val="single" w:sz="4" w:space="0" w:color="auto"/>
              <w:right w:val="single" w:sz="4" w:space="0" w:color="auto"/>
            </w:tcBorders>
            <w:noWrap/>
            <w:vAlign w:val="bottom"/>
            <w:hideMark/>
          </w:tcPr>
          <w:p w14:paraId="15A21068" w14:textId="77777777" w:rsidR="00F95196" w:rsidRPr="00F95196" w:rsidRDefault="00F95196" w:rsidP="009E3AD8">
            <w:pPr>
              <w:spacing w:line="276" w:lineRule="auto"/>
              <w:jc w:val="right"/>
              <w:rPr>
                <w:rFonts w:ascii="Calibri" w:hAnsi="Calibri" w:cs="Calibri"/>
                <w:color w:val="000000"/>
                <w:sz w:val="22"/>
                <w:szCs w:val="22"/>
                <w:lang w:val="en-US"/>
              </w:rPr>
            </w:pPr>
            <w:r w:rsidRPr="00F95196">
              <w:rPr>
                <w:rFonts w:ascii="Calibri" w:hAnsi="Calibri" w:cs="Calibri"/>
                <w:color w:val="000000"/>
                <w:sz w:val="22"/>
                <w:szCs w:val="22"/>
                <w:lang w:val="en-US"/>
              </w:rPr>
              <w:t>0</w:t>
            </w:r>
          </w:p>
        </w:tc>
        <w:tc>
          <w:tcPr>
            <w:tcW w:w="1066" w:type="dxa"/>
            <w:tcBorders>
              <w:top w:val="single" w:sz="4" w:space="0" w:color="auto"/>
              <w:left w:val="nil"/>
              <w:bottom w:val="single" w:sz="4" w:space="0" w:color="auto"/>
              <w:right w:val="single" w:sz="4" w:space="0" w:color="auto"/>
            </w:tcBorders>
            <w:noWrap/>
            <w:vAlign w:val="bottom"/>
            <w:hideMark/>
          </w:tcPr>
          <w:p w14:paraId="055C1A03" w14:textId="77777777" w:rsidR="00F95196" w:rsidRPr="00F95196" w:rsidRDefault="00F95196" w:rsidP="009E3AD8">
            <w:pPr>
              <w:spacing w:line="276" w:lineRule="auto"/>
              <w:jc w:val="right"/>
              <w:rPr>
                <w:rFonts w:ascii="Calibri" w:hAnsi="Calibri" w:cs="Calibri"/>
                <w:color w:val="000000"/>
                <w:sz w:val="22"/>
                <w:szCs w:val="22"/>
                <w:lang w:val="en-US"/>
              </w:rPr>
            </w:pPr>
            <w:r w:rsidRPr="00F95196">
              <w:rPr>
                <w:rFonts w:ascii="Calibri" w:hAnsi="Calibri" w:cs="Calibri"/>
                <w:color w:val="000000"/>
                <w:sz w:val="22"/>
                <w:szCs w:val="22"/>
                <w:lang w:val="en-US"/>
              </w:rPr>
              <w:t>3 151</w:t>
            </w:r>
          </w:p>
        </w:tc>
        <w:tc>
          <w:tcPr>
            <w:tcW w:w="1113" w:type="dxa"/>
            <w:tcBorders>
              <w:top w:val="nil"/>
              <w:left w:val="nil"/>
              <w:bottom w:val="single" w:sz="4" w:space="0" w:color="auto"/>
              <w:right w:val="single" w:sz="8" w:space="0" w:color="auto"/>
            </w:tcBorders>
            <w:noWrap/>
            <w:vAlign w:val="bottom"/>
            <w:hideMark/>
          </w:tcPr>
          <w:p w14:paraId="395E895B" w14:textId="77777777" w:rsidR="00F95196" w:rsidRPr="00F95196" w:rsidRDefault="00F95196" w:rsidP="009E3AD8">
            <w:pPr>
              <w:spacing w:line="276" w:lineRule="auto"/>
              <w:jc w:val="right"/>
              <w:rPr>
                <w:rFonts w:ascii="Calibri" w:hAnsi="Calibri" w:cs="Calibri"/>
                <w:color w:val="000000"/>
                <w:sz w:val="22"/>
                <w:szCs w:val="22"/>
                <w:lang w:val="en-US"/>
              </w:rPr>
            </w:pPr>
            <w:r w:rsidRPr="00F95196">
              <w:rPr>
                <w:rFonts w:ascii="Calibri" w:hAnsi="Calibri" w:cs="Calibri"/>
                <w:color w:val="000000"/>
                <w:sz w:val="22"/>
                <w:szCs w:val="22"/>
                <w:lang w:val="en-US"/>
              </w:rPr>
              <w:t>1 224</w:t>
            </w:r>
          </w:p>
        </w:tc>
      </w:tr>
      <w:tr w:rsidR="00F95196" w:rsidRPr="00F95196" w14:paraId="77207040" w14:textId="77777777" w:rsidTr="00BE6FF5">
        <w:trPr>
          <w:trHeight w:val="70"/>
        </w:trPr>
        <w:tc>
          <w:tcPr>
            <w:tcW w:w="818" w:type="dxa"/>
            <w:tcBorders>
              <w:top w:val="nil"/>
              <w:left w:val="single" w:sz="8" w:space="0" w:color="auto"/>
              <w:bottom w:val="single" w:sz="8" w:space="0" w:color="auto"/>
              <w:right w:val="single" w:sz="4" w:space="0" w:color="auto"/>
            </w:tcBorders>
            <w:noWrap/>
            <w:vAlign w:val="bottom"/>
            <w:hideMark/>
          </w:tcPr>
          <w:p w14:paraId="6F166BEA" w14:textId="77777777" w:rsidR="00F95196" w:rsidRPr="00F95196" w:rsidRDefault="00F95196" w:rsidP="009E3AD8">
            <w:pPr>
              <w:spacing w:line="276" w:lineRule="auto"/>
              <w:jc w:val="right"/>
              <w:rPr>
                <w:rFonts w:ascii="Calibri" w:hAnsi="Calibri" w:cs="Calibri"/>
                <w:color w:val="000000"/>
                <w:sz w:val="22"/>
                <w:szCs w:val="22"/>
                <w:lang w:val="en-US"/>
              </w:rPr>
            </w:pPr>
            <w:r w:rsidRPr="00F95196">
              <w:rPr>
                <w:rFonts w:ascii="Calibri" w:hAnsi="Calibri" w:cs="Calibri"/>
                <w:color w:val="000000"/>
                <w:sz w:val="22"/>
                <w:szCs w:val="22"/>
                <w:lang w:val="en-US"/>
              </w:rPr>
              <w:t>2 026</w:t>
            </w:r>
          </w:p>
        </w:tc>
        <w:tc>
          <w:tcPr>
            <w:tcW w:w="849" w:type="dxa"/>
            <w:tcBorders>
              <w:top w:val="nil"/>
              <w:left w:val="nil"/>
              <w:bottom w:val="single" w:sz="8" w:space="0" w:color="auto"/>
              <w:right w:val="single" w:sz="4" w:space="0" w:color="auto"/>
            </w:tcBorders>
            <w:noWrap/>
            <w:vAlign w:val="bottom"/>
            <w:hideMark/>
          </w:tcPr>
          <w:p w14:paraId="4A36E56C" w14:textId="77777777" w:rsidR="00F95196" w:rsidRPr="00F95196" w:rsidRDefault="00F95196" w:rsidP="009E3AD8">
            <w:pPr>
              <w:spacing w:line="276" w:lineRule="auto"/>
              <w:rPr>
                <w:rFonts w:ascii="Calibri" w:hAnsi="Calibri" w:cs="Calibri"/>
                <w:color w:val="000000"/>
                <w:sz w:val="22"/>
                <w:szCs w:val="22"/>
                <w:lang w:val="en-US"/>
              </w:rPr>
            </w:pPr>
            <w:r w:rsidRPr="00F95196">
              <w:rPr>
                <w:rFonts w:ascii="Calibri" w:hAnsi="Calibri" w:cs="Calibri"/>
                <w:color w:val="000000"/>
                <w:sz w:val="22"/>
                <w:szCs w:val="22"/>
                <w:lang w:val="en-US"/>
              </w:rPr>
              <w:t>CB</w:t>
            </w:r>
          </w:p>
        </w:tc>
        <w:tc>
          <w:tcPr>
            <w:tcW w:w="922" w:type="dxa"/>
            <w:tcBorders>
              <w:top w:val="single" w:sz="4" w:space="0" w:color="auto"/>
              <w:left w:val="nil"/>
              <w:bottom w:val="single" w:sz="8" w:space="0" w:color="auto"/>
              <w:right w:val="single" w:sz="4" w:space="0" w:color="auto"/>
            </w:tcBorders>
            <w:noWrap/>
            <w:vAlign w:val="bottom"/>
            <w:hideMark/>
          </w:tcPr>
          <w:p w14:paraId="370C2BFD"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76 276</w:t>
            </w:r>
          </w:p>
        </w:tc>
        <w:tc>
          <w:tcPr>
            <w:tcW w:w="1026" w:type="dxa"/>
            <w:tcBorders>
              <w:top w:val="nil"/>
              <w:left w:val="nil"/>
              <w:bottom w:val="single" w:sz="8" w:space="0" w:color="auto"/>
              <w:right w:val="single" w:sz="4" w:space="0" w:color="auto"/>
            </w:tcBorders>
            <w:noWrap/>
            <w:vAlign w:val="bottom"/>
            <w:hideMark/>
          </w:tcPr>
          <w:p w14:paraId="690054E3" w14:textId="77777777" w:rsidR="00F95196" w:rsidRPr="00F95196" w:rsidRDefault="00F95196" w:rsidP="009E3AD8">
            <w:pPr>
              <w:spacing w:line="276" w:lineRule="auto"/>
              <w:jc w:val="right"/>
              <w:rPr>
                <w:rFonts w:ascii="Calibri" w:hAnsi="Calibri" w:cs="Calibri"/>
                <w:color w:val="000000"/>
                <w:sz w:val="22"/>
                <w:szCs w:val="22"/>
                <w:lang w:val="en-US"/>
              </w:rPr>
            </w:pPr>
            <w:r w:rsidRPr="00F95196">
              <w:rPr>
                <w:rFonts w:ascii="Calibri" w:hAnsi="Calibri" w:cs="Calibri"/>
                <w:color w:val="000000"/>
                <w:sz w:val="22"/>
                <w:szCs w:val="22"/>
                <w:lang w:val="en-US"/>
              </w:rPr>
              <w:t>68 266</w:t>
            </w:r>
          </w:p>
        </w:tc>
        <w:tc>
          <w:tcPr>
            <w:tcW w:w="1026" w:type="dxa"/>
            <w:tcBorders>
              <w:top w:val="nil"/>
              <w:left w:val="nil"/>
              <w:bottom w:val="single" w:sz="8" w:space="0" w:color="auto"/>
              <w:right w:val="single" w:sz="4" w:space="0" w:color="auto"/>
            </w:tcBorders>
            <w:noWrap/>
            <w:vAlign w:val="bottom"/>
            <w:hideMark/>
          </w:tcPr>
          <w:p w14:paraId="4CC56959" w14:textId="77777777" w:rsidR="00F95196" w:rsidRPr="00F95196" w:rsidRDefault="00F95196" w:rsidP="009E3AD8">
            <w:pPr>
              <w:spacing w:line="276" w:lineRule="auto"/>
              <w:jc w:val="right"/>
              <w:rPr>
                <w:rFonts w:ascii="Calibri" w:hAnsi="Calibri" w:cs="Calibri"/>
                <w:color w:val="000000"/>
                <w:sz w:val="22"/>
                <w:szCs w:val="22"/>
                <w:lang w:val="en-US"/>
              </w:rPr>
            </w:pPr>
            <w:r w:rsidRPr="00F95196">
              <w:rPr>
                <w:rFonts w:ascii="Calibri" w:hAnsi="Calibri" w:cs="Calibri"/>
                <w:color w:val="000000"/>
                <w:sz w:val="22"/>
                <w:szCs w:val="22"/>
                <w:lang w:val="en-US"/>
              </w:rPr>
              <w:t>3 609</w:t>
            </w:r>
          </w:p>
        </w:tc>
        <w:tc>
          <w:tcPr>
            <w:tcW w:w="1151" w:type="dxa"/>
            <w:tcBorders>
              <w:top w:val="nil"/>
              <w:left w:val="nil"/>
              <w:bottom w:val="single" w:sz="8" w:space="0" w:color="auto"/>
              <w:right w:val="single" w:sz="4" w:space="0" w:color="auto"/>
            </w:tcBorders>
            <w:noWrap/>
            <w:vAlign w:val="bottom"/>
            <w:hideMark/>
          </w:tcPr>
          <w:p w14:paraId="4C674FDA" w14:textId="77777777" w:rsidR="00F95196" w:rsidRPr="00F95196" w:rsidRDefault="00F95196" w:rsidP="009E3AD8">
            <w:pPr>
              <w:spacing w:line="276" w:lineRule="auto"/>
              <w:jc w:val="right"/>
              <w:rPr>
                <w:rFonts w:ascii="Calibri" w:hAnsi="Calibri" w:cs="Calibri"/>
                <w:color w:val="000000"/>
                <w:sz w:val="22"/>
                <w:szCs w:val="22"/>
                <w:lang w:val="en-US"/>
              </w:rPr>
            </w:pPr>
            <w:r w:rsidRPr="00F95196">
              <w:rPr>
                <w:rFonts w:ascii="Calibri" w:hAnsi="Calibri" w:cs="Calibri"/>
                <w:color w:val="000000"/>
                <w:sz w:val="22"/>
                <w:szCs w:val="22"/>
                <w:lang w:val="en-US"/>
              </w:rPr>
              <w:t>0</w:t>
            </w:r>
          </w:p>
        </w:tc>
        <w:tc>
          <w:tcPr>
            <w:tcW w:w="1192" w:type="dxa"/>
            <w:tcBorders>
              <w:top w:val="nil"/>
              <w:left w:val="nil"/>
              <w:bottom w:val="single" w:sz="8" w:space="0" w:color="auto"/>
              <w:right w:val="single" w:sz="4" w:space="0" w:color="auto"/>
            </w:tcBorders>
            <w:noWrap/>
            <w:vAlign w:val="bottom"/>
            <w:hideMark/>
          </w:tcPr>
          <w:p w14:paraId="326F33D7" w14:textId="77777777" w:rsidR="00F95196" w:rsidRPr="00F95196" w:rsidRDefault="00F95196" w:rsidP="009E3AD8">
            <w:pPr>
              <w:spacing w:line="276" w:lineRule="auto"/>
              <w:jc w:val="right"/>
              <w:rPr>
                <w:rFonts w:ascii="Calibri" w:hAnsi="Calibri" w:cs="Calibri"/>
                <w:color w:val="000000"/>
                <w:sz w:val="22"/>
                <w:szCs w:val="22"/>
                <w:lang w:val="en-US"/>
              </w:rPr>
            </w:pPr>
            <w:r w:rsidRPr="00F95196">
              <w:rPr>
                <w:rFonts w:ascii="Calibri" w:hAnsi="Calibri" w:cs="Calibri"/>
                <w:color w:val="000000"/>
                <w:sz w:val="22"/>
                <w:szCs w:val="22"/>
                <w:lang w:val="en-US"/>
              </w:rPr>
              <w:t>26</w:t>
            </w:r>
          </w:p>
        </w:tc>
        <w:tc>
          <w:tcPr>
            <w:tcW w:w="1175" w:type="dxa"/>
            <w:tcBorders>
              <w:top w:val="nil"/>
              <w:left w:val="nil"/>
              <w:bottom w:val="single" w:sz="8" w:space="0" w:color="auto"/>
              <w:right w:val="single" w:sz="4" w:space="0" w:color="auto"/>
            </w:tcBorders>
            <w:noWrap/>
            <w:vAlign w:val="bottom"/>
            <w:hideMark/>
          </w:tcPr>
          <w:p w14:paraId="6F248A2E" w14:textId="77777777" w:rsidR="00F95196" w:rsidRPr="00F95196" w:rsidRDefault="00F95196" w:rsidP="009E3AD8">
            <w:pPr>
              <w:spacing w:line="276" w:lineRule="auto"/>
              <w:jc w:val="right"/>
              <w:rPr>
                <w:rFonts w:ascii="Calibri" w:hAnsi="Calibri" w:cs="Calibri"/>
                <w:color w:val="000000"/>
                <w:sz w:val="22"/>
                <w:szCs w:val="22"/>
                <w:lang w:val="en-US"/>
              </w:rPr>
            </w:pPr>
            <w:r w:rsidRPr="00F95196">
              <w:rPr>
                <w:rFonts w:ascii="Calibri" w:hAnsi="Calibri" w:cs="Calibri"/>
                <w:color w:val="000000"/>
                <w:sz w:val="22"/>
                <w:szCs w:val="22"/>
                <w:lang w:val="en-US"/>
              </w:rPr>
              <w:t>0</w:t>
            </w:r>
          </w:p>
        </w:tc>
        <w:tc>
          <w:tcPr>
            <w:tcW w:w="1066" w:type="dxa"/>
            <w:tcBorders>
              <w:top w:val="nil"/>
              <w:left w:val="nil"/>
              <w:bottom w:val="single" w:sz="8" w:space="0" w:color="auto"/>
              <w:right w:val="single" w:sz="4" w:space="0" w:color="auto"/>
            </w:tcBorders>
            <w:noWrap/>
            <w:vAlign w:val="bottom"/>
            <w:hideMark/>
          </w:tcPr>
          <w:p w14:paraId="67D60710" w14:textId="77777777" w:rsidR="00F95196" w:rsidRPr="00F95196" w:rsidRDefault="00F95196" w:rsidP="009E3AD8">
            <w:pPr>
              <w:spacing w:line="276" w:lineRule="auto"/>
              <w:jc w:val="right"/>
              <w:rPr>
                <w:rFonts w:ascii="Calibri" w:hAnsi="Calibri" w:cs="Calibri"/>
                <w:color w:val="000000"/>
                <w:sz w:val="22"/>
                <w:szCs w:val="22"/>
                <w:lang w:val="en-US"/>
              </w:rPr>
            </w:pPr>
            <w:r w:rsidRPr="00F95196">
              <w:rPr>
                <w:rFonts w:ascii="Calibri" w:hAnsi="Calibri" w:cs="Calibri"/>
                <w:color w:val="000000"/>
                <w:sz w:val="22"/>
                <w:szCs w:val="22"/>
                <w:lang w:val="en-US"/>
              </w:rPr>
              <w:t>3 151</w:t>
            </w:r>
          </w:p>
        </w:tc>
        <w:tc>
          <w:tcPr>
            <w:tcW w:w="1113" w:type="dxa"/>
            <w:tcBorders>
              <w:top w:val="nil"/>
              <w:left w:val="nil"/>
              <w:bottom w:val="single" w:sz="8" w:space="0" w:color="auto"/>
              <w:right w:val="single" w:sz="8" w:space="0" w:color="auto"/>
            </w:tcBorders>
            <w:noWrap/>
            <w:vAlign w:val="bottom"/>
            <w:hideMark/>
          </w:tcPr>
          <w:p w14:paraId="18D9D080" w14:textId="77777777" w:rsidR="00F95196" w:rsidRPr="00F95196" w:rsidRDefault="00F95196" w:rsidP="009E3AD8">
            <w:pPr>
              <w:spacing w:line="276" w:lineRule="auto"/>
              <w:jc w:val="right"/>
              <w:rPr>
                <w:rFonts w:ascii="Calibri" w:hAnsi="Calibri" w:cs="Calibri"/>
                <w:color w:val="000000"/>
                <w:sz w:val="22"/>
                <w:szCs w:val="22"/>
                <w:lang w:val="en-US"/>
              </w:rPr>
            </w:pPr>
            <w:r w:rsidRPr="00F95196">
              <w:rPr>
                <w:rFonts w:ascii="Calibri" w:hAnsi="Calibri" w:cs="Calibri"/>
                <w:color w:val="000000"/>
                <w:sz w:val="22"/>
                <w:szCs w:val="22"/>
                <w:lang w:val="en-US"/>
              </w:rPr>
              <w:t>1 224</w:t>
            </w:r>
          </w:p>
        </w:tc>
      </w:tr>
    </w:tbl>
    <w:p w14:paraId="605F6241" w14:textId="77777777" w:rsidR="009E3D5E" w:rsidRDefault="009E3D5E" w:rsidP="009E3AD8">
      <w:pPr>
        <w:spacing w:line="276" w:lineRule="auto"/>
        <w:jc w:val="center"/>
        <w:rPr>
          <w:rFonts w:ascii="Calibri" w:hAnsi="Calibri" w:cs="Calibri"/>
          <w:b/>
          <w:noProof/>
          <w:sz w:val="26"/>
          <w:szCs w:val="26"/>
          <w:lang w:val="en-GB" w:eastAsia="en-GB"/>
        </w:rPr>
      </w:pPr>
    </w:p>
    <w:p w14:paraId="0155B0BF" w14:textId="77777777" w:rsidR="009E3D5E" w:rsidRDefault="009E3D5E" w:rsidP="009E3AD8">
      <w:pPr>
        <w:spacing w:line="276" w:lineRule="auto"/>
        <w:jc w:val="center"/>
        <w:rPr>
          <w:rFonts w:ascii="Calibri" w:hAnsi="Calibri" w:cs="Calibri"/>
          <w:b/>
          <w:noProof/>
          <w:sz w:val="26"/>
          <w:szCs w:val="26"/>
          <w:lang w:val="en-GB" w:eastAsia="en-GB"/>
        </w:rPr>
      </w:pPr>
    </w:p>
    <w:p w14:paraId="55A618C0" w14:textId="16A63541" w:rsidR="00F95196" w:rsidRPr="00F95196" w:rsidRDefault="00F95196" w:rsidP="00F16EB8">
      <w:pPr>
        <w:keepNext/>
        <w:spacing w:line="276" w:lineRule="auto"/>
        <w:jc w:val="center"/>
        <w:rPr>
          <w:rFonts w:ascii="Calibri" w:hAnsi="Calibri" w:cs="Calibri"/>
          <w:b/>
          <w:noProof/>
          <w:sz w:val="26"/>
          <w:szCs w:val="26"/>
          <w:lang w:val="en-GB" w:eastAsia="en-GB"/>
        </w:rPr>
      </w:pPr>
      <w:r w:rsidRPr="00F95196">
        <w:rPr>
          <w:rFonts w:ascii="Calibri" w:hAnsi="Calibri" w:cs="Calibri"/>
          <w:b/>
          <w:noProof/>
          <w:sz w:val="26"/>
          <w:szCs w:val="26"/>
          <w:lang w:val="en-GB" w:eastAsia="en-GB"/>
        </w:rPr>
        <w:lastRenderedPageBreak/>
        <w:t>INSTITUTUL NAȚIONAL AL MAGISTRATURII</w:t>
      </w:r>
    </w:p>
    <w:p w14:paraId="601070B0" w14:textId="77777777" w:rsidR="00F95196" w:rsidRPr="00F95196" w:rsidRDefault="00F95196" w:rsidP="00F16EB8">
      <w:pPr>
        <w:keepNext/>
        <w:spacing w:line="276" w:lineRule="auto"/>
        <w:jc w:val="center"/>
        <w:rPr>
          <w:rFonts w:ascii="Calibri" w:hAnsi="Calibri" w:cs="Calibri"/>
          <w:noProof/>
          <w:sz w:val="26"/>
          <w:szCs w:val="26"/>
          <w:lang w:val="en-GB" w:eastAsia="en-GB"/>
        </w:rPr>
      </w:pPr>
      <w:r w:rsidRPr="00F95196">
        <w:rPr>
          <w:noProof/>
        </w:rPr>
        <w:drawing>
          <wp:inline distT="0" distB="0" distL="0" distR="0" wp14:anchorId="4BF85D75" wp14:editId="12261FBB">
            <wp:extent cx="5800725" cy="4914900"/>
            <wp:effectExtent l="0" t="0" r="9525" b="0"/>
            <wp:docPr id="1635501785" name="Chart 1">
              <a:extLst xmlns:a="http://schemas.openxmlformats.org/drawingml/2006/main">
                <a:ext uri="{FF2B5EF4-FFF2-40B4-BE49-F238E27FC236}">
                  <a16:creationId xmlns:a16="http://schemas.microsoft.com/office/drawing/2014/main" id="{00000000-0008-0000-02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1C00233" w14:textId="77777777" w:rsidR="00F95196" w:rsidRPr="00F95196" w:rsidRDefault="00F95196" w:rsidP="009E3AD8">
      <w:pPr>
        <w:spacing w:line="276" w:lineRule="auto"/>
        <w:rPr>
          <w:rFonts w:ascii="Calibri" w:hAnsi="Calibri" w:cs="Calibri"/>
          <w:sz w:val="26"/>
          <w:szCs w:val="26"/>
        </w:rPr>
      </w:pPr>
      <w:r w:rsidRPr="00F95196">
        <w:rPr>
          <w:rFonts w:ascii="Calibri" w:hAnsi="Calibri" w:cs="Calibri"/>
          <w:sz w:val="26"/>
          <w:szCs w:val="26"/>
        </w:rPr>
        <w:tab/>
      </w:r>
      <w:r w:rsidRPr="00F95196">
        <w:rPr>
          <w:rFonts w:ascii="Calibri" w:hAnsi="Calibri" w:cs="Calibri"/>
          <w:sz w:val="26"/>
          <w:szCs w:val="26"/>
        </w:rPr>
        <w:tab/>
        <w:t xml:space="preserve">                            </w:t>
      </w:r>
      <w:r w:rsidRPr="00F95196">
        <w:rPr>
          <w:rFonts w:ascii="Calibri" w:hAnsi="Calibri" w:cs="Calibri"/>
          <w:sz w:val="26"/>
          <w:szCs w:val="26"/>
        </w:rPr>
        <w:tab/>
      </w:r>
      <w:r w:rsidRPr="00F95196">
        <w:rPr>
          <w:rFonts w:ascii="Calibri" w:hAnsi="Calibri" w:cs="Calibri"/>
          <w:sz w:val="26"/>
          <w:szCs w:val="26"/>
        </w:rPr>
        <w:tab/>
      </w:r>
      <w:r w:rsidRPr="00F95196">
        <w:rPr>
          <w:rFonts w:ascii="Calibri" w:hAnsi="Calibri" w:cs="Calibri"/>
          <w:sz w:val="26"/>
          <w:szCs w:val="26"/>
        </w:rPr>
        <w:tab/>
      </w:r>
      <w:r w:rsidRPr="00F95196">
        <w:rPr>
          <w:rFonts w:ascii="Calibri" w:hAnsi="Calibri" w:cs="Calibri"/>
          <w:sz w:val="26"/>
          <w:szCs w:val="26"/>
        </w:rPr>
        <w:tab/>
      </w:r>
      <w:r w:rsidRPr="00F95196">
        <w:rPr>
          <w:rFonts w:ascii="Calibri" w:hAnsi="Calibri" w:cs="Calibri"/>
          <w:sz w:val="26"/>
          <w:szCs w:val="26"/>
        </w:rPr>
        <w:tab/>
      </w:r>
      <w:r w:rsidRPr="00F95196">
        <w:rPr>
          <w:rFonts w:ascii="Calibri" w:hAnsi="Calibri" w:cs="Calibri"/>
          <w:sz w:val="26"/>
          <w:szCs w:val="26"/>
        </w:rPr>
        <w:tab/>
      </w:r>
      <w:r w:rsidRPr="00F95196">
        <w:rPr>
          <w:rFonts w:ascii="Calibri" w:hAnsi="Calibri" w:cs="Calibri"/>
          <w:sz w:val="26"/>
          <w:szCs w:val="26"/>
        </w:rPr>
        <w:tab/>
      </w:r>
      <w:r w:rsidRPr="00F95196">
        <w:rPr>
          <w:rFonts w:ascii="Calibri" w:hAnsi="Calibri" w:cs="Calibri"/>
          <w:sz w:val="26"/>
          <w:szCs w:val="26"/>
        </w:rPr>
        <w:tab/>
      </w:r>
    </w:p>
    <w:p w14:paraId="6E215ECD" w14:textId="77777777" w:rsidR="00F95196" w:rsidRPr="005B041F" w:rsidRDefault="00F95196" w:rsidP="009E3AD8">
      <w:pPr>
        <w:spacing w:line="276" w:lineRule="auto"/>
        <w:ind w:left="8496" w:firstLine="708"/>
        <w:rPr>
          <w:rFonts w:ascii="Calibri" w:hAnsi="Calibri" w:cs="Calibri"/>
          <w:noProof/>
          <w:sz w:val="26"/>
          <w:szCs w:val="26"/>
        </w:rPr>
      </w:pPr>
      <w:r w:rsidRPr="005B041F">
        <w:rPr>
          <w:rFonts w:ascii="Calibri" w:hAnsi="Calibri" w:cs="Calibri"/>
          <w:b/>
          <w:sz w:val="26"/>
          <w:szCs w:val="26"/>
        </w:rPr>
        <w:t>mii lei</w:t>
      </w:r>
      <w:r w:rsidRPr="005B041F">
        <w:rPr>
          <w:rFonts w:ascii="Calibri" w:hAnsi="Calibri" w:cs="Calibri"/>
          <w:noProof/>
          <w:sz w:val="26"/>
          <w:szCs w:val="26"/>
        </w:rPr>
        <w:t xml:space="preserve">  </w:t>
      </w:r>
    </w:p>
    <w:tbl>
      <w:tblPr>
        <w:tblW w:w="10060" w:type="dxa"/>
        <w:tblLook w:val="04A0" w:firstRow="1" w:lastRow="0" w:firstColumn="1" w:lastColumn="0" w:noHBand="0" w:noVBand="1"/>
      </w:tblPr>
      <w:tblGrid>
        <w:gridCol w:w="663"/>
        <w:gridCol w:w="683"/>
        <w:gridCol w:w="1140"/>
        <w:gridCol w:w="1060"/>
        <w:gridCol w:w="1060"/>
        <w:gridCol w:w="1102"/>
        <w:gridCol w:w="1071"/>
        <w:gridCol w:w="1360"/>
        <w:gridCol w:w="950"/>
        <w:gridCol w:w="971"/>
      </w:tblGrid>
      <w:tr w:rsidR="00F95196" w:rsidRPr="00F95196" w14:paraId="35C9F601" w14:textId="77777777" w:rsidTr="00AA27EF">
        <w:trPr>
          <w:trHeight w:val="1620"/>
        </w:trPr>
        <w:tc>
          <w:tcPr>
            <w:tcW w:w="663"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113EDD7B" w14:textId="77777777" w:rsidR="00F95196" w:rsidRPr="00F95196" w:rsidRDefault="00F95196" w:rsidP="009E3AD8">
            <w:pPr>
              <w:spacing w:line="276" w:lineRule="auto"/>
              <w:jc w:val="center"/>
              <w:rPr>
                <w:rFonts w:ascii="Calibri Light" w:hAnsi="Calibri Light" w:cs="Calibri Light"/>
                <w:color w:val="000000"/>
                <w:sz w:val="22"/>
                <w:szCs w:val="22"/>
                <w:lang w:val="en-US"/>
              </w:rPr>
            </w:pPr>
            <w:r w:rsidRPr="00F95196">
              <w:rPr>
                <w:rFonts w:ascii="Calibri Light" w:hAnsi="Calibri Light" w:cs="Calibri Light"/>
                <w:color w:val="000000"/>
                <w:sz w:val="22"/>
                <w:szCs w:val="22"/>
              </w:rPr>
              <w:t>An</w:t>
            </w:r>
          </w:p>
        </w:tc>
        <w:tc>
          <w:tcPr>
            <w:tcW w:w="683" w:type="dxa"/>
            <w:tcBorders>
              <w:top w:val="single" w:sz="8" w:space="0" w:color="auto"/>
              <w:left w:val="nil"/>
              <w:bottom w:val="single" w:sz="4" w:space="0" w:color="auto"/>
              <w:right w:val="single" w:sz="4" w:space="0" w:color="auto"/>
            </w:tcBorders>
            <w:shd w:val="clear" w:color="000000" w:fill="D9D9D9"/>
            <w:vAlign w:val="center"/>
            <w:hideMark/>
          </w:tcPr>
          <w:p w14:paraId="33C366AA" w14:textId="77777777" w:rsidR="00F95196" w:rsidRPr="00F95196" w:rsidRDefault="00F95196" w:rsidP="009E3AD8">
            <w:pPr>
              <w:spacing w:line="276" w:lineRule="auto"/>
              <w:jc w:val="center"/>
              <w:rPr>
                <w:rFonts w:ascii="Calibri Light" w:hAnsi="Calibri Light" w:cs="Calibri Light"/>
                <w:color w:val="000000"/>
                <w:sz w:val="20"/>
                <w:lang w:val="en-US"/>
              </w:rPr>
            </w:pPr>
            <w:r w:rsidRPr="00F95196">
              <w:rPr>
                <w:rFonts w:ascii="Calibri Light" w:hAnsi="Calibri Light" w:cs="Calibri Light"/>
                <w:color w:val="000000"/>
                <w:sz w:val="20"/>
              </w:rPr>
              <w:t>Tip</w:t>
            </w:r>
            <w:r w:rsidRPr="00F95196">
              <w:rPr>
                <w:rFonts w:ascii="Calibri Light" w:hAnsi="Calibri Light" w:cs="Calibri Light"/>
                <w:color w:val="000000"/>
                <w:sz w:val="20"/>
              </w:rPr>
              <w:br/>
              <w:t>credit</w:t>
            </w:r>
          </w:p>
        </w:tc>
        <w:tc>
          <w:tcPr>
            <w:tcW w:w="1140" w:type="dxa"/>
            <w:tcBorders>
              <w:top w:val="single" w:sz="8" w:space="0" w:color="auto"/>
              <w:left w:val="nil"/>
              <w:bottom w:val="single" w:sz="4" w:space="0" w:color="auto"/>
              <w:right w:val="single" w:sz="4" w:space="0" w:color="auto"/>
            </w:tcBorders>
            <w:shd w:val="clear" w:color="000000" w:fill="D9D9D9"/>
            <w:vAlign w:val="center"/>
            <w:hideMark/>
          </w:tcPr>
          <w:p w14:paraId="6A465D53" w14:textId="77777777" w:rsidR="00F95196" w:rsidRPr="00F95196" w:rsidRDefault="00F95196" w:rsidP="009E3AD8">
            <w:pPr>
              <w:spacing w:line="276" w:lineRule="auto"/>
              <w:jc w:val="center"/>
              <w:rPr>
                <w:rFonts w:ascii="Calibri Light" w:hAnsi="Calibri Light" w:cs="Calibri Light"/>
                <w:color w:val="000000"/>
                <w:sz w:val="20"/>
                <w:lang w:val="en-US"/>
              </w:rPr>
            </w:pPr>
            <w:r w:rsidRPr="00F95196">
              <w:rPr>
                <w:rFonts w:ascii="Calibri Light" w:hAnsi="Calibri Light" w:cs="Calibri Light"/>
                <w:color w:val="000000"/>
                <w:sz w:val="20"/>
              </w:rPr>
              <w:t>Total</w:t>
            </w:r>
          </w:p>
        </w:tc>
        <w:tc>
          <w:tcPr>
            <w:tcW w:w="1060" w:type="dxa"/>
            <w:tcBorders>
              <w:top w:val="single" w:sz="8" w:space="0" w:color="auto"/>
              <w:left w:val="nil"/>
              <w:bottom w:val="single" w:sz="4" w:space="0" w:color="auto"/>
              <w:right w:val="single" w:sz="4" w:space="0" w:color="auto"/>
            </w:tcBorders>
            <w:shd w:val="clear" w:color="000000" w:fill="D9D9D9"/>
            <w:vAlign w:val="center"/>
            <w:hideMark/>
          </w:tcPr>
          <w:p w14:paraId="287723A1" w14:textId="77777777" w:rsidR="00F95196" w:rsidRPr="00F95196" w:rsidRDefault="00F95196" w:rsidP="009E3AD8">
            <w:pPr>
              <w:spacing w:line="276" w:lineRule="auto"/>
              <w:jc w:val="center"/>
              <w:rPr>
                <w:rFonts w:ascii="Calibri Light" w:hAnsi="Calibri Light" w:cs="Calibri Light"/>
                <w:color w:val="000000"/>
                <w:sz w:val="20"/>
                <w:lang w:val="en-US"/>
              </w:rPr>
            </w:pPr>
            <w:r w:rsidRPr="00F95196">
              <w:rPr>
                <w:rFonts w:ascii="Calibri Light" w:hAnsi="Calibri Light" w:cs="Calibri Light"/>
                <w:color w:val="000000"/>
                <w:sz w:val="20"/>
              </w:rPr>
              <w:t>Cheltuieli de personal</w:t>
            </w:r>
          </w:p>
        </w:tc>
        <w:tc>
          <w:tcPr>
            <w:tcW w:w="1060" w:type="dxa"/>
            <w:tcBorders>
              <w:top w:val="single" w:sz="8" w:space="0" w:color="auto"/>
              <w:left w:val="nil"/>
              <w:bottom w:val="single" w:sz="4" w:space="0" w:color="auto"/>
              <w:right w:val="single" w:sz="4" w:space="0" w:color="auto"/>
            </w:tcBorders>
            <w:shd w:val="clear" w:color="000000" w:fill="D9D9D9"/>
            <w:vAlign w:val="center"/>
            <w:hideMark/>
          </w:tcPr>
          <w:p w14:paraId="7D9E8F3B" w14:textId="77777777" w:rsidR="00F95196" w:rsidRPr="00F95196" w:rsidRDefault="00F95196" w:rsidP="009E3AD8">
            <w:pPr>
              <w:spacing w:line="276" w:lineRule="auto"/>
              <w:jc w:val="center"/>
              <w:rPr>
                <w:rFonts w:ascii="Calibri Light" w:hAnsi="Calibri Light" w:cs="Calibri Light"/>
                <w:color w:val="000000"/>
                <w:sz w:val="20"/>
                <w:lang w:val="en-US"/>
              </w:rPr>
            </w:pPr>
            <w:r w:rsidRPr="00F95196">
              <w:rPr>
                <w:rFonts w:ascii="Calibri Light" w:hAnsi="Calibri Light" w:cs="Calibri Light"/>
                <w:color w:val="000000"/>
                <w:sz w:val="20"/>
              </w:rPr>
              <w:t>Bunuri și servicii</w:t>
            </w:r>
          </w:p>
        </w:tc>
        <w:tc>
          <w:tcPr>
            <w:tcW w:w="1102" w:type="dxa"/>
            <w:tcBorders>
              <w:top w:val="single" w:sz="8" w:space="0" w:color="auto"/>
              <w:left w:val="nil"/>
              <w:bottom w:val="single" w:sz="4" w:space="0" w:color="auto"/>
              <w:right w:val="single" w:sz="4" w:space="0" w:color="auto"/>
            </w:tcBorders>
            <w:shd w:val="clear" w:color="000000" w:fill="D9D9D9"/>
            <w:vAlign w:val="center"/>
            <w:hideMark/>
          </w:tcPr>
          <w:p w14:paraId="46E9D008" w14:textId="77777777" w:rsidR="00F95196" w:rsidRPr="00F95196" w:rsidRDefault="00F95196" w:rsidP="009E3AD8">
            <w:pPr>
              <w:spacing w:line="276" w:lineRule="auto"/>
              <w:jc w:val="center"/>
              <w:rPr>
                <w:rFonts w:ascii="Calibri Light" w:hAnsi="Calibri Light" w:cs="Calibri Light"/>
                <w:color w:val="000000"/>
                <w:sz w:val="20"/>
                <w:lang w:val="en-US"/>
              </w:rPr>
            </w:pPr>
            <w:r w:rsidRPr="00F95196">
              <w:rPr>
                <w:rFonts w:ascii="Calibri Light" w:hAnsi="Calibri Light" w:cs="Calibri Light"/>
                <w:color w:val="000000"/>
                <w:sz w:val="20"/>
              </w:rPr>
              <w:t>Transferuri</w:t>
            </w:r>
          </w:p>
        </w:tc>
        <w:tc>
          <w:tcPr>
            <w:tcW w:w="1071" w:type="dxa"/>
            <w:tcBorders>
              <w:top w:val="single" w:sz="8" w:space="0" w:color="auto"/>
              <w:left w:val="nil"/>
              <w:bottom w:val="single" w:sz="4" w:space="0" w:color="auto"/>
              <w:right w:val="single" w:sz="4" w:space="0" w:color="auto"/>
            </w:tcBorders>
            <w:shd w:val="clear" w:color="000000" w:fill="D9D9D9"/>
            <w:vAlign w:val="center"/>
            <w:hideMark/>
          </w:tcPr>
          <w:p w14:paraId="12DE97A7" w14:textId="77777777" w:rsidR="00F95196" w:rsidRPr="00F95196" w:rsidRDefault="00F95196" w:rsidP="009E3AD8">
            <w:pPr>
              <w:spacing w:line="276" w:lineRule="auto"/>
              <w:jc w:val="center"/>
              <w:rPr>
                <w:rFonts w:ascii="Calibri Light" w:hAnsi="Calibri Light" w:cs="Calibri Light"/>
                <w:color w:val="000000"/>
                <w:sz w:val="20"/>
                <w:lang w:val="en-US"/>
              </w:rPr>
            </w:pPr>
            <w:r w:rsidRPr="00F95196">
              <w:rPr>
                <w:rFonts w:ascii="Calibri Light" w:hAnsi="Calibri Light" w:cs="Calibri Light"/>
                <w:color w:val="000000"/>
                <w:sz w:val="20"/>
              </w:rPr>
              <w:t>Alte transferuri</w:t>
            </w:r>
          </w:p>
        </w:tc>
        <w:tc>
          <w:tcPr>
            <w:tcW w:w="1360" w:type="dxa"/>
            <w:tcBorders>
              <w:top w:val="single" w:sz="8" w:space="0" w:color="auto"/>
              <w:left w:val="nil"/>
              <w:bottom w:val="single" w:sz="4" w:space="0" w:color="auto"/>
              <w:right w:val="single" w:sz="4" w:space="0" w:color="auto"/>
            </w:tcBorders>
            <w:shd w:val="clear" w:color="000000" w:fill="D9D9D9"/>
            <w:vAlign w:val="center"/>
            <w:hideMark/>
          </w:tcPr>
          <w:p w14:paraId="006CA5DB" w14:textId="77777777" w:rsidR="00F95196" w:rsidRPr="00A35EF2" w:rsidRDefault="00F95196" w:rsidP="009E3AD8">
            <w:pPr>
              <w:spacing w:line="276" w:lineRule="auto"/>
              <w:jc w:val="center"/>
              <w:rPr>
                <w:rFonts w:ascii="Calibri Light" w:hAnsi="Calibri Light" w:cs="Calibri Light"/>
                <w:color w:val="000000"/>
                <w:sz w:val="20"/>
                <w:lang w:val="fr-FR"/>
              </w:rPr>
            </w:pPr>
            <w:r w:rsidRPr="00F95196">
              <w:rPr>
                <w:rFonts w:ascii="Calibri Light" w:hAnsi="Calibri Light" w:cs="Calibri Light"/>
                <w:color w:val="000000"/>
                <w:sz w:val="20"/>
              </w:rPr>
              <w:t>Proiecte cu finanțare din FEN postaderare</w:t>
            </w:r>
          </w:p>
        </w:tc>
        <w:tc>
          <w:tcPr>
            <w:tcW w:w="950" w:type="dxa"/>
            <w:tcBorders>
              <w:top w:val="single" w:sz="8" w:space="0" w:color="auto"/>
              <w:left w:val="nil"/>
              <w:bottom w:val="single" w:sz="4" w:space="0" w:color="auto"/>
              <w:right w:val="single" w:sz="4" w:space="0" w:color="auto"/>
            </w:tcBorders>
            <w:shd w:val="clear" w:color="000000" w:fill="D9D9D9"/>
            <w:vAlign w:val="center"/>
            <w:hideMark/>
          </w:tcPr>
          <w:p w14:paraId="63238146" w14:textId="77777777" w:rsidR="00F95196" w:rsidRPr="00A35EF2" w:rsidRDefault="00F95196" w:rsidP="009E3AD8">
            <w:pPr>
              <w:spacing w:line="276" w:lineRule="auto"/>
              <w:jc w:val="center"/>
              <w:rPr>
                <w:rFonts w:ascii="Calibri Light" w:hAnsi="Calibri Light" w:cs="Calibri Light"/>
                <w:color w:val="000000"/>
                <w:sz w:val="20"/>
                <w:lang w:val="fr-FR"/>
              </w:rPr>
            </w:pPr>
            <w:r w:rsidRPr="00F95196">
              <w:rPr>
                <w:rFonts w:ascii="Calibri Light" w:hAnsi="Calibri Light" w:cs="Calibri Light"/>
                <w:color w:val="000000"/>
                <w:sz w:val="20"/>
              </w:rPr>
              <w:t>Proiecte cu finanțare din FEN aferente</w:t>
            </w:r>
            <w:r w:rsidRPr="00F95196">
              <w:rPr>
                <w:rFonts w:ascii="Calibri Light" w:hAnsi="Calibri Light" w:cs="Calibri Light"/>
                <w:color w:val="000000"/>
                <w:sz w:val="20"/>
              </w:rPr>
              <w:br/>
              <w:t xml:space="preserve"> cadrului financiar 2014-2020</w:t>
            </w:r>
          </w:p>
        </w:tc>
        <w:tc>
          <w:tcPr>
            <w:tcW w:w="971" w:type="dxa"/>
            <w:tcBorders>
              <w:top w:val="single" w:sz="8" w:space="0" w:color="auto"/>
              <w:left w:val="nil"/>
              <w:bottom w:val="single" w:sz="4" w:space="0" w:color="auto"/>
              <w:right w:val="single" w:sz="4" w:space="0" w:color="auto"/>
            </w:tcBorders>
            <w:shd w:val="clear" w:color="000000" w:fill="D9D9D9"/>
            <w:vAlign w:val="center"/>
            <w:hideMark/>
          </w:tcPr>
          <w:p w14:paraId="6423358B" w14:textId="77777777" w:rsidR="00F95196" w:rsidRPr="00F95196" w:rsidRDefault="00F95196" w:rsidP="009E3AD8">
            <w:pPr>
              <w:spacing w:line="276" w:lineRule="auto"/>
              <w:jc w:val="center"/>
              <w:rPr>
                <w:rFonts w:ascii="Calibri Light" w:hAnsi="Calibri Light" w:cs="Calibri Light"/>
                <w:color w:val="000000"/>
                <w:sz w:val="20"/>
                <w:lang w:val="en-US"/>
              </w:rPr>
            </w:pPr>
            <w:r w:rsidRPr="00F95196">
              <w:rPr>
                <w:rFonts w:ascii="Calibri Light" w:hAnsi="Calibri Light" w:cs="Calibri Light"/>
                <w:color w:val="000000"/>
                <w:sz w:val="20"/>
              </w:rPr>
              <w:t>Alte cheltuieli</w:t>
            </w:r>
          </w:p>
        </w:tc>
      </w:tr>
      <w:tr w:rsidR="00F95196" w:rsidRPr="00F95196" w14:paraId="1A4BF205" w14:textId="77777777" w:rsidTr="00AA27EF">
        <w:trPr>
          <w:trHeight w:val="300"/>
        </w:trPr>
        <w:tc>
          <w:tcPr>
            <w:tcW w:w="663" w:type="dxa"/>
            <w:tcBorders>
              <w:top w:val="nil"/>
              <w:left w:val="single" w:sz="8" w:space="0" w:color="auto"/>
              <w:bottom w:val="single" w:sz="4" w:space="0" w:color="auto"/>
              <w:right w:val="single" w:sz="4" w:space="0" w:color="auto"/>
            </w:tcBorders>
            <w:noWrap/>
            <w:vAlign w:val="bottom"/>
            <w:hideMark/>
          </w:tcPr>
          <w:p w14:paraId="1FEF5C68"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2024</w:t>
            </w:r>
          </w:p>
        </w:tc>
        <w:tc>
          <w:tcPr>
            <w:tcW w:w="683" w:type="dxa"/>
            <w:tcBorders>
              <w:top w:val="nil"/>
              <w:left w:val="nil"/>
              <w:bottom w:val="single" w:sz="4" w:space="0" w:color="auto"/>
              <w:right w:val="single" w:sz="4" w:space="0" w:color="auto"/>
            </w:tcBorders>
            <w:noWrap/>
            <w:vAlign w:val="bottom"/>
            <w:hideMark/>
          </w:tcPr>
          <w:p w14:paraId="3CB8C5AB" w14:textId="77777777" w:rsidR="00F95196" w:rsidRPr="00F95196" w:rsidRDefault="00F95196" w:rsidP="009E3AD8">
            <w:pPr>
              <w:spacing w:line="276" w:lineRule="auto"/>
              <w:rPr>
                <w:rFonts w:ascii="Calibri Light" w:hAnsi="Calibri Light" w:cs="Calibri Light"/>
                <w:color w:val="000000"/>
                <w:sz w:val="22"/>
                <w:szCs w:val="22"/>
                <w:lang w:val="en-US"/>
              </w:rPr>
            </w:pPr>
            <w:r w:rsidRPr="00F95196">
              <w:rPr>
                <w:rFonts w:ascii="Calibri Light" w:hAnsi="Calibri Light" w:cs="Calibri Light"/>
                <w:color w:val="000000"/>
                <w:sz w:val="22"/>
                <w:szCs w:val="22"/>
              </w:rPr>
              <w:t>CA</w:t>
            </w:r>
          </w:p>
        </w:tc>
        <w:tc>
          <w:tcPr>
            <w:tcW w:w="1140" w:type="dxa"/>
            <w:tcBorders>
              <w:top w:val="nil"/>
              <w:left w:val="nil"/>
              <w:bottom w:val="single" w:sz="4" w:space="0" w:color="auto"/>
              <w:right w:val="single" w:sz="4" w:space="0" w:color="auto"/>
            </w:tcBorders>
            <w:noWrap/>
            <w:vAlign w:val="bottom"/>
            <w:hideMark/>
          </w:tcPr>
          <w:p w14:paraId="1783FA54"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102 809</w:t>
            </w:r>
          </w:p>
        </w:tc>
        <w:tc>
          <w:tcPr>
            <w:tcW w:w="1060" w:type="dxa"/>
            <w:tcBorders>
              <w:top w:val="nil"/>
              <w:left w:val="nil"/>
              <w:bottom w:val="single" w:sz="4" w:space="0" w:color="auto"/>
              <w:right w:val="single" w:sz="4" w:space="0" w:color="auto"/>
            </w:tcBorders>
            <w:noWrap/>
            <w:vAlign w:val="bottom"/>
            <w:hideMark/>
          </w:tcPr>
          <w:p w14:paraId="3D272DC0"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44 583</w:t>
            </w:r>
          </w:p>
        </w:tc>
        <w:tc>
          <w:tcPr>
            <w:tcW w:w="1060" w:type="dxa"/>
            <w:tcBorders>
              <w:top w:val="nil"/>
              <w:left w:val="nil"/>
              <w:bottom w:val="single" w:sz="4" w:space="0" w:color="auto"/>
              <w:right w:val="single" w:sz="4" w:space="0" w:color="auto"/>
            </w:tcBorders>
            <w:noWrap/>
            <w:vAlign w:val="bottom"/>
            <w:hideMark/>
          </w:tcPr>
          <w:p w14:paraId="2312F24C"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6 166</w:t>
            </w:r>
          </w:p>
        </w:tc>
        <w:tc>
          <w:tcPr>
            <w:tcW w:w="1102" w:type="dxa"/>
            <w:tcBorders>
              <w:top w:val="nil"/>
              <w:left w:val="nil"/>
              <w:bottom w:val="single" w:sz="4" w:space="0" w:color="auto"/>
              <w:right w:val="single" w:sz="4" w:space="0" w:color="auto"/>
            </w:tcBorders>
            <w:noWrap/>
            <w:vAlign w:val="bottom"/>
            <w:hideMark/>
          </w:tcPr>
          <w:p w14:paraId="28E61564"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16</w:t>
            </w:r>
          </w:p>
        </w:tc>
        <w:tc>
          <w:tcPr>
            <w:tcW w:w="1071" w:type="dxa"/>
            <w:tcBorders>
              <w:top w:val="nil"/>
              <w:left w:val="nil"/>
              <w:bottom w:val="single" w:sz="4" w:space="0" w:color="auto"/>
              <w:right w:val="single" w:sz="4" w:space="0" w:color="auto"/>
            </w:tcBorders>
            <w:noWrap/>
            <w:vAlign w:val="bottom"/>
            <w:hideMark/>
          </w:tcPr>
          <w:p w14:paraId="1DCF779E"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26</w:t>
            </w:r>
          </w:p>
        </w:tc>
        <w:tc>
          <w:tcPr>
            <w:tcW w:w="1360" w:type="dxa"/>
            <w:tcBorders>
              <w:top w:val="nil"/>
              <w:left w:val="nil"/>
              <w:bottom w:val="single" w:sz="4" w:space="0" w:color="auto"/>
              <w:right w:val="single" w:sz="4" w:space="0" w:color="auto"/>
            </w:tcBorders>
            <w:noWrap/>
            <w:vAlign w:val="bottom"/>
            <w:hideMark/>
          </w:tcPr>
          <w:p w14:paraId="3B2CBD85"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0</w:t>
            </w:r>
          </w:p>
        </w:tc>
        <w:tc>
          <w:tcPr>
            <w:tcW w:w="950" w:type="dxa"/>
            <w:tcBorders>
              <w:top w:val="nil"/>
              <w:left w:val="nil"/>
              <w:bottom w:val="single" w:sz="4" w:space="0" w:color="auto"/>
              <w:right w:val="single" w:sz="4" w:space="0" w:color="auto"/>
            </w:tcBorders>
            <w:noWrap/>
            <w:vAlign w:val="bottom"/>
            <w:hideMark/>
          </w:tcPr>
          <w:p w14:paraId="3E6F57FB"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465</w:t>
            </w:r>
          </w:p>
        </w:tc>
        <w:tc>
          <w:tcPr>
            <w:tcW w:w="971" w:type="dxa"/>
            <w:tcBorders>
              <w:top w:val="nil"/>
              <w:left w:val="nil"/>
              <w:bottom w:val="single" w:sz="4" w:space="0" w:color="auto"/>
              <w:right w:val="single" w:sz="4" w:space="0" w:color="auto"/>
            </w:tcBorders>
            <w:noWrap/>
            <w:vAlign w:val="bottom"/>
            <w:hideMark/>
          </w:tcPr>
          <w:p w14:paraId="508F08A8"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51 526</w:t>
            </w:r>
          </w:p>
        </w:tc>
      </w:tr>
      <w:tr w:rsidR="00F95196" w:rsidRPr="00F95196" w14:paraId="2CB26081" w14:textId="77777777" w:rsidTr="00AA27EF">
        <w:trPr>
          <w:trHeight w:val="300"/>
        </w:trPr>
        <w:tc>
          <w:tcPr>
            <w:tcW w:w="663" w:type="dxa"/>
            <w:tcBorders>
              <w:top w:val="nil"/>
              <w:left w:val="single" w:sz="8" w:space="0" w:color="auto"/>
              <w:bottom w:val="single" w:sz="4" w:space="0" w:color="auto"/>
              <w:right w:val="single" w:sz="4" w:space="0" w:color="auto"/>
            </w:tcBorders>
            <w:noWrap/>
            <w:vAlign w:val="bottom"/>
            <w:hideMark/>
          </w:tcPr>
          <w:p w14:paraId="6E906D40"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2024</w:t>
            </w:r>
          </w:p>
        </w:tc>
        <w:tc>
          <w:tcPr>
            <w:tcW w:w="683" w:type="dxa"/>
            <w:tcBorders>
              <w:top w:val="nil"/>
              <w:left w:val="nil"/>
              <w:bottom w:val="single" w:sz="4" w:space="0" w:color="auto"/>
              <w:right w:val="single" w:sz="4" w:space="0" w:color="auto"/>
            </w:tcBorders>
            <w:noWrap/>
            <w:vAlign w:val="bottom"/>
            <w:hideMark/>
          </w:tcPr>
          <w:p w14:paraId="35BC1C5F" w14:textId="77777777" w:rsidR="00F95196" w:rsidRPr="00F95196" w:rsidRDefault="00F95196" w:rsidP="009E3AD8">
            <w:pPr>
              <w:spacing w:line="276" w:lineRule="auto"/>
              <w:rPr>
                <w:rFonts w:ascii="Calibri Light" w:hAnsi="Calibri Light" w:cs="Calibri Light"/>
                <w:color w:val="000000"/>
                <w:sz w:val="22"/>
                <w:szCs w:val="22"/>
                <w:lang w:val="en-US"/>
              </w:rPr>
            </w:pPr>
            <w:r w:rsidRPr="00F95196">
              <w:rPr>
                <w:rFonts w:ascii="Calibri Light" w:hAnsi="Calibri Light" w:cs="Calibri Light"/>
                <w:color w:val="000000"/>
                <w:sz w:val="22"/>
                <w:szCs w:val="22"/>
              </w:rPr>
              <w:t>CB</w:t>
            </w:r>
          </w:p>
        </w:tc>
        <w:tc>
          <w:tcPr>
            <w:tcW w:w="1140" w:type="dxa"/>
            <w:tcBorders>
              <w:top w:val="nil"/>
              <w:left w:val="nil"/>
              <w:bottom w:val="single" w:sz="4" w:space="0" w:color="auto"/>
              <w:right w:val="single" w:sz="4" w:space="0" w:color="auto"/>
            </w:tcBorders>
            <w:noWrap/>
            <w:vAlign w:val="bottom"/>
            <w:hideMark/>
          </w:tcPr>
          <w:p w14:paraId="0C99468D"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102 043</w:t>
            </w:r>
          </w:p>
        </w:tc>
        <w:tc>
          <w:tcPr>
            <w:tcW w:w="1060" w:type="dxa"/>
            <w:tcBorders>
              <w:top w:val="nil"/>
              <w:left w:val="nil"/>
              <w:bottom w:val="single" w:sz="4" w:space="0" w:color="auto"/>
              <w:right w:val="single" w:sz="4" w:space="0" w:color="auto"/>
            </w:tcBorders>
            <w:noWrap/>
            <w:vAlign w:val="bottom"/>
            <w:hideMark/>
          </w:tcPr>
          <w:p w14:paraId="6F34411F"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44 583</w:t>
            </w:r>
          </w:p>
        </w:tc>
        <w:tc>
          <w:tcPr>
            <w:tcW w:w="1060" w:type="dxa"/>
            <w:tcBorders>
              <w:top w:val="nil"/>
              <w:left w:val="nil"/>
              <w:bottom w:val="single" w:sz="4" w:space="0" w:color="auto"/>
              <w:right w:val="single" w:sz="4" w:space="0" w:color="auto"/>
            </w:tcBorders>
            <w:noWrap/>
            <w:vAlign w:val="bottom"/>
            <w:hideMark/>
          </w:tcPr>
          <w:p w14:paraId="42B3416A"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5 400</w:t>
            </w:r>
          </w:p>
        </w:tc>
        <w:tc>
          <w:tcPr>
            <w:tcW w:w="1102" w:type="dxa"/>
            <w:tcBorders>
              <w:top w:val="nil"/>
              <w:left w:val="nil"/>
              <w:bottom w:val="single" w:sz="4" w:space="0" w:color="auto"/>
              <w:right w:val="single" w:sz="4" w:space="0" w:color="auto"/>
            </w:tcBorders>
            <w:noWrap/>
            <w:vAlign w:val="bottom"/>
            <w:hideMark/>
          </w:tcPr>
          <w:p w14:paraId="71E162C9"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16</w:t>
            </w:r>
          </w:p>
        </w:tc>
        <w:tc>
          <w:tcPr>
            <w:tcW w:w="1071" w:type="dxa"/>
            <w:tcBorders>
              <w:top w:val="nil"/>
              <w:left w:val="nil"/>
              <w:bottom w:val="single" w:sz="4" w:space="0" w:color="auto"/>
              <w:right w:val="single" w:sz="4" w:space="0" w:color="auto"/>
            </w:tcBorders>
            <w:noWrap/>
            <w:vAlign w:val="bottom"/>
            <w:hideMark/>
          </w:tcPr>
          <w:p w14:paraId="6E97ACB5"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26</w:t>
            </w:r>
          </w:p>
        </w:tc>
        <w:tc>
          <w:tcPr>
            <w:tcW w:w="1360" w:type="dxa"/>
            <w:tcBorders>
              <w:top w:val="nil"/>
              <w:left w:val="nil"/>
              <w:bottom w:val="single" w:sz="4" w:space="0" w:color="auto"/>
              <w:right w:val="single" w:sz="4" w:space="0" w:color="auto"/>
            </w:tcBorders>
            <w:noWrap/>
            <w:vAlign w:val="bottom"/>
            <w:hideMark/>
          </w:tcPr>
          <w:p w14:paraId="4BC986FA"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0</w:t>
            </w:r>
          </w:p>
        </w:tc>
        <w:tc>
          <w:tcPr>
            <w:tcW w:w="950" w:type="dxa"/>
            <w:tcBorders>
              <w:top w:val="nil"/>
              <w:left w:val="nil"/>
              <w:bottom w:val="single" w:sz="4" w:space="0" w:color="auto"/>
              <w:right w:val="single" w:sz="4" w:space="0" w:color="auto"/>
            </w:tcBorders>
            <w:noWrap/>
            <w:vAlign w:val="bottom"/>
            <w:hideMark/>
          </w:tcPr>
          <w:p w14:paraId="0D4BFBF7"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465</w:t>
            </w:r>
          </w:p>
        </w:tc>
        <w:tc>
          <w:tcPr>
            <w:tcW w:w="971" w:type="dxa"/>
            <w:tcBorders>
              <w:top w:val="nil"/>
              <w:left w:val="nil"/>
              <w:bottom w:val="single" w:sz="4" w:space="0" w:color="auto"/>
              <w:right w:val="single" w:sz="4" w:space="0" w:color="auto"/>
            </w:tcBorders>
            <w:noWrap/>
            <w:vAlign w:val="bottom"/>
            <w:hideMark/>
          </w:tcPr>
          <w:p w14:paraId="370DEFB9"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51 526</w:t>
            </w:r>
          </w:p>
        </w:tc>
      </w:tr>
      <w:tr w:rsidR="00F95196" w:rsidRPr="00F95196" w14:paraId="776015C0" w14:textId="77777777" w:rsidTr="00AA27EF">
        <w:trPr>
          <w:trHeight w:val="300"/>
        </w:trPr>
        <w:tc>
          <w:tcPr>
            <w:tcW w:w="663" w:type="dxa"/>
            <w:tcBorders>
              <w:top w:val="nil"/>
              <w:left w:val="single" w:sz="8" w:space="0" w:color="auto"/>
              <w:bottom w:val="single" w:sz="4" w:space="0" w:color="auto"/>
              <w:right w:val="single" w:sz="4" w:space="0" w:color="auto"/>
            </w:tcBorders>
            <w:noWrap/>
            <w:vAlign w:val="bottom"/>
            <w:hideMark/>
          </w:tcPr>
          <w:p w14:paraId="522CF59A"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2025</w:t>
            </w:r>
          </w:p>
        </w:tc>
        <w:tc>
          <w:tcPr>
            <w:tcW w:w="683" w:type="dxa"/>
            <w:tcBorders>
              <w:top w:val="nil"/>
              <w:left w:val="nil"/>
              <w:bottom w:val="single" w:sz="4" w:space="0" w:color="auto"/>
              <w:right w:val="single" w:sz="4" w:space="0" w:color="auto"/>
            </w:tcBorders>
            <w:noWrap/>
            <w:vAlign w:val="bottom"/>
            <w:hideMark/>
          </w:tcPr>
          <w:p w14:paraId="21D6EC64" w14:textId="77777777" w:rsidR="00F95196" w:rsidRPr="00F95196" w:rsidRDefault="00F95196" w:rsidP="009E3AD8">
            <w:pPr>
              <w:spacing w:line="276" w:lineRule="auto"/>
              <w:rPr>
                <w:rFonts w:ascii="Calibri Light" w:hAnsi="Calibri Light" w:cs="Calibri Light"/>
                <w:color w:val="000000"/>
                <w:sz w:val="22"/>
                <w:szCs w:val="22"/>
                <w:lang w:val="en-US"/>
              </w:rPr>
            </w:pPr>
            <w:r w:rsidRPr="00F95196">
              <w:rPr>
                <w:rFonts w:ascii="Calibri Light" w:hAnsi="Calibri Light" w:cs="Calibri Light"/>
                <w:color w:val="000000"/>
                <w:sz w:val="22"/>
                <w:szCs w:val="22"/>
              </w:rPr>
              <w:t>CA</w:t>
            </w:r>
          </w:p>
        </w:tc>
        <w:tc>
          <w:tcPr>
            <w:tcW w:w="1140" w:type="dxa"/>
            <w:tcBorders>
              <w:top w:val="nil"/>
              <w:left w:val="nil"/>
              <w:bottom w:val="single" w:sz="4" w:space="0" w:color="auto"/>
              <w:right w:val="single" w:sz="4" w:space="0" w:color="auto"/>
            </w:tcBorders>
            <w:noWrap/>
            <w:vAlign w:val="bottom"/>
            <w:hideMark/>
          </w:tcPr>
          <w:p w14:paraId="4D376AD4"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95 821</w:t>
            </w:r>
          </w:p>
        </w:tc>
        <w:tc>
          <w:tcPr>
            <w:tcW w:w="1060" w:type="dxa"/>
            <w:tcBorders>
              <w:top w:val="nil"/>
              <w:left w:val="nil"/>
              <w:bottom w:val="single" w:sz="4" w:space="0" w:color="auto"/>
              <w:right w:val="single" w:sz="4" w:space="0" w:color="auto"/>
            </w:tcBorders>
            <w:noWrap/>
            <w:vAlign w:val="bottom"/>
            <w:hideMark/>
          </w:tcPr>
          <w:p w14:paraId="620A3130"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35 560</w:t>
            </w:r>
          </w:p>
        </w:tc>
        <w:tc>
          <w:tcPr>
            <w:tcW w:w="1060" w:type="dxa"/>
            <w:tcBorders>
              <w:top w:val="nil"/>
              <w:left w:val="nil"/>
              <w:bottom w:val="single" w:sz="4" w:space="0" w:color="auto"/>
              <w:right w:val="single" w:sz="4" w:space="0" w:color="auto"/>
            </w:tcBorders>
            <w:noWrap/>
            <w:vAlign w:val="bottom"/>
            <w:hideMark/>
          </w:tcPr>
          <w:p w14:paraId="3C0DE70A"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4 233</w:t>
            </w:r>
          </w:p>
        </w:tc>
        <w:tc>
          <w:tcPr>
            <w:tcW w:w="1102" w:type="dxa"/>
            <w:tcBorders>
              <w:top w:val="nil"/>
              <w:left w:val="nil"/>
              <w:bottom w:val="single" w:sz="4" w:space="0" w:color="auto"/>
              <w:right w:val="single" w:sz="4" w:space="0" w:color="auto"/>
            </w:tcBorders>
            <w:noWrap/>
            <w:vAlign w:val="bottom"/>
            <w:hideMark/>
          </w:tcPr>
          <w:p w14:paraId="7C6533FC"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3</w:t>
            </w:r>
          </w:p>
        </w:tc>
        <w:tc>
          <w:tcPr>
            <w:tcW w:w="1071" w:type="dxa"/>
            <w:tcBorders>
              <w:top w:val="nil"/>
              <w:left w:val="nil"/>
              <w:bottom w:val="single" w:sz="4" w:space="0" w:color="auto"/>
              <w:right w:val="single" w:sz="4" w:space="0" w:color="auto"/>
            </w:tcBorders>
            <w:noWrap/>
            <w:vAlign w:val="bottom"/>
            <w:hideMark/>
          </w:tcPr>
          <w:p w14:paraId="51884414"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80</w:t>
            </w:r>
          </w:p>
        </w:tc>
        <w:tc>
          <w:tcPr>
            <w:tcW w:w="1360" w:type="dxa"/>
            <w:tcBorders>
              <w:top w:val="nil"/>
              <w:left w:val="nil"/>
              <w:bottom w:val="single" w:sz="4" w:space="0" w:color="auto"/>
              <w:right w:val="single" w:sz="4" w:space="0" w:color="auto"/>
            </w:tcBorders>
            <w:noWrap/>
            <w:vAlign w:val="bottom"/>
            <w:hideMark/>
          </w:tcPr>
          <w:p w14:paraId="73A8A514"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4 178</w:t>
            </w:r>
          </w:p>
        </w:tc>
        <w:tc>
          <w:tcPr>
            <w:tcW w:w="950" w:type="dxa"/>
            <w:tcBorders>
              <w:top w:val="nil"/>
              <w:left w:val="nil"/>
              <w:bottom w:val="single" w:sz="4" w:space="0" w:color="auto"/>
              <w:right w:val="single" w:sz="4" w:space="0" w:color="auto"/>
            </w:tcBorders>
            <w:noWrap/>
            <w:vAlign w:val="bottom"/>
            <w:hideMark/>
          </w:tcPr>
          <w:p w14:paraId="27D1ED19"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0</w:t>
            </w:r>
          </w:p>
        </w:tc>
        <w:tc>
          <w:tcPr>
            <w:tcW w:w="971" w:type="dxa"/>
            <w:tcBorders>
              <w:top w:val="nil"/>
              <w:left w:val="nil"/>
              <w:bottom w:val="single" w:sz="4" w:space="0" w:color="auto"/>
              <w:right w:val="single" w:sz="4" w:space="0" w:color="auto"/>
            </w:tcBorders>
            <w:noWrap/>
            <w:vAlign w:val="bottom"/>
            <w:hideMark/>
          </w:tcPr>
          <w:p w14:paraId="3B81A33C"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51 645</w:t>
            </w:r>
          </w:p>
        </w:tc>
      </w:tr>
      <w:tr w:rsidR="00F95196" w:rsidRPr="00F95196" w14:paraId="33D602F2" w14:textId="77777777" w:rsidTr="00AA27EF">
        <w:trPr>
          <w:trHeight w:val="300"/>
        </w:trPr>
        <w:tc>
          <w:tcPr>
            <w:tcW w:w="663" w:type="dxa"/>
            <w:tcBorders>
              <w:top w:val="nil"/>
              <w:left w:val="single" w:sz="8" w:space="0" w:color="auto"/>
              <w:bottom w:val="single" w:sz="4" w:space="0" w:color="auto"/>
              <w:right w:val="single" w:sz="4" w:space="0" w:color="auto"/>
            </w:tcBorders>
            <w:noWrap/>
            <w:vAlign w:val="bottom"/>
            <w:hideMark/>
          </w:tcPr>
          <w:p w14:paraId="3C2F689A"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2025</w:t>
            </w:r>
          </w:p>
        </w:tc>
        <w:tc>
          <w:tcPr>
            <w:tcW w:w="683" w:type="dxa"/>
            <w:tcBorders>
              <w:top w:val="nil"/>
              <w:left w:val="nil"/>
              <w:bottom w:val="single" w:sz="4" w:space="0" w:color="auto"/>
              <w:right w:val="single" w:sz="4" w:space="0" w:color="auto"/>
            </w:tcBorders>
            <w:noWrap/>
            <w:vAlign w:val="bottom"/>
            <w:hideMark/>
          </w:tcPr>
          <w:p w14:paraId="01CCAD8C" w14:textId="77777777" w:rsidR="00F95196" w:rsidRPr="00F95196" w:rsidRDefault="00F95196" w:rsidP="009E3AD8">
            <w:pPr>
              <w:spacing w:line="276" w:lineRule="auto"/>
              <w:rPr>
                <w:rFonts w:ascii="Calibri Light" w:hAnsi="Calibri Light" w:cs="Calibri Light"/>
                <w:color w:val="000000"/>
                <w:sz w:val="22"/>
                <w:szCs w:val="22"/>
                <w:lang w:val="en-US"/>
              </w:rPr>
            </w:pPr>
            <w:r w:rsidRPr="00F95196">
              <w:rPr>
                <w:rFonts w:ascii="Calibri Light" w:hAnsi="Calibri Light" w:cs="Calibri Light"/>
                <w:color w:val="000000"/>
                <w:sz w:val="22"/>
                <w:szCs w:val="22"/>
              </w:rPr>
              <w:t>CB</w:t>
            </w:r>
          </w:p>
        </w:tc>
        <w:tc>
          <w:tcPr>
            <w:tcW w:w="1140" w:type="dxa"/>
            <w:tcBorders>
              <w:top w:val="nil"/>
              <w:left w:val="nil"/>
              <w:bottom w:val="single" w:sz="4" w:space="0" w:color="auto"/>
              <w:right w:val="single" w:sz="4" w:space="0" w:color="auto"/>
            </w:tcBorders>
            <w:noWrap/>
            <w:vAlign w:val="bottom"/>
            <w:hideMark/>
          </w:tcPr>
          <w:p w14:paraId="242A7FEB"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93 628</w:t>
            </w:r>
          </w:p>
        </w:tc>
        <w:tc>
          <w:tcPr>
            <w:tcW w:w="1060" w:type="dxa"/>
            <w:tcBorders>
              <w:top w:val="nil"/>
              <w:left w:val="nil"/>
              <w:bottom w:val="single" w:sz="4" w:space="0" w:color="auto"/>
              <w:right w:val="single" w:sz="4" w:space="0" w:color="auto"/>
            </w:tcBorders>
            <w:noWrap/>
            <w:vAlign w:val="bottom"/>
            <w:hideMark/>
          </w:tcPr>
          <w:p w14:paraId="0D7A2CB9"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35 560</w:t>
            </w:r>
          </w:p>
        </w:tc>
        <w:tc>
          <w:tcPr>
            <w:tcW w:w="1060" w:type="dxa"/>
            <w:tcBorders>
              <w:top w:val="nil"/>
              <w:left w:val="nil"/>
              <w:bottom w:val="single" w:sz="4" w:space="0" w:color="auto"/>
              <w:right w:val="single" w:sz="4" w:space="0" w:color="auto"/>
            </w:tcBorders>
            <w:noWrap/>
            <w:vAlign w:val="bottom"/>
            <w:hideMark/>
          </w:tcPr>
          <w:p w14:paraId="2312713A"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4 233</w:t>
            </w:r>
          </w:p>
        </w:tc>
        <w:tc>
          <w:tcPr>
            <w:tcW w:w="1102" w:type="dxa"/>
            <w:tcBorders>
              <w:top w:val="nil"/>
              <w:left w:val="nil"/>
              <w:bottom w:val="single" w:sz="4" w:space="0" w:color="auto"/>
              <w:right w:val="single" w:sz="4" w:space="0" w:color="auto"/>
            </w:tcBorders>
            <w:noWrap/>
            <w:vAlign w:val="bottom"/>
            <w:hideMark/>
          </w:tcPr>
          <w:p w14:paraId="158E8481"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3</w:t>
            </w:r>
          </w:p>
        </w:tc>
        <w:tc>
          <w:tcPr>
            <w:tcW w:w="1071" w:type="dxa"/>
            <w:tcBorders>
              <w:top w:val="nil"/>
              <w:left w:val="nil"/>
              <w:bottom w:val="single" w:sz="4" w:space="0" w:color="auto"/>
              <w:right w:val="single" w:sz="4" w:space="0" w:color="auto"/>
            </w:tcBorders>
            <w:noWrap/>
            <w:vAlign w:val="bottom"/>
            <w:hideMark/>
          </w:tcPr>
          <w:p w14:paraId="177E18D1"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80</w:t>
            </w:r>
          </w:p>
        </w:tc>
        <w:tc>
          <w:tcPr>
            <w:tcW w:w="1360" w:type="dxa"/>
            <w:tcBorders>
              <w:top w:val="nil"/>
              <w:left w:val="nil"/>
              <w:bottom w:val="single" w:sz="4" w:space="0" w:color="auto"/>
              <w:right w:val="single" w:sz="4" w:space="0" w:color="auto"/>
            </w:tcBorders>
            <w:noWrap/>
            <w:vAlign w:val="bottom"/>
            <w:hideMark/>
          </w:tcPr>
          <w:p w14:paraId="5B8AB622"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1 985</w:t>
            </w:r>
          </w:p>
        </w:tc>
        <w:tc>
          <w:tcPr>
            <w:tcW w:w="950" w:type="dxa"/>
            <w:tcBorders>
              <w:top w:val="nil"/>
              <w:left w:val="nil"/>
              <w:bottom w:val="single" w:sz="4" w:space="0" w:color="auto"/>
              <w:right w:val="single" w:sz="4" w:space="0" w:color="auto"/>
            </w:tcBorders>
            <w:noWrap/>
            <w:vAlign w:val="bottom"/>
            <w:hideMark/>
          </w:tcPr>
          <w:p w14:paraId="737A16A2"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0</w:t>
            </w:r>
          </w:p>
        </w:tc>
        <w:tc>
          <w:tcPr>
            <w:tcW w:w="971" w:type="dxa"/>
            <w:tcBorders>
              <w:top w:val="nil"/>
              <w:left w:val="nil"/>
              <w:bottom w:val="single" w:sz="4" w:space="0" w:color="auto"/>
              <w:right w:val="single" w:sz="4" w:space="0" w:color="auto"/>
            </w:tcBorders>
            <w:noWrap/>
            <w:vAlign w:val="bottom"/>
            <w:hideMark/>
          </w:tcPr>
          <w:p w14:paraId="2DC32E5A"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51 645</w:t>
            </w:r>
          </w:p>
        </w:tc>
      </w:tr>
      <w:tr w:rsidR="00F95196" w:rsidRPr="00F95196" w14:paraId="6ED61B5A" w14:textId="77777777" w:rsidTr="00AA27EF">
        <w:trPr>
          <w:trHeight w:val="300"/>
        </w:trPr>
        <w:tc>
          <w:tcPr>
            <w:tcW w:w="663" w:type="dxa"/>
            <w:tcBorders>
              <w:top w:val="nil"/>
              <w:left w:val="single" w:sz="8" w:space="0" w:color="auto"/>
              <w:bottom w:val="single" w:sz="4" w:space="0" w:color="auto"/>
              <w:right w:val="single" w:sz="4" w:space="0" w:color="auto"/>
            </w:tcBorders>
            <w:noWrap/>
            <w:vAlign w:val="bottom"/>
            <w:hideMark/>
          </w:tcPr>
          <w:p w14:paraId="343BC5FF"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2026</w:t>
            </w:r>
          </w:p>
        </w:tc>
        <w:tc>
          <w:tcPr>
            <w:tcW w:w="683" w:type="dxa"/>
            <w:tcBorders>
              <w:top w:val="nil"/>
              <w:left w:val="nil"/>
              <w:bottom w:val="single" w:sz="4" w:space="0" w:color="auto"/>
              <w:right w:val="single" w:sz="4" w:space="0" w:color="auto"/>
            </w:tcBorders>
            <w:noWrap/>
            <w:vAlign w:val="bottom"/>
            <w:hideMark/>
          </w:tcPr>
          <w:p w14:paraId="7427976F" w14:textId="77777777" w:rsidR="00F95196" w:rsidRPr="00F95196" w:rsidRDefault="00F95196" w:rsidP="009E3AD8">
            <w:pPr>
              <w:spacing w:line="276" w:lineRule="auto"/>
              <w:rPr>
                <w:rFonts w:ascii="Calibri Light" w:hAnsi="Calibri Light" w:cs="Calibri Light"/>
                <w:color w:val="000000"/>
                <w:sz w:val="22"/>
                <w:szCs w:val="22"/>
                <w:lang w:val="en-US"/>
              </w:rPr>
            </w:pPr>
            <w:r w:rsidRPr="00F95196">
              <w:rPr>
                <w:rFonts w:ascii="Calibri Light" w:hAnsi="Calibri Light" w:cs="Calibri Light"/>
                <w:color w:val="000000"/>
                <w:sz w:val="22"/>
                <w:szCs w:val="22"/>
              </w:rPr>
              <w:t>CA</w:t>
            </w:r>
          </w:p>
        </w:tc>
        <w:tc>
          <w:tcPr>
            <w:tcW w:w="1140" w:type="dxa"/>
            <w:tcBorders>
              <w:top w:val="nil"/>
              <w:left w:val="nil"/>
              <w:bottom w:val="single" w:sz="4" w:space="0" w:color="auto"/>
              <w:right w:val="single" w:sz="4" w:space="0" w:color="auto"/>
            </w:tcBorders>
            <w:noWrap/>
            <w:vAlign w:val="bottom"/>
            <w:hideMark/>
          </w:tcPr>
          <w:p w14:paraId="2DE96853"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148 201</w:t>
            </w:r>
          </w:p>
        </w:tc>
        <w:tc>
          <w:tcPr>
            <w:tcW w:w="1060" w:type="dxa"/>
            <w:tcBorders>
              <w:top w:val="nil"/>
              <w:left w:val="nil"/>
              <w:bottom w:val="single" w:sz="4" w:space="0" w:color="auto"/>
              <w:right w:val="single" w:sz="4" w:space="0" w:color="auto"/>
            </w:tcBorders>
            <w:noWrap/>
            <w:vAlign w:val="bottom"/>
            <w:hideMark/>
          </w:tcPr>
          <w:p w14:paraId="6E53FA50"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60 270</w:t>
            </w:r>
          </w:p>
        </w:tc>
        <w:tc>
          <w:tcPr>
            <w:tcW w:w="1060" w:type="dxa"/>
            <w:tcBorders>
              <w:top w:val="nil"/>
              <w:left w:val="nil"/>
              <w:bottom w:val="single" w:sz="4" w:space="0" w:color="auto"/>
              <w:right w:val="single" w:sz="4" w:space="0" w:color="auto"/>
            </w:tcBorders>
            <w:noWrap/>
            <w:vAlign w:val="bottom"/>
            <w:hideMark/>
          </w:tcPr>
          <w:p w14:paraId="26B6B7D0"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22 413</w:t>
            </w:r>
          </w:p>
        </w:tc>
        <w:tc>
          <w:tcPr>
            <w:tcW w:w="1102" w:type="dxa"/>
            <w:tcBorders>
              <w:top w:val="nil"/>
              <w:left w:val="nil"/>
              <w:bottom w:val="single" w:sz="4" w:space="0" w:color="auto"/>
              <w:right w:val="single" w:sz="4" w:space="0" w:color="auto"/>
            </w:tcBorders>
            <w:noWrap/>
            <w:vAlign w:val="bottom"/>
            <w:hideMark/>
          </w:tcPr>
          <w:p w14:paraId="4AB67E01"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0</w:t>
            </w:r>
          </w:p>
        </w:tc>
        <w:tc>
          <w:tcPr>
            <w:tcW w:w="1071" w:type="dxa"/>
            <w:tcBorders>
              <w:top w:val="nil"/>
              <w:left w:val="nil"/>
              <w:bottom w:val="single" w:sz="4" w:space="0" w:color="auto"/>
              <w:right w:val="single" w:sz="4" w:space="0" w:color="auto"/>
            </w:tcBorders>
            <w:noWrap/>
            <w:vAlign w:val="bottom"/>
            <w:hideMark/>
          </w:tcPr>
          <w:p w14:paraId="560CC53A"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84</w:t>
            </w:r>
          </w:p>
        </w:tc>
        <w:tc>
          <w:tcPr>
            <w:tcW w:w="1360" w:type="dxa"/>
            <w:tcBorders>
              <w:top w:val="nil"/>
              <w:left w:val="nil"/>
              <w:bottom w:val="single" w:sz="4" w:space="0" w:color="auto"/>
              <w:right w:val="single" w:sz="4" w:space="0" w:color="auto"/>
            </w:tcBorders>
            <w:noWrap/>
            <w:vAlign w:val="bottom"/>
            <w:hideMark/>
          </w:tcPr>
          <w:p w14:paraId="42F72C3E"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2 154</w:t>
            </w:r>
          </w:p>
        </w:tc>
        <w:tc>
          <w:tcPr>
            <w:tcW w:w="950" w:type="dxa"/>
            <w:tcBorders>
              <w:top w:val="nil"/>
              <w:left w:val="nil"/>
              <w:bottom w:val="single" w:sz="4" w:space="0" w:color="auto"/>
              <w:right w:val="single" w:sz="4" w:space="0" w:color="auto"/>
            </w:tcBorders>
            <w:noWrap/>
            <w:vAlign w:val="bottom"/>
            <w:hideMark/>
          </w:tcPr>
          <w:p w14:paraId="1F692F20"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0</w:t>
            </w:r>
          </w:p>
        </w:tc>
        <w:tc>
          <w:tcPr>
            <w:tcW w:w="971" w:type="dxa"/>
            <w:tcBorders>
              <w:top w:val="nil"/>
              <w:left w:val="nil"/>
              <w:bottom w:val="single" w:sz="4" w:space="0" w:color="auto"/>
              <w:right w:val="single" w:sz="4" w:space="0" w:color="auto"/>
            </w:tcBorders>
            <w:noWrap/>
            <w:vAlign w:val="bottom"/>
            <w:hideMark/>
          </w:tcPr>
          <w:p w14:paraId="2141A7FB"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62 863</w:t>
            </w:r>
          </w:p>
        </w:tc>
      </w:tr>
      <w:tr w:rsidR="00F95196" w:rsidRPr="00F95196" w14:paraId="68E8D79C" w14:textId="77777777" w:rsidTr="00AA27EF">
        <w:trPr>
          <w:trHeight w:val="315"/>
        </w:trPr>
        <w:tc>
          <w:tcPr>
            <w:tcW w:w="663" w:type="dxa"/>
            <w:tcBorders>
              <w:top w:val="nil"/>
              <w:left w:val="single" w:sz="8" w:space="0" w:color="auto"/>
              <w:bottom w:val="single" w:sz="8" w:space="0" w:color="auto"/>
              <w:right w:val="single" w:sz="4" w:space="0" w:color="auto"/>
            </w:tcBorders>
            <w:noWrap/>
            <w:vAlign w:val="bottom"/>
            <w:hideMark/>
          </w:tcPr>
          <w:p w14:paraId="26E43D5D"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2026</w:t>
            </w:r>
          </w:p>
        </w:tc>
        <w:tc>
          <w:tcPr>
            <w:tcW w:w="683" w:type="dxa"/>
            <w:tcBorders>
              <w:top w:val="nil"/>
              <w:left w:val="nil"/>
              <w:bottom w:val="single" w:sz="8" w:space="0" w:color="auto"/>
              <w:right w:val="single" w:sz="4" w:space="0" w:color="auto"/>
            </w:tcBorders>
            <w:noWrap/>
            <w:vAlign w:val="bottom"/>
            <w:hideMark/>
          </w:tcPr>
          <w:p w14:paraId="1D12E165" w14:textId="77777777" w:rsidR="00F95196" w:rsidRPr="00F95196" w:rsidRDefault="00F95196" w:rsidP="009E3AD8">
            <w:pPr>
              <w:spacing w:line="276" w:lineRule="auto"/>
              <w:rPr>
                <w:rFonts w:ascii="Calibri Light" w:hAnsi="Calibri Light" w:cs="Calibri Light"/>
                <w:color w:val="000000"/>
                <w:sz w:val="22"/>
                <w:szCs w:val="22"/>
                <w:lang w:val="en-US"/>
              </w:rPr>
            </w:pPr>
            <w:r w:rsidRPr="00F95196">
              <w:rPr>
                <w:rFonts w:ascii="Calibri Light" w:hAnsi="Calibri Light" w:cs="Calibri Light"/>
                <w:color w:val="000000"/>
                <w:sz w:val="22"/>
                <w:szCs w:val="22"/>
              </w:rPr>
              <w:t>CB</w:t>
            </w:r>
          </w:p>
        </w:tc>
        <w:tc>
          <w:tcPr>
            <w:tcW w:w="1140" w:type="dxa"/>
            <w:tcBorders>
              <w:top w:val="nil"/>
              <w:left w:val="nil"/>
              <w:bottom w:val="single" w:sz="8" w:space="0" w:color="auto"/>
              <w:right w:val="single" w:sz="4" w:space="0" w:color="auto"/>
            </w:tcBorders>
            <w:noWrap/>
            <w:vAlign w:val="bottom"/>
            <w:hideMark/>
          </w:tcPr>
          <w:p w14:paraId="785D938A"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147 908</w:t>
            </w:r>
          </w:p>
        </w:tc>
        <w:tc>
          <w:tcPr>
            <w:tcW w:w="1060" w:type="dxa"/>
            <w:tcBorders>
              <w:top w:val="nil"/>
              <w:left w:val="nil"/>
              <w:bottom w:val="single" w:sz="8" w:space="0" w:color="auto"/>
              <w:right w:val="single" w:sz="4" w:space="0" w:color="auto"/>
            </w:tcBorders>
            <w:noWrap/>
            <w:vAlign w:val="bottom"/>
            <w:hideMark/>
          </w:tcPr>
          <w:p w14:paraId="38F209A6"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60 270</w:t>
            </w:r>
          </w:p>
        </w:tc>
        <w:tc>
          <w:tcPr>
            <w:tcW w:w="1060" w:type="dxa"/>
            <w:tcBorders>
              <w:top w:val="nil"/>
              <w:left w:val="nil"/>
              <w:bottom w:val="single" w:sz="8" w:space="0" w:color="auto"/>
              <w:right w:val="single" w:sz="4" w:space="0" w:color="auto"/>
            </w:tcBorders>
            <w:noWrap/>
            <w:vAlign w:val="bottom"/>
            <w:hideMark/>
          </w:tcPr>
          <w:p w14:paraId="3868EA2A"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22 413</w:t>
            </w:r>
          </w:p>
        </w:tc>
        <w:tc>
          <w:tcPr>
            <w:tcW w:w="1102" w:type="dxa"/>
            <w:tcBorders>
              <w:top w:val="nil"/>
              <w:left w:val="nil"/>
              <w:bottom w:val="single" w:sz="8" w:space="0" w:color="auto"/>
              <w:right w:val="single" w:sz="4" w:space="0" w:color="auto"/>
            </w:tcBorders>
            <w:noWrap/>
            <w:vAlign w:val="bottom"/>
            <w:hideMark/>
          </w:tcPr>
          <w:p w14:paraId="2BEC2453"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0</w:t>
            </w:r>
          </w:p>
        </w:tc>
        <w:tc>
          <w:tcPr>
            <w:tcW w:w="1071" w:type="dxa"/>
            <w:tcBorders>
              <w:top w:val="nil"/>
              <w:left w:val="nil"/>
              <w:bottom w:val="single" w:sz="8" w:space="0" w:color="auto"/>
              <w:right w:val="single" w:sz="4" w:space="0" w:color="auto"/>
            </w:tcBorders>
            <w:noWrap/>
            <w:vAlign w:val="bottom"/>
            <w:hideMark/>
          </w:tcPr>
          <w:p w14:paraId="1D3A608B"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84</w:t>
            </w:r>
          </w:p>
        </w:tc>
        <w:tc>
          <w:tcPr>
            <w:tcW w:w="1360" w:type="dxa"/>
            <w:tcBorders>
              <w:top w:val="nil"/>
              <w:left w:val="nil"/>
              <w:bottom w:val="single" w:sz="8" w:space="0" w:color="auto"/>
              <w:right w:val="single" w:sz="4" w:space="0" w:color="auto"/>
            </w:tcBorders>
            <w:noWrap/>
            <w:vAlign w:val="bottom"/>
            <w:hideMark/>
          </w:tcPr>
          <w:p w14:paraId="6396668C"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1 861</w:t>
            </w:r>
          </w:p>
        </w:tc>
        <w:tc>
          <w:tcPr>
            <w:tcW w:w="950" w:type="dxa"/>
            <w:tcBorders>
              <w:top w:val="nil"/>
              <w:left w:val="nil"/>
              <w:bottom w:val="single" w:sz="8" w:space="0" w:color="auto"/>
              <w:right w:val="single" w:sz="4" w:space="0" w:color="auto"/>
            </w:tcBorders>
            <w:noWrap/>
            <w:vAlign w:val="bottom"/>
            <w:hideMark/>
          </w:tcPr>
          <w:p w14:paraId="1BE8EF97"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0</w:t>
            </w:r>
          </w:p>
        </w:tc>
        <w:tc>
          <w:tcPr>
            <w:tcW w:w="971" w:type="dxa"/>
            <w:tcBorders>
              <w:top w:val="nil"/>
              <w:left w:val="nil"/>
              <w:bottom w:val="single" w:sz="8" w:space="0" w:color="auto"/>
              <w:right w:val="single" w:sz="4" w:space="0" w:color="auto"/>
            </w:tcBorders>
            <w:noWrap/>
            <w:vAlign w:val="bottom"/>
            <w:hideMark/>
          </w:tcPr>
          <w:p w14:paraId="523C2874"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rPr>
              <w:t>62 863</w:t>
            </w:r>
          </w:p>
        </w:tc>
      </w:tr>
    </w:tbl>
    <w:p w14:paraId="47A463F9" w14:textId="77777777" w:rsidR="00F95196" w:rsidRPr="00F95196" w:rsidRDefault="00F95196" w:rsidP="009E3AD8">
      <w:pPr>
        <w:spacing w:line="276" w:lineRule="auto"/>
        <w:jc w:val="center"/>
        <w:rPr>
          <w:rFonts w:ascii="Calibri" w:hAnsi="Calibri" w:cs="Calibri"/>
          <w:b/>
          <w:sz w:val="26"/>
          <w:szCs w:val="26"/>
        </w:rPr>
      </w:pPr>
    </w:p>
    <w:p w14:paraId="2AC704FA" w14:textId="77777777" w:rsidR="005B041F" w:rsidRDefault="005B041F" w:rsidP="009E3AD8">
      <w:pPr>
        <w:spacing w:line="276" w:lineRule="auto"/>
        <w:jc w:val="center"/>
        <w:rPr>
          <w:rFonts w:ascii="Calibri" w:hAnsi="Calibri" w:cs="Calibri"/>
          <w:b/>
          <w:sz w:val="26"/>
          <w:szCs w:val="26"/>
        </w:rPr>
      </w:pPr>
    </w:p>
    <w:p w14:paraId="71DCF796" w14:textId="77777777" w:rsidR="005B041F" w:rsidRDefault="005B041F" w:rsidP="009E3AD8">
      <w:pPr>
        <w:spacing w:line="276" w:lineRule="auto"/>
        <w:jc w:val="center"/>
        <w:rPr>
          <w:rFonts w:ascii="Calibri" w:hAnsi="Calibri" w:cs="Calibri"/>
          <w:b/>
          <w:sz w:val="26"/>
          <w:szCs w:val="26"/>
        </w:rPr>
      </w:pPr>
    </w:p>
    <w:p w14:paraId="09342B20" w14:textId="77777777" w:rsidR="005B041F" w:rsidRDefault="005B041F" w:rsidP="009E3AD8">
      <w:pPr>
        <w:spacing w:line="276" w:lineRule="auto"/>
        <w:jc w:val="center"/>
        <w:rPr>
          <w:rFonts w:ascii="Calibri" w:hAnsi="Calibri" w:cs="Calibri"/>
          <w:b/>
          <w:sz w:val="26"/>
          <w:szCs w:val="26"/>
        </w:rPr>
      </w:pPr>
    </w:p>
    <w:p w14:paraId="089C1B4E" w14:textId="6DB7FEA0" w:rsidR="00F95196" w:rsidRPr="00F95196" w:rsidRDefault="00F95196" w:rsidP="00F16EB8">
      <w:pPr>
        <w:keepNext/>
        <w:spacing w:line="276" w:lineRule="auto"/>
        <w:jc w:val="center"/>
        <w:rPr>
          <w:rFonts w:ascii="Calibri" w:hAnsi="Calibri" w:cs="Calibri"/>
          <w:b/>
          <w:sz w:val="26"/>
          <w:szCs w:val="26"/>
        </w:rPr>
      </w:pPr>
      <w:r w:rsidRPr="00F95196">
        <w:rPr>
          <w:rFonts w:ascii="Calibri" w:hAnsi="Calibri" w:cs="Calibri"/>
          <w:b/>
          <w:sz w:val="26"/>
          <w:szCs w:val="26"/>
        </w:rPr>
        <w:lastRenderedPageBreak/>
        <w:t>ȘCOALA NAȚIONALĂ DE GREFIERI</w:t>
      </w:r>
    </w:p>
    <w:p w14:paraId="3AB2B64B" w14:textId="77777777" w:rsidR="00F95196" w:rsidRPr="00F95196" w:rsidRDefault="00F95196" w:rsidP="00F16EB8">
      <w:pPr>
        <w:keepNext/>
        <w:spacing w:line="276" w:lineRule="auto"/>
        <w:rPr>
          <w:rFonts w:ascii="Calibri" w:hAnsi="Calibri" w:cs="Calibri"/>
          <w:sz w:val="26"/>
          <w:szCs w:val="26"/>
        </w:rPr>
      </w:pPr>
      <w:r w:rsidRPr="00F95196">
        <w:rPr>
          <w:noProof/>
        </w:rPr>
        <w:drawing>
          <wp:inline distT="0" distB="0" distL="0" distR="0" wp14:anchorId="5B9C14AF" wp14:editId="0DD26FEB">
            <wp:extent cx="6419850" cy="4010025"/>
            <wp:effectExtent l="0" t="0" r="0" b="9525"/>
            <wp:docPr id="618612749" name="Chart 1">
              <a:extLst xmlns:a="http://schemas.openxmlformats.org/drawingml/2006/main">
                <a:ext uri="{FF2B5EF4-FFF2-40B4-BE49-F238E27FC236}">
                  <a16:creationId xmlns:a16="http://schemas.microsoft.com/office/drawing/2014/main" id="{00000000-0008-0000-02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50831DC" w14:textId="77777777" w:rsidR="00F95196" w:rsidRPr="00F95196" w:rsidRDefault="00F95196" w:rsidP="009E3AD8">
      <w:pPr>
        <w:spacing w:line="276" w:lineRule="auto"/>
        <w:jc w:val="center"/>
        <w:rPr>
          <w:rFonts w:ascii="Calibri" w:hAnsi="Calibri" w:cs="Calibri"/>
          <w:sz w:val="26"/>
          <w:szCs w:val="26"/>
        </w:rPr>
      </w:pPr>
      <w:r w:rsidRPr="00F95196">
        <w:rPr>
          <w:rFonts w:ascii="Calibri" w:hAnsi="Calibri" w:cs="Calibri"/>
          <w:sz w:val="26"/>
          <w:szCs w:val="26"/>
        </w:rPr>
        <w:tab/>
      </w:r>
      <w:r w:rsidRPr="00F95196">
        <w:rPr>
          <w:rFonts w:ascii="Calibri" w:hAnsi="Calibri" w:cs="Calibri"/>
          <w:sz w:val="26"/>
          <w:szCs w:val="26"/>
        </w:rPr>
        <w:tab/>
      </w:r>
      <w:r w:rsidRPr="00F95196">
        <w:rPr>
          <w:rFonts w:ascii="Calibri" w:hAnsi="Calibri" w:cs="Calibri"/>
          <w:sz w:val="26"/>
          <w:szCs w:val="26"/>
        </w:rPr>
        <w:tab/>
      </w:r>
      <w:r w:rsidRPr="00F95196">
        <w:rPr>
          <w:rFonts w:ascii="Calibri" w:hAnsi="Calibri" w:cs="Calibri"/>
          <w:sz w:val="26"/>
          <w:szCs w:val="26"/>
        </w:rPr>
        <w:tab/>
      </w:r>
      <w:r w:rsidRPr="00F95196">
        <w:rPr>
          <w:rFonts w:ascii="Calibri" w:hAnsi="Calibri" w:cs="Calibri"/>
          <w:sz w:val="26"/>
          <w:szCs w:val="26"/>
        </w:rPr>
        <w:tab/>
      </w:r>
      <w:r w:rsidRPr="00F95196">
        <w:rPr>
          <w:rFonts w:ascii="Calibri" w:hAnsi="Calibri" w:cs="Calibri"/>
          <w:sz w:val="26"/>
          <w:szCs w:val="26"/>
        </w:rPr>
        <w:tab/>
      </w:r>
      <w:r w:rsidRPr="00F95196">
        <w:rPr>
          <w:rFonts w:ascii="Calibri" w:hAnsi="Calibri" w:cs="Calibri"/>
          <w:sz w:val="26"/>
          <w:szCs w:val="26"/>
        </w:rPr>
        <w:tab/>
      </w:r>
      <w:r w:rsidRPr="00F95196">
        <w:rPr>
          <w:rFonts w:ascii="Calibri" w:hAnsi="Calibri" w:cs="Calibri"/>
          <w:sz w:val="26"/>
          <w:szCs w:val="26"/>
        </w:rPr>
        <w:tab/>
      </w:r>
      <w:r w:rsidRPr="00F95196">
        <w:rPr>
          <w:rFonts w:ascii="Calibri" w:hAnsi="Calibri" w:cs="Calibri"/>
          <w:sz w:val="26"/>
          <w:szCs w:val="26"/>
        </w:rPr>
        <w:tab/>
      </w:r>
      <w:r w:rsidRPr="00F95196">
        <w:rPr>
          <w:rFonts w:ascii="Calibri" w:hAnsi="Calibri" w:cs="Calibri"/>
          <w:sz w:val="26"/>
          <w:szCs w:val="26"/>
        </w:rPr>
        <w:tab/>
        <w:t xml:space="preserve">                       </w:t>
      </w:r>
      <w:r w:rsidRPr="00F95196">
        <w:rPr>
          <w:rFonts w:ascii="Calibri" w:hAnsi="Calibri" w:cs="Calibri"/>
          <w:b/>
          <w:sz w:val="26"/>
          <w:szCs w:val="26"/>
        </w:rPr>
        <w:t>mii lei</w:t>
      </w:r>
    </w:p>
    <w:tbl>
      <w:tblPr>
        <w:tblW w:w="9680" w:type="dxa"/>
        <w:tblLook w:val="04A0" w:firstRow="1" w:lastRow="0" w:firstColumn="1" w:lastColumn="0" w:noHBand="0" w:noVBand="1"/>
      </w:tblPr>
      <w:tblGrid>
        <w:gridCol w:w="663"/>
        <w:gridCol w:w="683"/>
        <w:gridCol w:w="1125"/>
        <w:gridCol w:w="1052"/>
        <w:gridCol w:w="1046"/>
        <w:gridCol w:w="1102"/>
        <w:gridCol w:w="1196"/>
        <w:gridCol w:w="1343"/>
        <w:gridCol w:w="949"/>
        <w:gridCol w:w="971"/>
      </w:tblGrid>
      <w:tr w:rsidR="00F95196" w:rsidRPr="00F95196" w14:paraId="3A3A2570" w14:textId="77777777" w:rsidTr="00BE6FF5">
        <w:trPr>
          <w:trHeight w:val="1590"/>
        </w:trPr>
        <w:tc>
          <w:tcPr>
            <w:tcW w:w="600"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566DC439" w14:textId="77777777" w:rsidR="00F95196" w:rsidRPr="00F95196" w:rsidRDefault="00F95196" w:rsidP="009E3AD8">
            <w:pPr>
              <w:spacing w:line="276" w:lineRule="auto"/>
              <w:jc w:val="center"/>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An</w:t>
            </w:r>
          </w:p>
        </w:tc>
        <w:tc>
          <w:tcPr>
            <w:tcW w:w="636" w:type="dxa"/>
            <w:tcBorders>
              <w:top w:val="single" w:sz="8" w:space="0" w:color="auto"/>
              <w:left w:val="nil"/>
              <w:bottom w:val="single" w:sz="4" w:space="0" w:color="auto"/>
              <w:right w:val="single" w:sz="4" w:space="0" w:color="auto"/>
            </w:tcBorders>
            <w:shd w:val="clear" w:color="000000" w:fill="D9D9D9"/>
            <w:vAlign w:val="center"/>
            <w:hideMark/>
          </w:tcPr>
          <w:p w14:paraId="4C0DAFEC" w14:textId="77777777" w:rsidR="00F95196" w:rsidRPr="00F95196" w:rsidRDefault="00F95196" w:rsidP="009E3AD8">
            <w:pPr>
              <w:spacing w:line="276" w:lineRule="auto"/>
              <w:jc w:val="center"/>
              <w:rPr>
                <w:rFonts w:ascii="Calibri Light" w:hAnsi="Calibri Light" w:cs="Calibri Light"/>
                <w:color w:val="000000"/>
                <w:sz w:val="20"/>
                <w:lang w:val="en-US"/>
              </w:rPr>
            </w:pPr>
            <w:r w:rsidRPr="00F95196">
              <w:rPr>
                <w:rFonts w:ascii="Calibri Light" w:hAnsi="Calibri Light" w:cs="Calibri Light"/>
                <w:color w:val="000000"/>
                <w:sz w:val="20"/>
                <w:lang w:val="en-US"/>
              </w:rPr>
              <w:t>Tip</w:t>
            </w:r>
            <w:r w:rsidRPr="00F95196">
              <w:rPr>
                <w:rFonts w:ascii="Calibri Light" w:hAnsi="Calibri Light" w:cs="Calibri Light"/>
                <w:color w:val="000000"/>
                <w:sz w:val="20"/>
                <w:lang w:val="en-US"/>
              </w:rPr>
              <w:br/>
              <w:t>credit</w:t>
            </w:r>
          </w:p>
        </w:tc>
        <w:tc>
          <w:tcPr>
            <w:tcW w:w="1125" w:type="dxa"/>
            <w:tcBorders>
              <w:top w:val="single" w:sz="8" w:space="0" w:color="auto"/>
              <w:left w:val="nil"/>
              <w:bottom w:val="single" w:sz="4" w:space="0" w:color="auto"/>
              <w:right w:val="single" w:sz="4" w:space="0" w:color="auto"/>
            </w:tcBorders>
            <w:shd w:val="clear" w:color="000000" w:fill="D9D9D9"/>
            <w:vAlign w:val="center"/>
            <w:hideMark/>
          </w:tcPr>
          <w:p w14:paraId="4422DC2E" w14:textId="77777777" w:rsidR="00F95196" w:rsidRPr="00F95196" w:rsidRDefault="00F95196" w:rsidP="009E3AD8">
            <w:pPr>
              <w:spacing w:line="276" w:lineRule="auto"/>
              <w:jc w:val="center"/>
              <w:rPr>
                <w:rFonts w:ascii="Calibri Light" w:hAnsi="Calibri Light" w:cs="Calibri Light"/>
                <w:color w:val="000000"/>
                <w:sz w:val="20"/>
                <w:lang w:val="en-US"/>
              </w:rPr>
            </w:pPr>
            <w:r w:rsidRPr="00F95196">
              <w:rPr>
                <w:rFonts w:ascii="Calibri Light" w:hAnsi="Calibri Light" w:cs="Calibri Light"/>
                <w:color w:val="000000"/>
                <w:sz w:val="20"/>
                <w:lang w:val="en-US"/>
              </w:rPr>
              <w:t>Total</w:t>
            </w:r>
          </w:p>
        </w:tc>
        <w:tc>
          <w:tcPr>
            <w:tcW w:w="1052" w:type="dxa"/>
            <w:tcBorders>
              <w:top w:val="single" w:sz="8" w:space="0" w:color="auto"/>
              <w:left w:val="nil"/>
              <w:bottom w:val="single" w:sz="4" w:space="0" w:color="auto"/>
              <w:right w:val="single" w:sz="4" w:space="0" w:color="auto"/>
            </w:tcBorders>
            <w:shd w:val="clear" w:color="000000" w:fill="D9D9D9"/>
            <w:vAlign w:val="center"/>
            <w:hideMark/>
          </w:tcPr>
          <w:p w14:paraId="0865BCB0" w14:textId="77777777" w:rsidR="00F95196" w:rsidRPr="00F95196" w:rsidRDefault="00F95196" w:rsidP="009E3AD8">
            <w:pPr>
              <w:spacing w:line="276" w:lineRule="auto"/>
              <w:jc w:val="center"/>
              <w:rPr>
                <w:rFonts w:ascii="Calibri Light" w:hAnsi="Calibri Light" w:cs="Calibri Light"/>
                <w:color w:val="000000"/>
                <w:sz w:val="20"/>
                <w:lang w:val="en-US"/>
              </w:rPr>
            </w:pPr>
            <w:proofErr w:type="spellStart"/>
            <w:r w:rsidRPr="00F95196">
              <w:rPr>
                <w:rFonts w:ascii="Calibri Light" w:hAnsi="Calibri Light" w:cs="Calibri Light"/>
                <w:color w:val="000000"/>
                <w:sz w:val="20"/>
                <w:lang w:val="en-US"/>
              </w:rPr>
              <w:t>Cheltuieli</w:t>
            </w:r>
            <w:proofErr w:type="spellEnd"/>
            <w:r w:rsidRPr="00F95196">
              <w:rPr>
                <w:rFonts w:ascii="Calibri Light" w:hAnsi="Calibri Light" w:cs="Calibri Light"/>
                <w:color w:val="000000"/>
                <w:sz w:val="20"/>
                <w:lang w:val="en-US"/>
              </w:rPr>
              <w:t xml:space="preserve"> de personal</w:t>
            </w:r>
          </w:p>
        </w:tc>
        <w:tc>
          <w:tcPr>
            <w:tcW w:w="1046" w:type="dxa"/>
            <w:tcBorders>
              <w:top w:val="single" w:sz="8" w:space="0" w:color="auto"/>
              <w:left w:val="nil"/>
              <w:bottom w:val="single" w:sz="4" w:space="0" w:color="auto"/>
              <w:right w:val="single" w:sz="4" w:space="0" w:color="auto"/>
            </w:tcBorders>
            <w:shd w:val="clear" w:color="000000" w:fill="D9D9D9"/>
            <w:vAlign w:val="center"/>
            <w:hideMark/>
          </w:tcPr>
          <w:p w14:paraId="42045599" w14:textId="77777777" w:rsidR="00F95196" w:rsidRPr="00F95196" w:rsidRDefault="00F95196" w:rsidP="009E3AD8">
            <w:pPr>
              <w:spacing w:line="276" w:lineRule="auto"/>
              <w:jc w:val="center"/>
              <w:rPr>
                <w:rFonts w:ascii="Calibri Light" w:hAnsi="Calibri Light" w:cs="Calibri Light"/>
                <w:color w:val="000000"/>
                <w:sz w:val="20"/>
                <w:lang w:val="en-US"/>
              </w:rPr>
            </w:pPr>
            <w:proofErr w:type="spellStart"/>
            <w:r w:rsidRPr="00F95196">
              <w:rPr>
                <w:rFonts w:ascii="Calibri Light" w:hAnsi="Calibri Light" w:cs="Calibri Light"/>
                <w:color w:val="000000"/>
                <w:sz w:val="20"/>
                <w:lang w:val="en-US"/>
              </w:rPr>
              <w:t>Bunuri</w:t>
            </w:r>
            <w:proofErr w:type="spellEnd"/>
            <w:r w:rsidRPr="00F95196">
              <w:rPr>
                <w:rFonts w:ascii="Calibri Light" w:hAnsi="Calibri Light" w:cs="Calibri Light"/>
                <w:color w:val="000000"/>
                <w:sz w:val="20"/>
                <w:lang w:val="en-US"/>
              </w:rPr>
              <w:t xml:space="preserve"> </w:t>
            </w:r>
            <w:proofErr w:type="spellStart"/>
            <w:r w:rsidRPr="00F95196">
              <w:rPr>
                <w:rFonts w:ascii="Calibri Light" w:hAnsi="Calibri Light" w:cs="Calibri Light"/>
                <w:color w:val="000000"/>
                <w:sz w:val="20"/>
                <w:lang w:val="en-US"/>
              </w:rPr>
              <w:t>și</w:t>
            </w:r>
            <w:proofErr w:type="spellEnd"/>
            <w:r w:rsidRPr="00F95196">
              <w:rPr>
                <w:rFonts w:ascii="Calibri Light" w:hAnsi="Calibri Light" w:cs="Calibri Light"/>
                <w:color w:val="000000"/>
                <w:sz w:val="20"/>
                <w:lang w:val="en-US"/>
              </w:rPr>
              <w:t xml:space="preserve"> </w:t>
            </w:r>
            <w:proofErr w:type="spellStart"/>
            <w:r w:rsidRPr="00F95196">
              <w:rPr>
                <w:rFonts w:ascii="Calibri Light" w:hAnsi="Calibri Light" w:cs="Calibri Light"/>
                <w:color w:val="000000"/>
                <w:sz w:val="20"/>
                <w:lang w:val="en-US"/>
              </w:rPr>
              <w:t>servicii</w:t>
            </w:r>
            <w:proofErr w:type="spellEnd"/>
          </w:p>
        </w:tc>
        <w:tc>
          <w:tcPr>
            <w:tcW w:w="1056" w:type="dxa"/>
            <w:tcBorders>
              <w:top w:val="single" w:sz="8" w:space="0" w:color="auto"/>
              <w:left w:val="nil"/>
              <w:bottom w:val="single" w:sz="4" w:space="0" w:color="auto"/>
              <w:right w:val="single" w:sz="4" w:space="0" w:color="auto"/>
            </w:tcBorders>
            <w:shd w:val="clear" w:color="000000" w:fill="D9D9D9"/>
            <w:vAlign w:val="center"/>
            <w:hideMark/>
          </w:tcPr>
          <w:p w14:paraId="3B54A81F" w14:textId="77777777" w:rsidR="00F95196" w:rsidRPr="00F95196" w:rsidRDefault="00F95196" w:rsidP="009E3AD8">
            <w:pPr>
              <w:spacing w:line="276" w:lineRule="auto"/>
              <w:jc w:val="center"/>
              <w:rPr>
                <w:rFonts w:ascii="Calibri Light" w:hAnsi="Calibri Light" w:cs="Calibri Light"/>
                <w:color w:val="000000"/>
                <w:sz w:val="20"/>
                <w:lang w:val="en-US"/>
              </w:rPr>
            </w:pPr>
            <w:proofErr w:type="spellStart"/>
            <w:r w:rsidRPr="00F95196">
              <w:rPr>
                <w:rFonts w:ascii="Calibri Light" w:hAnsi="Calibri Light" w:cs="Calibri Light"/>
                <w:color w:val="000000"/>
                <w:sz w:val="20"/>
                <w:lang w:val="en-US"/>
              </w:rPr>
              <w:t>Transferuri</w:t>
            </w:r>
            <w:proofErr w:type="spellEnd"/>
          </w:p>
        </w:tc>
        <w:tc>
          <w:tcPr>
            <w:tcW w:w="1010" w:type="dxa"/>
            <w:tcBorders>
              <w:top w:val="single" w:sz="8" w:space="0" w:color="auto"/>
              <w:left w:val="nil"/>
              <w:bottom w:val="single" w:sz="4" w:space="0" w:color="auto"/>
              <w:right w:val="single" w:sz="4" w:space="0" w:color="auto"/>
            </w:tcBorders>
            <w:shd w:val="clear" w:color="000000" w:fill="D9D9D9"/>
            <w:vAlign w:val="center"/>
            <w:hideMark/>
          </w:tcPr>
          <w:p w14:paraId="39C2896D" w14:textId="77777777" w:rsidR="00F95196" w:rsidRPr="00A35EF2" w:rsidRDefault="00F95196" w:rsidP="009E3AD8">
            <w:pPr>
              <w:spacing w:line="276" w:lineRule="auto"/>
              <w:jc w:val="center"/>
              <w:rPr>
                <w:rFonts w:ascii="Calibri Light" w:hAnsi="Calibri Light" w:cs="Calibri Light"/>
                <w:color w:val="000000"/>
                <w:sz w:val="20"/>
                <w:lang w:val="fr-FR"/>
              </w:rPr>
            </w:pPr>
            <w:proofErr w:type="spellStart"/>
            <w:r w:rsidRPr="00A35EF2">
              <w:rPr>
                <w:rFonts w:ascii="Calibri Light" w:hAnsi="Calibri Light" w:cs="Calibri Light"/>
                <w:color w:val="000000"/>
                <w:sz w:val="20"/>
                <w:lang w:val="fr-FR"/>
              </w:rPr>
              <w:t>Proiecte</w:t>
            </w:r>
            <w:proofErr w:type="spellEnd"/>
            <w:r w:rsidRPr="00A35EF2">
              <w:rPr>
                <w:rFonts w:ascii="Calibri Light" w:hAnsi="Calibri Light" w:cs="Calibri Light"/>
                <w:color w:val="000000"/>
                <w:sz w:val="20"/>
                <w:lang w:val="fr-FR"/>
              </w:rPr>
              <w:t xml:space="preserve"> </w:t>
            </w:r>
            <w:proofErr w:type="spellStart"/>
            <w:r w:rsidRPr="00A35EF2">
              <w:rPr>
                <w:rFonts w:ascii="Calibri Light" w:hAnsi="Calibri Light" w:cs="Calibri Light"/>
                <w:color w:val="000000"/>
                <w:sz w:val="20"/>
                <w:lang w:val="fr-FR"/>
              </w:rPr>
              <w:t>cu</w:t>
            </w:r>
            <w:proofErr w:type="spellEnd"/>
            <w:r w:rsidRPr="00A35EF2">
              <w:rPr>
                <w:rFonts w:ascii="Calibri Light" w:hAnsi="Calibri Light" w:cs="Calibri Light"/>
                <w:color w:val="000000"/>
                <w:sz w:val="20"/>
                <w:lang w:val="fr-FR"/>
              </w:rPr>
              <w:t xml:space="preserve"> </w:t>
            </w:r>
            <w:proofErr w:type="spellStart"/>
            <w:r w:rsidRPr="00A35EF2">
              <w:rPr>
                <w:rFonts w:ascii="Calibri Light" w:hAnsi="Calibri Light" w:cs="Calibri Light"/>
                <w:color w:val="000000"/>
                <w:sz w:val="20"/>
                <w:lang w:val="fr-FR"/>
              </w:rPr>
              <w:t>finanțare</w:t>
            </w:r>
            <w:proofErr w:type="spellEnd"/>
            <w:r w:rsidRPr="00A35EF2">
              <w:rPr>
                <w:rFonts w:ascii="Calibri Light" w:hAnsi="Calibri Light" w:cs="Calibri Light"/>
                <w:color w:val="000000"/>
                <w:sz w:val="20"/>
                <w:lang w:val="fr-FR"/>
              </w:rPr>
              <w:t xml:space="preserve"> </w:t>
            </w:r>
            <w:proofErr w:type="spellStart"/>
            <w:r w:rsidRPr="00A35EF2">
              <w:rPr>
                <w:rFonts w:ascii="Calibri Light" w:hAnsi="Calibri Light" w:cs="Calibri Light"/>
                <w:color w:val="000000"/>
                <w:sz w:val="20"/>
                <w:lang w:val="fr-FR"/>
              </w:rPr>
              <w:t>din</w:t>
            </w:r>
            <w:proofErr w:type="spellEnd"/>
            <w:r w:rsidRPr="00A35EF2">
              <w:rPr>
                <w:rFonts w:ascii="Calibri Light" w:hAnsi="Calibri Light" w:cs="Calibri Light"/>
                <w:color w:val="000000"/>
                <w:sz w:val="20"/>
                <w:lang w:val="fr-FR"/>
              </w:rPr>
              <w:t xml:space="preserve"> FEN </w:t>
            </w:r>
            <w:proofErr w:type="spellStart"/>
            <w:r w:rsidRPr="00A35EF2">
              <w:rPr>
                <w:rFonts w:ascii="Calibri Light" w:hAnsi="Calibri Light" w:cs="Calibri Light"/>
                <w:color w:val="000000"/>
                <w:sz w:val="20"/>
                <w:lang w:val="fr-FR"/>
              </w:rPr>
              <w:t>postaderare</w:t>
            </w:r>
            <w:proofErr w:type="spellEnd"/>
          </w:p>
        </w:tc>
        <w:tc>
          <w:tcPr>
            <w:tcW w:w="1343" w:type="dxa"/>
            <w:tcBorders>
              <w:top w:val="single" w:sz="8" w:space="0" w:color="auto"/>
              <w:left w:val="nil"/>
              <w:bottom w:val="single" w:sz="4" w:space="0" w:color="auto"/>
              <w:right w:val="single" w:sz="4" w:space="0" w:color="auto"/>
            </w:tcBorders>
            <w:shd w:val="clear" w:color="000000" w:fill="D9D9D9"/>
            <w:vAlign w:val="center"/>
            <w:hideMark/>
          </w:tcPr>
          <w:p w14:paraId="771EDE1B" w14:textId="77777777" w:rsidR="00F95196" w:rsidRPr="00A35EF2" w:rsidRDefault="00F95196" w:rsidP="009E3AD8">
            <w:pPr>
              <w:spacing w:line="276" w:lineRule="auto"/>
              <w:jc w:val="center"/>
              <w:rPr>
                <w:rFonts w:ascii="Calibri Light" w:hAnsi="Calibri Light" w:cs="Calibri Light"/>
                <w:color w:val="000000"/>
                <w:sz w:val="20"/>
                <w:lang w:val="fr-FR"/>
              </w:rPr>
            </w:pPr>
            <w:proofErr w:type="spellStart"/>
            <w:r w:rsidRPr="00A35EF2">
              <w:rPr>
                <w:rFonts w:ascii="Calibri Light" w:hAnsi="Calibri Light" w:cs="Calibri Light"/>
                <w:color w:val="000000"/>
                <w:sz w:val="20"/>
                <w:lang w:val="fr-FR"/>
              </w:rPr>
              <w:t>Proiecte</w:t>
            </w:r>
            <w:proofErr w:type="spellEnd"/>
            <w:r w:rsidRPr="00A35EF2">
              <w:rPr>
                <w:rFonts w:ascii="Calibri Light" w:hAnsi="Calibri Light" w:cs="Calibri Light"/>
                <w:color w:val="000000"/>
                <w:sz w:val="20"/>
                <w:lang w:val="fr-FR"/>
              </w:rPr>
              <w:t xml:space="preserve"> </w:t>
            </w:r>
            <w:proofErr w:type="spellStart"/>
            <w:r w:rsidRPr="00A35EF2">
              <w:rPr>
                <w:rFonts w:ascii="Calibri Light" w:hAnsi="Calibri Light" w:cs="Calibri Light"/>
                <w:color w:val="000000"/>
                <w:sz w:val="20"/>
                <w:lang w:val="fr-FR"/>
              </w:rPr>
              <w:t>cu</w:t>
            </w:r>
            <w:proofErr w:type="spellEnd"/>
            <w:r w:rsidRPr="00A35EF2">
              <w:rPr>
                <w:rFonts w:ascii="Calibri Light" w:hAnsi="Calibri Light" w:cs="Calibri Light"/>
                <w:color w:val="000000"/>
                <w:sz w:val="20"/>
                <w:lang w:val="fr-FR"/>
              </w:rPr>
              <w:t xml:space="preserve"> </w:t>
            </w:r>
            <w:proofErr w:type="spellStart"/>
            <w:r w:rsidRPr="00A35EF2">
              <w:rPr>
                <w:rFonts w:ascii="Calibri Light" w:hAnsi="Calibri Light" w:cs="Calibri Light"/>
                <w:color w:val="000000"/>
                <w:sz w:val="20"/>
                <w:lang w:val="fr-FR"/>
              </w:rPr>
              <w:t>finanțare</w:t>
            </w:r>
            <w:proofErr w:type="spellEnd"/>
            <w:r w:rsidRPr="00A35EF2">
              <w:rPr>
                <w:rFonts w:ascii="Calibri Light" w:hAnsi="Calibri Light" w:cs="Calibri Light"/>
                <w:color w:val="000000"/>
                <w:sz w:val="20"/>
                <w:lang w:val="fr-FR"/>
              </w:rPr>
              <w:t xml:space="preserve"> </w:t>
            </w:r>
            <w:proofErr w:type="spellStart"/>
            <w:r w:rsidRPr="00A35EF2">
              <w:rPr>
                <w:rFonts w:ascii="Calibri Light" w:hAnsi="Calibri Light" w:cs="Calibri Light"/>
                <w:color w:val="000000"/>
                <w:sz w:val="20"/>
                <w:lang w:val="fr-FR"/>
              </w:rPr>
              <w:t>din</w:t>
            </w:r>
            <w:proofErr w:type="spellEnd"/>
            <w:r w:rsidRPr="00A35EF2">
              <w:rPr>
                <w:rFonts w:ascii="Calibri Light" w:hAnsi="Calibri Light" w:cs="Calibri Light"/>
                <w:color w:val="000000"/>
                <w:sz w:val="20"/>
                <w:lang w:val="fr-FR"/>
              </w:rPr>
              <w:t xml:space="preserve"> FEN </w:t>
            </w:r>
            <w:proofErr w:type="spellStart"/>
            <w:r w:rsidRPr="00A35EF2">
              <w:rPr>
                <w:rFonts w:ascii="Calibri Light" w:hAnsi="Calibri Light" w:cs="Calibri Light"/>
                <w:color w:val="000000"/>
                <w:sz w:val="20"/>
                <w:lang w:val="fr-FR"/>
              </w:rPr>
              <w:t>aferente</w:t>
            </w:r>
            <w:proofErr w:type="spellEnd"/>
            <w:r w:rsidRPr="00A35EF2">
              <w:rPr>
                <w:rFonts w:ascii="Calibri Light" w:hAnsi="Calibri Light" w:cs="Calibri Light"/>
                <w:color w:val="000000"/>
                <w:sz w:val="20"/>
                <w:lang w:val="fr-FR"/>
              </w:rPr>
              <w:br/>
              <w:t xml:space="preserve"> </w:t>
            </w:r>
            <w:proofErr w:type="spellStart"/>
            <w:r w:rsidRPr="00A35EF2">
              <w:rPr>
                <w:rFonts w:ascii="Calibri Light" w:hAnsi="Calibri Light" w:cs="Calibri Light"/>
                <w:color w:val="000000"/>
                <w:sz w:val="20"/>
                <w:lang w:val="fr-FR"/>
              </w:rPr>
              <w:t>cadrului</w:t>
            </w:r>
            <w:proofErr w:type="spellEnd"/>
            <w:r w:rsidRPr="00A35EF2">
              <w:rPr>
                <w:rFonts w:ascii="Calibri Light" w:hAnsi="Calibri Light" w:cs="Calibri Light"/>
                <w:color w:val="000000"/>
                <w:sz w:val="20"/>
                <w:lang w:val="fr-FR"/>
              </w:rPr>
              <w:t xml:space="preserve"> </w:t>
            </w:r>
            <w:proofErr w:type="spellStart"/>
            <w:r w:rsidRPr="00A35EF2">
              <w:rPr>
                <w:rFonts w:ascii="Calibri Light" w:hAnsi="Calibri Light" w:cs="Calibri Light"/>
                <w:color w:val="000000"/>
                <w:sz w:val="20"/>
                <w:lang w:val="fr-FR"/>
              </w:rPr>
              <w:t>financiar</w:t>
            </w:r>
            <w:proofErr w:type="spellEnd"/>
            <w:r w:rsidRPr="00A35EF2">
              <w:rPr>
                <w:rFonts w:ascii="Calibri Light" w:hAnsi="Calibri Light" w:cs="Calibri Light"/>
                <w:color w:val="000000"/>
                <w:sz w:val="20"/>
                <w:lang w:val="fr-FR"/>
              </w:rPr>
              <w:t xml:space="preserve"> 2014-2020</w:t>
            </w:r>
          </w:p>
        </w:tc>
        <w:tc>
          <w:tcPr>
            <w:tcW w:w="935" w:type="dxa"/>
            <w:tcBorders>
              <w:top w:val="single" w:sz="8" w:space="0" w:color="auto"/>
              <w:left w:val="nil"/>
              <w:bottom w:val="single" w:sz="4" w:space="0" w:color="auto"/>
              <w:right w:val="single" w:sz="4" w:space="0" w:color="auto"/>
            </w:tcBorders>
            <w:shd w:val="clear" w:color="000000" w:fill="D9D9D9"/>
            <w:vAlign w:val="center"/>
            <w:hideMark/>
          </w:tcPr>
          <w:p w14:paraId="763BA4E5" w14:textId="77777777" w:rsidR="00F95196" w:rsidRPr="00F95196" w:rsidRDefault="00F95196" w:rsidP="009E3AD8">
            <w:pPr>
              <w:spacing w:line="276" w:lineRule="auto"/>
              <w:jc w:val="center"/>
              <w:rPr>
                <w:rFonts w:ascii="Calibri Light" w:hAnsi="Calibri Light" w:cs="Calibri Light"/>
                <w:color w:val="000000"/>
                <w:sz w:val="20"/>
                <w:lang w:val="en-US"/>
              </w:rPr>
            </w:pPr>
            <w:r w:rsidRPr="00F95196">
              <w:rPr>
                <w:rFonts w:ascii="Calibri Light" w:hAnsi="Calibri Light" w:cs="Calibri Light"/>
                <w:color w:val="000000"/>
                <w:sz w:val="20"/>
                <w:lang w:val="en-US"/>
              </w:rPr>
              <w:t xml:space="preserve">Alte </w:t>
            </w:r>
            <w:proofErr w:type="spellStart"/>
            <w:r w:rsidRPr="00F95196">
              <w:rPr>
                <w:rFonts w:ascii="Calibri Light" w:hAnsi="Calibri Light" w:cs="Calibri Light"/>
                <w:color w:val="000000"/>
                <w:sz w:val="20"/>
                <w:lang w:val="en-US"/>
              </w:rPr>
              <w:t>cheltuieli</w:t>
            </w:r>
            <w:proofErr w:type="spellEnd"/>
          </w:p>
        </w:tc>
        <w:tc>
          <w:tcPr>
            <w:tcW w:w="877" w:type="dxa"/>
            <w:tcBorders>
              <w:top w:val="single" w:sz="8" w:space="0" w:color="auto"/>
              <w:left w:val="nil"/>
              <w:bottom w:val="single" w:sz="4" w:space="0" w:color="auto"/>
              <w:right w:val="single" w:sz="8" w:space="0" w:color="auto"/>
            </w:tcBorders>
            <w:shd w:val="clear" w:color="000000" w:fill="D9D9D9"/>
            <w:vAlign w:val="center"/>
            <w:hideMark/>
          </w:tcPr>
          <w:p w14:paraId="6931E564" w14:textId="77777777" w:rsidR="00F95196" w:rsidRPr="00F95196" w:rsidRDefault="00F95196" w:rsidP="009E3AD8">
            <w:pPr>
              <w:spacing w:line="276" w:lineRule="auto"/>
              <w:jc w:val="center"/>
              <w:rPr>
                <w:rFonts w:ascii="Calibri Light" w:hAnsi="Calibri Light" w:cs="Calibri Light"/>
                <w:color w:val="000000"/>
                <w:sz w:val="20"/>
                <w:lang w:val="en-US"/>
              </w:rPr>
            </w:pPr>
            <w:proofErr w:type="spellStart"/>
            <w:r w:rsidRPr="00F95196">
              <w:rPr>
                <w:rFonts w:ascii="Calibri Light" w:hAnsi="Calibri Light" w:cs="Calibri Light"/>
                <w:color w:val="000000"/>
                <w:sz w:val="20"/>
                <w:lang w:val="en-US"/>
              </w:rPr>
              <w:t>Cheltuieli</w:t>
            </w:r>
            <w:proofErr w:type="spellEnd"/>
            <w:r w:rsidRPr="00F95196">
              <w:rPr>
                <w:rFonts w:ascii="Calibri Light" w:hAnsi="Calibri Light" w:cs="Calibri Light"/>
                <w:color w:val="000000"/>
                <w:sz w:val="20"/>
                <w:lang w:val="en-US"/>
              </w:rPr>
              <w:t xml:space="preserve"> de capital</w:t>
            </w:r>
          </w:p>
        </w:tc>
      </w:tr>
      <w:tr w:rsidR="00F95196" w:rsidRPr="00F95196" w14:paraId="0D9E8C2D" w14:textId="77777777" w:rsidTr="00BE6FF5">
        <w:trPr>
          <w:trHeight w:val="300"/>
        </w:trPr>
        <w:tc>
          <w:tcPr>
            <w:tcW w:w="600" w:type="dxa"/>
            <w:tcBorders>
              <w:top w:val="nil"/>
              <w:left w:val="single" w:sz="8" w:space="0" w:color="auto"/>
              <w:bottom w:val="single" w:sz="4" w:space="0" w:color="auto"/>
              <w:right w:val="single" w:sz="4" w:space="0" w:color="auto"/>
            </w:tcBorders>
            <w:noWrap/>
            <w:vAlign w:val="bottom"/>
            <w:hideMark/>
          </w:tcPr>
          <w:p w14:paraId="63BB1A0B"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2024</w:t>
            </w:r>
          </w:p>
        </w:tc>
        <w:tc>
          <w:tcPr>
            <w:tcW w:w="636" w:type="dxa"/>
            <w:tcBorders>
              <w:top w:val="nil"/>
              <w:left w:val="nil"/>
              <w:bottom w:val="single" w:sz="4" w:space="0" w:color="auto"/>
              <w:right w:val="single" w:sz="4" w:space="0" w:color="auto"/>
            </w:tcBorders>
            <w:noWrap/>
            <w:vAlign w:val="bottom"/>
            <w:hideMark/>
          </w:tcPr>
          <w:p w14:paraId="1BE30877" w14:textId="77777777" w:rsidR="00F95196" w:rsidRPr="00F95196" w:rsidRDefault="00F95196" w:rsidP="009E3AD8">
            <w:pPr>
              <w:spacing w:line="276" w:lineRule="auto"/>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CA</w:t>
            </w:r>
          </w:p>
        </w:tc>
        <w:tc>
          <w:tcPr>
            <w:tcW w:w="1125" w:type="dxa"/>
            <w:tcBorders>
              <w:top w:val="nil"/>
              <w:left w:val="nil"/>
              <w:bottom w:val="single" w:sz="4" w:space="0" w:color="auto"/>
              <w:right w:val="single" w:sz="4" w:space="0" w:color="auto"/>
            </w:tcBorders>
            <w:noWrap/>
            <w:vAlign w:val="bottom"/>
            <w:hideMark/>
          </w:tcPr>
          <w:p w14:paraId="6FC8895B"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20 845</w:t>
            </w:r>
          </w:p>
        </w:tc>
        <w:tc>
          <w:tcPr>
            <w:tcW w:w="1052" w:type="dxa"/>
            <w:tcBorders>
              <w:top w:val="nil"/>
              <w:left w:val="nil"/>
              <w:bottom w:val="single" w:sz="4" w:space="0" w:color="auto"/>
              <w:right w:val="single" w:sz="4" w:space="0" w:color="auto"/>
            </w:tcBorders>
            <w:noWrap/>
            <w:vAlign w:val="bottom"/>
            <w:hideMark/>
          </w:tcPr>
          <w:p w14:paraId="7B4A56E0"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16 374</w:t>
            </w:r>
          </w:p>
        </w:tc>
        <w:tc>
          <w:tcPr>
            <w:tcW w:w="1046" w:type="dxa"/>
            <w:tcBorders>
              <w:top w:val="nil"/>
              <w:left w:val="nil"/>
              <w:bottom w:val="single" w:sz="4" w:space="0" w:color="auto"/>
              <w:right w:val="single" w:sz="4" w:space="0" w:color="auto"/>
            </w:tcBorders>
            <w:noWrap/>
            <w:vAlign w:val="bottom"/>
            <w:hideMark/>
          </w:tcPr>
          <w:p w14:paraId="6DF3C216"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1 804</w:t>
            </w:r>
          </w:p>
        </w:tc>
        <w:tc>
          <w:tcPr>
            <w:tcW w:w="1056" w:type="dxa"/>
            <w:tcBorders>
              <w:top w:val="nil"/>
              <w:left w:val="nil"/>
              <w:bottom w:val="single" w:sz="4" w:space="0" w:color="auto"/>
              <w:right w:val="single" w:sz="4" w:space="0" w:color="auto"/>
            </w:tcBorders>
            <w:noWrap/>
            <w:vAlign w:val="bottom"/>
            <w:hideMark/>
          </w:tcPr>
          <w:p w14:paraId="3B69C9CB"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0</w:t>
            </w:r>
          </w:p>
        </w:tc>
        <w:tc>
          <w:tcPr>
            <w:tcW w:w="1010" w:type="dxa"/>
            <w:tcBorders>
              <w:top w:val="nil"/>
              <w:left w:val="nil"/>
              <w:bottom w:val="single" w:sz="4" w:space="0" w:color="auto"/>
              <w:right w:val="single" w:sz="4" w:space="0" w:color="auto"/>
            </w:tcBorders>
            <w:noWrap/>
            <w:vAlign w:val="bottom"/>
            <w:hideMark/>
          </w:tcPr>
          <w:p w14:paraId="646F37B4"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0</w:t>
            </w:r>
          </w:p>
        </w:tc>
        <w:tc>
          <w:tcPr>
            <w:tcW w:w="1343" w:type="dxa"/>
            <w:tcBorders>
              <w:top w:val="nil"/>
              <w:left w:val="nil"/>
              <w:bottom w:val="single" w:sz="4" w:space="0" w:color="auto"/>
              <w:right w:val="single" w:sz="4" w:space="0" w:color="auto"/>
            </w:tcBorders>
            <w:noWrap/>
            <w:vAlign w:val="bottom"/>
            <w:hideMark/>
          </w:tcPr>
          <w:p w14:paraId="19B8CEC2"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44</w:t>
            </w:r>
          </w:p>
        </w:tc>
        <w:tc>
          <w:tcPr>
            <w:tcW w:w="935" w:type="dxa"/>
            <w:tcBorders>
              <w:top w:val="nil"/>
              <w:left w:val="nil"/>
              <w:bottom w:val="single" w:sz="4" w:space="0" w:color="auto"/>
              <w:right w:val="single" w:sz="4" w:space="0" w:color="auto"/>
            </w:tcBorders>
            <w:noWrap/>
            <w:vAlign w:val="bottom"/>
            <w:hideMark/>
          </w:tcPr>
          <w:p w14:paraId="61E09E33"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2 599</w:t>
            </w:r>
          </w:p>
        </w:tc>
        <w:tc>
          <w:tcPr>
            <w:tcW w:w="877" w:type="dxa"/>
            <w:tcBorders>
              <w:top w:val="nil"/>
              <w:left w:val="nil"/>
              <w:bottom w:val="single" w:sz="4" w:space="0" w:color="auto"/>
              <w:right w:val="single" w:sz="8" w:space="0" w:color="auto"/>
            </w:tcBorders>
            <w:noWrap/>
            <w:vAlign w:val="bottom"/>
            <w:hideMark/>
          </w:tcPr>
          <w:p w14:paraId="0121ED70"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24</w:t>
            </w:r>
          </w:p>
        </w:tc>
      </w:tr>
      <w:tr w:rsidR="00F95196" w:rsidRPr="00F95196" w14:paraId="3C533D67" w14:textId="77777777" w:rsidTr="00BE6FF5">
        <w:trPr>
          <w:trHeight w:val="300"/>
        </w:trPr>
        <w:tc>
          <w:tcPr>
            <w:tcW w:w="600" w:type="dxa"/>
            <w:tcBorders>
              <w:top w:val="nil"/>
              <w:left w:val="single" w:sz="8" w:space="0" w:color="auto"/>
              <w:bottom w:val="single" w:sz="4" w:space="0" w:color="auto"/>
              <w:right w:val="single" w:sz="4" w:space="0" w:color="auto"/>
            </w:tcBorders>
            <w:noWrap/>
            <w:vAlign w:val="bottom"/>
            <w:hideMark/>
          </w:tcPr>
          <w:p w14:paraId="16744D74"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2024</w:t>
            </w:r>
          </w:p>
        </w:tc>
        <w:tc>
          <w:tcPr>
            <w:tcW w:w="636" w:type="dxa"/>
            <w:tcBorders>
              <w:top w:val="nil"/>
              <w:left w:val="nil"/>
              <w:bottom w:val="single" w:sz="4" w:space="0" w:color="auto"/>
              <w:right w:val="single" w:sz="4" w:space="0" w:color="auto"/>
            </w:tcBorders>
            <w:noWrap/>
            <w:vAlign w:val="bottom"/>
            <w:hideMark/>
          </w:tcPr>
          <w:p w14:paraId="06CC157A" w14:textId="77777777" w:rsidR="00F95196" w:rsidRPr="00F95196" w:rsidRDefault="00F95196" w:rsidP="009E3AD8">
            <w:pPr>
              <w:spacing w:line="276" w:lineRule="auto"/>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CB</w:t>
            </w:r>
          </w:p>
        </w:tc>
        <w:tc>
          <w:tcPr>
            <w:tcW w:w="1125" w:type="dxa"/>
            <w:tcBorders>
              <w:top w:val="nil"/>
              <w:left w:val="nil"/>
              <w:bottom w:val="single" w:sz="4" w:space="0" w:color="auto"/>
              <w:right w:val="single" w:sz="4" w:space="0" w:color="auto"/>
            </w:tcBorders>
            <w:noWrap/>
            <w:vAlign w:val="bottom"/>
            <w:hideMark/>
          </w:tcPr>
          <w:p w14:paraId="5E60993C"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20 287</w:t>
            </w:r>
          </w:p>
        </w:tc>
        <w:tc>
          <w:tcPr>
            <w:tcW w:w="1052" w:type="dxa"/>
            <w:tcBorders>
              <w:top w:val="nil"/>
              <w:left w:val="nil"/>
              <w:bottom w:val="single" w:sz="4" w:space="0" w:color="auto"/>
              <w:right w:val="single" w:sz="4" w:space="0" w:color="auto"/>
            </w:tcBorders>
            <w:noWrap/>
            <w:vAlign w:val="bottom"/>
            <w:hideMark/>
          </w:tcPr>
          <w:p w14:paraId="3AE385ED"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16 374</w:t>
            </w:r>
          </w:p>
        </w:tc>
        <w:tc>
          <w:tcPr>
            <w:tcW w:w="1046" w:type="dxa"/>
            <w:tcBorders>
              <w:top w:val="nil"/>
              <w:left w:val="nil"/>
              <w:bottom w:val="single" w:sz="4" w:space="0" w:color="auto"/>
              <w:right w:val="single" w:sz="4" w:space="0" w:color="auto"/>
            </w:tcBorders>
            <w:noWrap/>
            <w:vAlign w:val="bottom"/>
            <w:hideMark/>
          </w:tcPr>
          <w:p w14:paraId="45959F47"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1 246</w:t>
            </w:r>
          </w:p>
        </w:tc>
        <w:tc>
          <w:tcPr>
            <w:tcW w:w="1056" w:type="dxa"/>
            <w:tcBorders>
              <w:top w:val="nil"/>
              <w:left w:val="nil"/>
              <w:bottom w:val="single" w:sz="4" w:space="0" w:color="auto"/>
              <w:right w:val="single" w:sz="4" w:space="0" w:color="auto"/>
            </w:tcBorders>
            <w:noWrap/>
            <w:vAlign w:val="bottom"/>
            <w:hideMark/>
          </w:tcPr>
          <w:p w14:paraId="180C39E4"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0</w:t>
            </w:r>
          </w:p>
        </w:tc>
        <w:tc>
          <w:tcPr>
            <w:tcW w:w="1010" w:type="dxa"/>
            <w:tcBorders>
              <w:top w:val="nil"/>
              <w:left w:val="nil"/>
              <w:bottom w:val="single" w:sz="4" w:space="0" w:color="auto"/>
              <w:right w:val="single" w:sz="4" w:space="0" w:color="auto"/>
            </w:tcBorders>
            <w:noWrap/>
            <w:vAlign w:val="bottom"/>
            <w:hideMark/>
          </w:tcPr>
          <w:p w14:paraId="2815A42A"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0</w:t>
            </w:r>
          </w:p>
        </w:tc>
        <w:tc>
          <w:tcPr>
            <w:tcW w:w="1343" w:type="dxa"/>
            <w:tcBorders>
              <w:top w:val="nil"/>
              <w:left w:val="nil"/>
              <w:bottom w:val="single" w:sz="4" w:space="0" w:color="auto"/>
              <w:right w:val="single" w:sz="4" w:space="0" w:color="auto"/>
            </w:tcBorders>
            <w:noWrap/>
            <w:vAlign w:val="bottom"/>
            <w:hideMark/>
          </w:tcPr>
          <w:p w14:paraId="6147ABE8"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44</w:t>
            </w:r>
          </w:p>
        </w:tc>
        <w:tc>
          <w:tcPr>
            <w:tcW w:w="935" w:type="dxa"/>
            <w:tcBorders>
              <w:top w:val="nil"/>
              <w:left w:val="nil"/>
              <w:bottom w:val="single" w:sz="4" w:space="0" w:color="auto"/>
              <w:right w:val="single" w:sz="4" w:space="0" w:color="auto"/>
            </w:tcBorders>
            <w:noWrap/>
            <w:vAlign w:val="bottom"/>
            <w:hideMark/>
          </w:tcPr>
          <w:p w14:paraId="159ADC85"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2 599</w:t>
            </w:r>
          </w:p>
        </w:tc>
        <w:tc>
          <w:tcPr>
            <w:tcW w:w="877" w:type="dxa"/>
            <w:tcBorders>
              <w:top w:val="nil"/>
              <w:left w:val="nil"/>
              <w:bottom w:val="single" w:sz="4" w:space="0" w:color="auto"/>
              <w:right w:val="single" w:sz="8" w:space="0" w:color="auto"/>
            </w:tcBorders>
            <w:noWrap/>
            <w:vAlign w:val="bottom"/>
            <w:hideMark/>
          </w:tcPr>
          <w:p w14:paraId="710A89BE"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24</w:t>
            </w:r>
          </w:p>
        </w:tc>
      </w:tr>
      <w:tr w:rsidR="00F95196" w:rsidRPr="00F95196" w14:paraId="5F1BEE2A" w14:textId="77777777" w:rsidTr="00BE6FF5">
        <w:trPr>
          <w:trHeight w:val="300"/>
        </w:trPr>
        <w:tc>
          <w:tcPr>
            <w:tcW w:w="600" w:type="dxa"/>
            <w:tcBorders>
              <w:top w:val="nil"/>
              <w:left w:val="single" w:sz="8" w:space="0" w:color="auto"/>
              <w:bottom w:val="single" w:sz="4" w:space="0" w:color="auto"/>
              <w:right w:val="single" w:sz="4" w:space="0" w:color="auto"/>
            </w:tcBorders>
            <w:noWrap/>
            <w:vAlign w:val="bottom"/>
            <w:hideMark/>
          </w:tcPr>
          <w:p w14:paraId="60676A2A"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2025</w:t>
            </w:r>
          </w:p>
        </w:tc>
        <w:tc>
          <w:tcPr>
            <w:tcW w:w="636" w:type="dxa"/>
            <w:tcBorders>
              <w:top w:val="nil"/>
              <w:left w:val="nil"/>
              <w:bottom w:val="single" w:sz="4" w:space="0" w:color="auto"/>
              <w:right w:val="single" w:sz="4" w:space="0" w:color="auto"/>
            </w:tcBorders>
            <w:noWrap/>
            <w:vAlign w:val="bottom"/>
            <w:hideMark/>
          </w:tcPr>
          <w:p w14:paraId="7A60AD9D" w14:textId="77777777" w:rsidR="00F95196" w:rsidRPr="00F95196" w:rsidRDefault="00F95196" w:rsidP="009E3AD8">
            <w:pPr>
              <w:spacing w:line="276" w:lineRule="auto"/>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CA</w:t>
            </w:r>
          </w:p>
        </w:tc>
        <w:tc>
          <w:tcPr>
            <w:tcW w:w="1125" w:type="dxa"/>
            <w:tcBorders>
              <w:top w:val="nil"/>
              <w:left w:val="nil"/>
              <w:bottom w:val="single" w:sz="4" w:space="0" w:color="auto"/>
              <w:right w:val="single" w:sz="4" w:space="0" w:color="auto"/>
            </w:tcBorders>
            <w:noWrap/>
            <w:vAlign w:val="bottom"/>
            <w:hideMark/>
          </w:tcPr>
          <w:p w14:paraId="69F15080"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20 643</w:t>
            </w:r>
          </w:p>
        </w:tc>
        <w:tc>
          <w:tcPr>
            <w:tcW w:w="1052" w:type="dxa"/>
            <w:tcBorders>
              <w:top w:val="nil"/>
              <w:left w:val="nil"/>
              <w:bottom w:val="single" w:sz="4" w:space="0" w:color="auto"/>
              <w:right w:val="single" w:sz="4" w:space="0" w:color="auto"/>
            </w:tcBorders>
            <w:noWrap/>
            <w:vAlign w:val="bottom"/>
            <w:hideMark/>
          </w:tcPr>
          <w:p w14:paraId="69AA3110"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16 230</w:t>
            </w:r>
          </w:p>
        </w:tc>
        <w:tc>
          <w:tcPr>
            <w:tcW w:w="1046" w:type="dxa"/>
            <w:tcBorders>
              <w:top w:val="nil"/>
              <w:left w:val="nil"/>
              <w:bottom w:val="single" w:sz="4" w:space="0" w:color="auto"/>
              <w:right w:val="single" w:sz="4" w:space="0" w:color="auto"/>
            </w:tcBorders>
            <w:noWrap/>
            <w:vAlign w:val="bottom"/>
            <w:hideMark/>
          </w:tcPr>
          <w:p w14:paraId="4129289A"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1 049</w:t>
            </w:r>
          </w:p>
        </w:tc>
        <w:tc>
          <w:tcPr>
            <w:tcW w:w="1056" w:type="dxa"/>
            <w:tcBorders>
              <w:top w:val="nil"/>
              <w:left w:val="nil"/>
              <w:bottom w:val="single" w:sz="4" w:space="0" w:color="auto"/>
              <w:right w:val="single" w:sz="4" w:space="0" w:color="auto"/>
            </w:tcBorders>
            <w:noWrap/>
            <w:vAlign w:val="bottom"/>
            <w:hideMark/>
          </w:tcPr>
          <w:p w14:paraId="63076419"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0</w:t>
            </w:r>
          </w:p>
        </w:tc>
        <w:tc>
          <w:tcPr>
            <w:tcW w:w="1010" w:type="dxa"/>
            <w:tcBorders>
              <w:top w:val="nil"/>
              <w:left w:val="nil"/>
              <w:bottom w:val="single" w:sz="4" w:space="0" w:color="auto"/>
              <w:right w:val="single" w:sz="4" w:space="0" w:color="auto"/>
            </w:tcBorders>
            <w:noWrap/>
            <w:vAlign w:val="bottom"/>
            <w:hideMark/>
          </w:tcPr>
          <w:p w14:paraId="2D981037"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134</w:t>
            </w:r>
          </w:p>
        </w:tc>
        <w:tc>
          <w:tcPr>
            <w:tcW w:w="1343" w:type="dxa"/>
            <w:tcBorders>
              <w:top w:val="nil"/>
              <w:left w:val="nil"/>
              <w:bottom w:val="nil"/>
              <w:right w:val="nil"/>
            </w:tcBorders>
            <w:noWrap/>
            <w:vAlign w:val="bottom"/>
            <w:hideMark/>
          </w:tcPr>
          <w:p w14:paraId="3DB2CE7F" w14:textId="77777777" w:rsidR="00F95196" w:rsidRPr="00F95196" w:rsidRDefault="00F95196" w:rsidP="009E3AD8">
            <w:pPr>
              <w:spacing w:line="276" w:lineRule="auto"/>
              <w:jc w:val="right"/>
              <w:rPr>
                <w:rFonts w:ascii="Calibri" w:hAnsi="Calibri" w:cs="Calibri"/>
                <w:color w:val="000000"/>
                <w:sz w:val="22"/>
                <w:szCs w:val="22"/>
                <w:lang w:val="en-US"/>
              </w:rPr>
            </w:pPr>
            <w:r w:rsidRPr="00F95196">
              <w:rPr>
                <w:rFonts w:ascii="Calibri" w:hAnsi="Calibri" w:cs="Calibri"/>
                <w:color w:val="000000"/>
                <w:sz w:val="22"/>
                <w:szCs w:val="22"/>
                <w:lang w:val="en-US"/>
              </w:rPr>
              <w:t>0</w:t>
            </w:r>
          </w:p>
        </w:tc>
        <w:tc>
          <w:tcPr>
            <w:tcW w:w="935" w:type="dxa"/>
            <w:tcBorders>
              <w:top w:val="nil"/>
              <w:left w:val="single" w:sz="4" w:space="0" w:color="auto"/>
              <w:bottom w:val="single" w:sz="4" w:space="0" w:color="auto"/>
              <w:right w:val="single" w:sz="4" w:space="0" w:color="auto"/>
            </w:tcBorders>
            <w:noWrap/>
            <w:vAlign w:val="bottom"/>
            <w:hideMark/>
          </w:tcPr>
          <w:p w14:paraId="0FA8A0AD"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3 205</w:t>
            </w:r>
          </w:p>
        </w:tc>
        <w:tc>
          <w:tcPr>
            <w:tcW w:w="877" w:type="dxa"/>
            <w:tcBorders>
              <w:top w:val="nil"/>
              <w:left w:val="nil"/>
              <w:bottom w:val="single" w:sz="4" w:space="0" w:color="auto"/>
              <w:right w:val="single" w:sz="8" w:space="0" w:color="auto"/>
            </w:tcBorders>
            <w:noWrap/>
            <w:vAlign w:val="bottom"/>
            <w:hideMark/>
          </w:tcPr>
          <w:p w14:paraId="5328CBB6"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25</w:t>
            </w:r>
          </w:p>
        </w:tc>
      </w:tr>
      <w:tr w:rsidR="00F95196" w:rsidRPr="00F95196" w14:paraId="36B7FB19" w14:textId="77777777" w:rsidTr="00BE6FF5">
        <w:trPr>
          <w:trHeight w:val="300"/>
        </w:trPr>
        <w:tc>
          <w:tcPr>
            <w:tcW w:w="600" w:type="dxa"/>
            <w:tcBorders>
              <w:top w:val="nil"/>
              <w:left w:val="single" w:sz="8" w:space="0" w:color="auto"/>
              <w:bottom w:val="single" w:sz="4" w:space="0" w:color="auto"/>
              <w:right w:val="single" w:sz="4" w:space="0" w:color="auto"/>
            </w:tcBorders>
            <w:noWrap/>
            <w:vAlign w:val="bottom"/>
            <w:hideMark/>
          </w:tcPr>
          <w:p w14:paraId="4D8CB46C"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2025</w:t>
            </w:r>
          </w:p>
        </w:tc>
        <w:tc>
          <w:tcPr>
            <w:tcW w:w="636" w:type="dxa"/>
            <w:tcBorders>
              <w:top w:val="nil"/>
              <w:left w:val="nil"/>
              <w:bottom w:val="single" w:sz="4" w:space="0" w:color="auto"/>
              <w:right w:val="single" w:sz="4" w:space="0" w:color="auto"/>
            </w:tcBorders>
            <w:noWrap/>
            <w:vAlign w:val="bottom"/>
            <w:hideMark/>
          </w:tcPr>
          <w:p w14:paraId="29F2740B" w14:textId="77777777" w:rsidR="00F95196" w:rsidRPr="00F95196" w:rsidRDefault="00F95196" w:rsidP="009E3AD8">
            <w:pPr>
              <w:spacing w:line="276" w:lineRule="auto"/>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CB</w:t>
            </w:r>
          </w:p>
        </w:tc>
        <w:tc>
          <w:tcPr>
            <w:tcW w:w="1125" w:type="dxa"/>
            <w:tcBorders>
              <w:top w:val="nil"/>
              <w:left w:val="nil"/>
              <w:bottom w:val="single" w:sz="4" w:space="0" w:color="auto"/>
              <w:right w:val="single" w:sz="4" w:space="0" w:color="auto"/>
            </w:tcBorders>
            <w:noWrap/>
            <w:vAlign w:val="bottom"/>
            <w:hideMark/>
          </w:tcPr>
          <w:p w14:paraId="555A978C"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20 619</w:t>
            </w:r>
          </w:p>
        </w:tc>
        <w:tc>
          <w:tcPr>
            <w:tcW w:w="1052" w:type="dxa"/>
            <w:tcBorders>
              <w:top w:val="nil"/>
              <w:left w:val="nil"/>
              <w:bottom w:val="single" w:sz="4" w:space="0" w:color="auto"/>
              <w:right w:val="single" w:sz="4" w:space="0" w:color="auto"/>
            </w:tcBorders>
            <w:noWrap/>
            <w:vAlign w:val="bottom"/>
            <w:hideMark/>
          </w:tcPr>
          <w:p w14:paraId="0F74AFA0"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16 230</w:t>
            </w:r>
          </w:p>
        </w:tc>
        <w:tc>
          <w:tcPr>
            <w:tcW w:w="1046" w:type="dxa"/>
            <w:tcBorders>
              <w:top w:val="nil"/>
              <w:left w:val="nil"/>
              <w:bottom w:val="single" w:sz="4" w:space="0" w:color="auto"/>
              <w:right w:val="single" w:sz="4" w:space="0" w:color="auto"/>
            </w:tcBorders>
            <w:noWrap/>
            <w:vAlign w:val="bottom"/>
            <w:hideMark/>
          </w:tcPr>
          <w:p w14:paraId="0A8257D5"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1 049</w:t>
            </w:r>
          </w:p>
        </w:tc>
        <w:tc>
          <w:tcPr>
            <w:tcW w:w="1056" w:type="dxa"/>
            <w:tcBorders>
              <w:top w:val="nil"/>
              <w:left w:val="nil"/>
              <w:bottom w:val="single" w:sz="4" w:space="0" w:color="auto"/>
              <w:right w:val="single" w:sz="4" w:space="0" w:color="auto"/>
            </w:tcBorders>
            <w:noWrap/>
            <w:vAlign w:val="bottom"/>
            <w:hideMark/>
          </w:tcPr>
          <w:p w14:paraId="45703D87"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0</w:t>
            </w:r>
          </w:p>
        </w:tc>
        <w:tc>
          <w:tcPr>
            <w:tcW w:w="1010" w:type="dxa"/>
            <w:tcBorders>
              <w:top w:val="nil"/>
              <w:left w:val="nil"/>
              <w:bottom w:val="single" w:sz="4" w:space="0" w:color="auto"/>
              <w:right w:val="single" w:sz="4" w:space="0" w:color="auto"/>
            </w:tcBorders>
            <w:noWrap/>
            <w:vAlign w:val="bottom"/>
            <w:hideMark/>
          </w:tcPr>
          <w:p w14:paraId="7DF531E4"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110</w:t>
            </w:r>
          </w:p>
        </w:tc>
        <w:tc>
          <w:tcPr>
            <w:tcW w:w="1343" w:type="dxa"/>
            <w:tcBorders>
              <w:top w:val="single" w:sz="4" w:space="0" w:color="auto"/>
              <w:left w:val="nil"/>
              <w:bottom w:val="single" w:sz="4" w:space="0" w:color="auto"/>
              <w:right w:val="single" w:sz="4" w:space="0" w:color="auto"/>
            </w:tcBorders>
            <w:noWrap/>
            <w:vAlign w:val="bottom"/>
            <w:hideMark/>
          </w:tcPr>
          <w:p w14:paraId="4287ED77" w14:textId="77777777" w:rsidR="00F95196" w:rsidRPr="00F95196" w:rsidRDefault="00F95196" w:rsidP="009E3AD8">
            <w:pPr>
              <w:spacing w:line="276" w:lineRule="auto"/>
              <w:jc w:val="right"/>
              <w:rPr>
                <w:rFonts w:ascii="Calibri" w:hAnsi="Calibri" w:cs="Calibri"/>
                <w:color w:val="000000"/>
                <w:sz w:val="22"/>
                <w:szCs w:val="22"/>
                <w:lang w:val="en-US"/>
              </w:rPr>
            </w:pPr>
            <w:r w:rsidRPr="00F95196">
              <w:rPr>
                <w:rFonts w:ascii="Calibri" w:hAnsi="Calibri" w:cs="Calibri"/>
                <w:color w:val="000000"/>
                <w:sz w:val="22"/>
                <w:szCs w:val="22"/>
                <w:lang w:val="en-US"/>
              </w:rPr>
              <w:t>0</w:t>
            </w:r>
          </w:p>
        </w:tc>
        <w:tc>
          <w:tcPr>
            <w:tcW w:w="935" w:type="dxa"/>
            <w:tcBorders>
              <w:top w:val="nil"/>
              <w:left w:val="nil"/>
              <w:bottom w:val="single" w:sz="4" w:space="0" w:color="auto"/>
              <w:right w:val="single" w:sz="4" w:space="0" w:color="auto"/>
            </w:tcBorders>
            <w:noWrap/>
            <w:vAlign w:val="bottom"/>
            <w:hideMark/>
          </w:tcPr>
          <w:p w14:paraId="73ADCEF6"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3 205</w:t>
            </w:r>
          </w:p>
        </w:tc>
        <w:tc>
          <w:tcPr>
            <w:tcW w:w="877" w:type="dxa"/>
            <w:tcBorders>
              <w:top w:val="nil"/>
              <w:left w:val="nil"/>
              <w:bottom w:val="single" w:sz="4" w:space="0" w:color="auto"/>
              <w:right w:val="single" w:sz="8" w:space="0" w:color="auto"/>
            </w:tcBorders>
            <w:noWrap/>
            <w:vAlign w:val="bottom"/>
            <w:hideMark/>
          </w:tcPr>
          <w:p w14:paraId="6DE9A04F"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25</w:t>
            </w:r>
          </w:p>
        </w:tc>
      </w:tr>
      <w:tr w:rsidR="00F95196" w:rsidRPr="00F95196" w14:paraId="0182990D" w14:textId="77777777" w:rsidTr="00BE6FF5">
        <w:trPr>
          <w:trHeight w:val="300"/>
        </w:trPr>
        <w:tc>
          <w:tcPr>
            <w:tcW w:w="600" w:type="dxa"/>
            <w:tcBorders>
              <w:top w:val="nil"/>
              <w:left w:val="single" w:sz="8" w:space="0" w:color="auto"/>
              <w:bottom w:val="single" w:sz="4" w:space="0" w:color="auto"/>
              <w:right w:val="single" w:sz="4" w:space="0" w:color="auto"/>
            </w:tcBorders>
            <w:noWrap/>
            <w:vAlign w:val="bottom"/>
            <w:hideMark/>
          </w:tcPr>
          <w:p w14:paraId="4B28C66C"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2026</w:t>
            </w:r>
          </w:p>
        </w:tc>
        <w:tc>
          <w:tcPr>
            <w:tcW w:w="636" w:type="dxa"/>
            <w:tcBorders>
              <w:top w:val="nil"/>
              <w:left w:val="nil"/>
              <w:bottom w:val="single" w:sz="4" w:space="0" w:color="auto"/>
              <w:right w:val="single" w:sz="4" w:space="0" w:color="auto"/>
            </w:tcBorders>
            <w:noWrap/>
            <w:vAlign w:val="bottom"/>
            <w:hideMark/>
          </w:tcPr>
          <w:p w14:paraId="7650FCFD" w14:textId="77777777" w:rsidR="00F95196" w:rsidRPr="00F95196" w:rsidRDefault="00F95196" w:rsidP="009E3AD8">
            <w:pPr>
              <w:spacing w:line="276" w:lineRule="auto"/>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CA</w:t>
            </w:r>
          </w:p>
        </w:tc>
        <w:tc>
          <w:tcPr>
            <w:tcW w:w="1125" w:type="dxa"/>
            <w:tcBorders>
              <w:top w:val="nil"/>
              <w:left w:val="nil"/>
              <w:bottom w:val="single" w:sz="4" w:space="0" w:color="auto"/>
              <w:right w:val="single" w:sz="4" w:space="0" w:color="auto"/>
            </w:tcBorders>
            <w:noWrap/>
            <w:vAlign w:val="bottom"/>
            <w:hideMark/>
          </w:tcPr>
          <w:p w14:paraId="1C067B5C"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39 813</w:t>
            </w:r>
          </w:p>
        </w:tc>
        <w:tc>
          <w:tcPr>
            <w:tcW w:w="1052" w:type="dxa"/>
            <w:tcBorders>
              <w:top w:val="nil"/>
              <w:left w:val="nil"/>
              <w:bottom w:val="single" w:sz="4" w:space="0" w:color="auto"/>
              <w:right w:val="single" w:sz="4" w:space="0" w:color="auto"/>
            </w:tcBorders>
            <w:noWrap/>
            <w:vAlign w:val="bottom"/>
            <w:hideMark/>
          </w:tcPr>
          <w:p w14:paraId="3FB73F3B"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32 800</w:t>
            </w:r>
          </w:p>
        </w:tc>
        <w:tc>
          <w:tcPr>
            <w:tcW w:w="1046" w:type="dxa"/>
            <w:tcBorders>
              <w:top w:val="nil"/>
              <w:left w:val="nil"/>
              <w:bottom w:val="single" w:sz="4" w:space="0" w:color="auto"/>
              <w:right w:val="single" w:sz="4" w:space="0" w:color="auto"/>
            </w:tcBorders>
            <w:noWrap/>
            <w:vAlign w:val="bottom"/>
            <w:hideMark/>
          </w:tcPr>
          <w:p w14:paraId="740186DC"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2 975</w:t>
            </w:r>
          </w:p>
        </w:tc>
        <w:tc>
          <w:tcPr>
            <w:tcW w:w="1056" w:type="dxa"/>
            <w:tcBorders>
              <w:top w:val="nil"/>
              <w:left w:val="nil"/>
              <w:bottom w:val="single" w:sz="4" w:space="0" w:color="auto"/>
              <w:right w:val="single" w:sz="4" w:space="0" w:color="auto"/>
            </w:tcBorders>
            <w:noWrap/>
            <w:vAlign w:val="bottom"/>
            <w:hideMark/>
          </w:tcPr>
          <w:p w14:paraId="799F8A3F"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0</w:t>
            </w:r>
          </w:p>
        </w:tc>
        <w:tc>
          <w:tcPr>
            <w:tcW w:w="1010" w:type="dxa"/>
            <w:tcBorders>
              <w:top w:val="nil"/>
              <w:left w:val="nil"/>
              <w:bottom w:val="single" w:sz="4" w:space="0" w:color="auto"/>
              <w:right w:val="single" w:sz="4" w:space="0" w:color="auto"/>
            </w:tcBorders>
            <w:noWrap/>
            <w:vAlign w:val="bottom"/>
            <w:hideMark/>
          </w:tcPr>
          <w:p w14:paraId="78879B7A"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121</w:t>
            </w:r>
          </w:p>
        </w:tc>
        <w:tc>
          <w:tcPr>
            <w:tcW w:w="1343" w:type="dxa"/>
            <w:tcBorders>
              <w:top w:val="nil"/>
              <w:left w:val="nil"/>
              <w:bottom w:val="single" w:sz="4" w:space="0" w:color="auto"/>
              <w:right w:val="single" w:sz="4" w:space="0" w:color="auto"/>
            </w:tcBorders>
            <w:noWrap/>
            <w:vAlign w:val="bottom"/>
            <w:hideMark/>
          </w:tcPr>
          <w:p w14:paraId="05649C9F"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0</w:t>
            </w:r>
          </w:p>
        </w:tc>
        <w:tc>
          <w:tcPr>
            <w:tcW w:w="935" w:type="dxa"/>
            <w:tcBorders>
              <w:top w:val="nil"/>
              <w:left w:val="nil"/>
              <w:bottom w:val="single" w:sz="4" w:space="0" w:color="auto"/>
              <w:right w:val="single" w:sz="4" w:space="0" w:color="auto"/>
            </w:tcBorders>
            <w:noWrap/>
            <w:vAlign w:val="bottom"/>
            <w:hideMark/>
          </w:tcPr>
          <w:p w14:paraId="7FD938A1"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3 292</w:t>
            </w:r>
          </w:p>
        </w:tc>
        <w:tc>
          <w:tcPr>
            <w:tcW w:w="877" w:type="dxa"/>
            <w:tcBorders>
              <w:top w:val="nil"/>
              <w:left w:val="nil"/>
              <w:bottom w:val="single" w:sz="4" w:space="0" w:color="auto"/>
              <w:right w:val="single" w:sz="8" w:space="0" w:color="auto"/>
            </w:tcBorders>
            <w:noWrap/>
            <w:vAlign w:val="bottom"/>
            <w:hideMark/>
          </w:tcPr>
          <w:p w14:paraId="4B5E7385"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625</w:t>
            </w:r>
          </w:p>
        </w:tc>
      </w:tr>
      <w:tr w:rsidR="00F95196" w:rsidRPr="00F95196" w14:paraId="476B5DD3" w14:textId="77777777" w:rsidTr="00BE6FF5">
        <w:trPr>
          <w:trHeight w:val="315"/>
        </w:trPr>
        <w:tc>
          <w:tcPr>
            <w:tcW w:w="600" w:type="dxa"/>
            <w:tcBorders>
              <w:top w:val="nil"/>
              <w:left w:val="single" w:sz="8" w:space="0" w:color="auto"/>
              <w:bottom w:val="single" w:sz="8" w:space="0" w:color="auto"/>
              <w:right w:val="single" w:sz="4" w:space="0" w:color="auto"/>
            </w:tcBorders>
            <w:noWrap/>
            <w:vAlign w:val="bottom"/>
            <w:hideMark/>
          </w:tcPr>
          <w:p w14:paraId="0A363223"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2026</w:t>
            </w:r>
          </w:p>
        </w:tc>
        <w:tc>
          <w:tcPr>
            <w:tcW w:w="636" w:type="dxa"/>
            <w:tcBorders>
              <w:top w:val="nil"/>
              <w:left w:val="nil"/>
              <w:bottom w:val="single" w:sz="8" w:space="0" w:color="auto"/>
              <w:right w:val="single" w:sz="4" w:space="0" w:color="auto"/>
            </w:tcBorders>
            <w:noWrap/>
            <w:vAlign w:val="bottom"/>
            <w:hideMark/>
          </w:tcPr>
          <w:p w14:paraId="5C2E14D9" w14:textId="77777777" w:rsidR="00F95196" w:rsidRPr="00F95196" w:rsidRDefault="00F95196" w:rsidP="009E3AD8">
            <w:pPr>
              <w:spacing w:line="276" w:lineRule="auto"/>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CB</w:t>
            </w:r>
          </w:p>
        </w:tc>
        <w:tc>
          <w:tcPr>
            <w:tcW w:w="1125" w:type="dxa"/>
            <w:tcBorders>
              <w:top w:val="nil"/>
              <w:left w:val="nil"/>
              <w:bottom w:val="single" w:sz="8" w:space="0" w:color="auto"/>
              <w:right w:val="single" w:sz="4" w:space="0" w:color="auto"/>
            </w:tcBorders>
            <w:noWrap/>
            <w:vAlign w:val="bottom"/>
            <w:hideMark/>
          </w:tcPr>
          <w:p w14:paraId="6EE2ADA5"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39 813</w:t>
            </w:r>
          </w:p>
        </w:tc>
        <w:tc>
          <w:tcPr>
            <w:tcW w:w="1052" w:type="dxa"/>
            <w:tcBorders>
              <w:top w:val="nil"/>
              <w:left w:val="nil"/>
              <w:bottom w:val="single" w:sz="8" w:space="0" w:color="auto"/>
              <w:right w:val="single" w:sz="4" w:space="0" w:color="auto"/>
            </w:tcBorders>
            <w:noWrap/>
            <w:vAlign w:val="bottom"/>
            <w:hideMark/>
          </w:tcPr>
          <w:p w14:paraId="092C8F2D"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32 800</w:t>
            </w:r>
          </w:p>
        </w:tc>
        <w:tc>
          <w:tcPr>
            <w:tcW w:w="1046" w:type="dxa"/>
            <w:tcBorders>
              <w:top w:val="nil"/>
              <w:left w:val="nil"/>
              <w:bottom w:val="single" w:sz="8" w:space="0" w:color="auto"/>
              <w:right w:val="single" w:sz="4" w:space="0" w:color="auto"/>
            </w:tcBorders>
            <w:noWrap/>
            <w:vAlign w:val="bottom"/>
            <w:hideMark/>
          </w:tcPr>
          <w:p w14:paraId="0D7D6B1F"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2 975</w:t>
            </w:r>
          </w:p>
        </w:tc>
        <w:tc>
          <w:tcPr>
            <w:tcW w:w="1056" w:type="dxa"/>
            <w:tcBorders>
              <w:top w:val="nil"/>
              <w:left w:val="nil"/>
              <w:bottom w:val="single" w:sz="8" w:space="0" w:color="auto"/>
              <w:right w:val="single" w:sz="4" w:space="0" w:color="auto"/>
            </w:tcBorders>
            <w:noWrap/>
            <w:vAlign w:val="bottom"/>
            <w:hideMark/>
          </w:tcPr>
          <w:p w14:paraId="1F833977"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0</w:t>
            </w:r>
          </w:p>
        </w:tc>
        <w:tc>
          <w:tcPr>
            <w:tcW w:w="1010" w:type="dxa"/>
            <w:tcBorders>
              <w:top w:val="nil"/>
              <w:left w:val="nil"/>
              <w:bottom w:val="single" w:sz="8" w:space="0" w:color="auto"/>
              <w:right w:val="single" w:sz="4" w:space="0" w:color="auto"/>
            </w:tcBorders>
            <w:noWrap/>
            <w:vAlign w:val="bottom"/>
            <w:hideMark/>
          </w:tcPr>
          <w:p w14:paraId="08403C5C"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121</w:t>
            </w:r>
          </w:p>
        </w:tc>
        <w:tc>
          <w:tcPr>
            <w:tcW w:w="1343" w:type="dxa"/>
            <w:tcBorders>
              <w:top w:val="nil"/>
              <w:left w:val="nil"/>
              <w:bottom w:val="single" w:sz="8" w:space="0" w:color="auto"/>
              <w:right w:val="single" w:sz="4" w:space="0" w:color="auto"/>
            </w:tcBorders>
            <w:noWrap/>
            <w:vAlign w:val="bottom"/>
            <w:hideMark/>
          </w:tcPr>
          <w:p w14:paraId="23585CC1"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0</w:t>
            </w:r>
          </w:p>
        </w:tc>
        <w:tc>
          <w:tcPr>
            <w:tcW w:w="935" w:type="dxa"/>
            <w:tcBorders>
              <w:top w:val="nil"/>
              <w:left w:val="nil"/>
              <w:bottom w:val="single" w:sz="8" w:space="0" w:color="auto"/>
              <w:right w:val="single" w:sz="4" w:space="0" w:color="auto"/>
            </w:tcBorders>
            <w:noWrap/>
            <w:vAlign w:val="bottom"/>
            <w:hideMark/>
          </w:tcPr>
          <w:p w14:paraId="0FEB2EF5"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3 292</w:t>
            </w:r>
          </w:p>
        </w:tc>
        <w:tc>
          <w:tcPr>
            <w:tcW w:w="877" w:type="dxa"/>
            <w:tcBorders>
              <w:top w:val="nil"/>
              <w:left w:val="nil"/>
              <w:bottom w:val="single" w:sz="8" w:space="0" w:color="auto"/>
              <w:right w:val="single" w:sz="8" w:space="0" w:color="auto"/>
            </w:tcBorders>
            <w:noWrap/>
            <w:vAlign w:val="bottom"/>
            <w:hideMark/>
          </w:tcPr>
          <w:p w14:paraId="4C75347C"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625</w:t>
            </w:r>
          </w:p>
        </w:tc>
      </w:tr>
    </w:tbl>
    <w:p w14:paraId="7AEA02C3" w14:textId="6BC60F56" w:rsidR="00F95196" w:rsidRPr="00F95196" w:rsidRDefault="00F95196" w:rsidP="009E3AD8">
      <w:pPr>
        <w:spacing w:line="276" w:lineRule="auto"/>
        <w:ind w:firstLine="720"/>
        <w:jc w:val="both"/>
        <w:rPr>
          <w:rFonts w:ascii="Calibri" w:hAnsi="Calibri" w:cs="Calibri"/>
          <w:sz w:val="26"/>
          <w:szCs w:val="26"/>
        </w:rPr>
      </w:pPr>
      <w:r w:rsidRPr="00F95196">
        <w:rPr>
          <w:rFonts w:ascii="Calibri" w:hAnsi="Calibri" w:cs="Calibri"/>
          <w:sz w:val="26"/>
          <w:szCs w:val="26"/>
        </w:rPr>
        <w:t xml:space="preserve">Din prezentarea datelor statistice se remarcă o </w:t>
      </w:r>
      <w:r w:rsidRPr="00F95196">
        <w:rPr>
          <w:rFonts w:ascii="Calibri" w:hAnsi="Calibri" w:cs="Calibri"/>
          <w:color w:val="000000" w:themeColor="text1"/>
          <w:sz w:val="26"/>
          <w:szCs w:val="26"/>
        </w:rPr>
        <w:t>diminuare</w:t>
      </w:r>
      <w:r w:rsidRPr="00F95196">
        <w:rPr>
          <w:rFonts w:ascii="Calibri" w:hAnsi="Calibri" w:cs="Calibri"/>
          <w:sz w:val="26"/>
          <w:szCs w:val="26"/>
        </w:rPr>
        <w:t xml:space="preserve"> a creditelor bugetare alocate în anul 2025 comparativ cu anul 2024 atât pentru Consiliul Superior al Magistraturii</w:t>
      </w:r>
      <w:r w:rsidR="00B443D6">
        <w:rPr>
          <w:rFonts w:ascii="Calibri" w:hAnsi="Calibri" w:cs="Calibri"/>
          <w:sz w:val="26"/>
          <w:szCs w:val="26"/>
        </w:rPr>
        <w:t xml:space="preserve">, </w:t>
      </w:r>
      <w:r w:rsidRPr="00F95196">
        <w:rPr>
          <w:rFonts w:ascii="Calibri" w:hAnsi="Calibri" w:cs="Calibri"/>
          <w:sz w:val="26"/>
          <w:szCs w:val="26"/>
        </w:rPr>
        <w:t xml:space="preserve">cât și pentru </w:t>
      </w:r>
      <w:bookmarkStart w:id="127" w:name="_Toc462750070"/>
      <w:r w:rsidRPr="00F95196">
        <w:rPr>
          <w:rFonts w:ascii="Calibri" w:hAnsi="Calibri" w:cs="Calibri"/>
          <w:sz w:val="26"/>
          <w:szCs w:val="26"/>
        </w:rPr>
        <w:t xml:space="preserve">instituțiile aflate în coordonarea </w:t>
      </w:r>
      <w:r w:rsidR="009C37E0">
        <w:rPr>
          <w:rFonts w:ascii="Calibri" w:hAnsi="Calibri" w:cs="Calibri"/>
          <w:sz w:val="26"/>
          <w:szCs w:val="26"/>
        </w:rPr>
        <w:t>C.S.M.</w:t>
      </w:r>
      <w:r w:rsidR="00FB1CDB">
        <w:rPr>
          <w:rFonts w:ascii="Calibri" w:hAnsi="Calibri" w:cs="Calibri"/>
          <w:sz w:val="26"/>
          <w:szCs w:val="26"/>
        </w:rPr>
        <w:t>,</w:t>
      </w:r>
      <w:r w:rsidRPr="00F95196">
        <w:rPr>
          <w:rFonts w:ascii="Calibri" w:hAnsi="Calibri" w:cs="Calibri"/>
          <w:sz w:val="26"/>
          <w:szCs w:val="26"/>
        </w:rPr>
        <w:t xml:space="preserve"> Școala Naționala de Grefieri înregistr</w:t>
      </w:r>
      <w:r w:rsidR="009C37E0">
        <w:rPr>
          <w:rFonts w:ascii="Calibri" w:hAnsi="Calibri" w:cs="Calibri"/>
          <w:sz w:val="26"/>
          <w:szCs w:val="26"/>
        </w:rPr>
        <w:t>â</w:t>
      </w:r>
      <w:r w:rsidRPr="00F95196">
        <w:rPr>
          <w:rFonts w:ascii="Calibri" w:hAnsi="Calibri" w:cs="Calibri"/>
          <w:sz w:val="26"/>
          <w:szCs w:val="26"/>
        </w:rPr>
        <w:t>nd o majorare generată de creșterea numarului de cursanți.</w:t>
      </w:r>
    </w:p>
    <w:p w14:paraId="500F0857" w14:textId="063E33DC" w:rsidR="00F95196" w:rsidRPr="00F95196" w:rsidRDefault="00712653" w:rsidP="009E3AD8">
      <w:pPr>
        <w:keepNext/>
        <w:tabs>
          <w:tab w:val="left" w:pos="709"/>
          <w:tab w:val="left" w:pos="851"/>
          <w:tab w:val="left" w:pos="993"/>
        </w:tabs>
        <w:spacing w:line="276" w:lineRule="auto"/>
        <w:jc w:val="both"/>
        <w:outlineLvl w:val="1"/>
        <w:rPr>
          <w:rFonts w:ascii="Calibri" w:hAnsi="Calibri" w:cs="Calibri"/>
          <w:sz w:val="26"/>
          <w:szCs w:val="26"/>
        </w:rPr>
      </w:pPr>
      <w:r>
        <w:rPr>
          <w:rFonts w:ascii="Calibri" w:hAnsi="Calibri" w:cs="Calibri"/>
          <w:b/>
          <w:sz w:val="26"/>
          <w:szCs w:val="26"/>
        </w:rPr>
        <w:tab/>
      </w:r>
      <w:bookmarkStart w:id="128" w:name="_Toc219287971"/>
      <w:r w:rsidR="00F95196" w:rsidRPr="00F95196">
        <w:rPr>
          <w:rFonts w:ascii="Calibri" w:hAnsi="Calibri" w:cs="Calibri"/>
          <w:b/>
          <w:sz w:val="26"/>
          <w:szCs w:val="26"/>
        </w:rPr>
        <w:t>V.2.</w:t>
      </w:r>
      <w:r w:rsidR="00F95196" w:rsidRPr="00F95196">
        <w:rPr>
          <w:rFonts w:ascii="Calibri" w:hAnsi="Calibri" w:cs="Calibri"/>
          <w:b/>
          <w:sz w:val="26"/>
          <w:szCs w:val="26"/>
        </w:rPr>
        <w:tab/>
        <w:t>Structura bugetului pe anul 20</w:t>
      </w:r>
      <w:bookmarkEnd w:id="127"/>
      <w:r w:rsidR="00F95196" w:rsidRPr="00F95196">
        <w:rPr>
          <w:rFonts w:ascii="Calibri" w:hAnsi="Calibri" w:cs="Calibri"/>
          <w:b/>
          <w:sz w:val="26"/>
          <w:szCs w:val="26"/>
        </w:rPr>
        <w:t>2</w:t>
      </w:r>
      <w:r w:rsidR="00660F79">
        <w:rPr>
          <w:rFonts w:ascii="Calibri" w:hAnsi="Calibri" w:cs="Calibri"/>
          <w:b/>
          <w:sz w:val="26"/>
          <w:szCs w:val="26"/>
        </w:rPr>
        <w:t>5</w:t>
      </w:r>
      <w:bookmarkEnd w:id="128"/>
    </w:p>
    <w:p w14:paraId="36D8B281" w14:textId="77777777" w:rsidR="00F95196" w:rsidRPr="00B443D6" w:rsidRDefault="00F95196" w:rsidP="009E3AD8">
      <w:pPr>
        <w:spacing w:line="276" w:lineRule="auto"/>
        <w:ind w:firstLine="720"/>
        <w:jc w:val="both"/>
        <w:rPr>
          <w:rFonts w:ascii="Calibri" w:hAnsi="Calibri" w:cs="Calibri"/>
          <w:bCs/>
          <w:sz w:val="26"/>
          <w:szCs w:val="26"/>
        </w:rPr>
      </w:pPr>
      <w:r w:rsidRPr="00F95196">
        <w:rPr>
          <w:rFonts w:ascii="Calibri" w:hAnsi="Calibri" w:cs="Calibri"/>
          <w:sz w:val="26"/>
          <w:szCs w:val="26"/>
        </w:rPr>
        <w:t xml:space="preserve">Potrivit bugetului de stat aprobat prin Legea nr. 9/2025, Programul de cheltuieli pentru anul 2025, ce a susţinut financiar atât activitatea curentă a Consiliului Superior al  Magistraturii cu unităţile aflate în coordonarea sa, cât şi derularea activităţilor cu privire la Planul de acţiune privind Reforma în justiţie, este în valoare totală de </w:t>
      </w:r>
      <w:r w:rsidRPr="00B443D6">
        <w:rPr>
          <w:rFonts w:ascii="Calibri" w:hAnsi="Calibri" w:cs="Calibri"/>
          <w:bCs/>
          <w:sz w:val="26"/>
          <w:szCs w:val="26"/>
        </w:rPr>
        <w:t>281.040 mii lei credite de angajament și 276.186 mii lei credite bugetare.</w:t>
      </w:r>
    </w:p>
    <w:p w14:paraId="3244BE07" w14:textId="77777777" w:rsidR="00F95196" w:rsidRPr="00F95196" w:rsidRDefault="00F95196" w:rsidP="009E3AD8">
      <w:pPr>
        <w:spacing w:line="276" w:lineRule="auto"/>
        <w:ind w:firstLine="720"/>
        <w:jc w:val="both"/>
        <w:rPr>
          <w:rFonts w:ascii="Calibri" w:hAnsi="Calibri" w:cs="Calibri"/>
          <w:sz w:val="26"/>
          <w:szCs w:val="26"/>
        </w:rPr>
      </w:pPr>
      <w:r w:rsidRPr="00F95196">
        <w:rPr>
          <w:rFonts w:ascii="Calibri" w:hAnsi="Calibri" w:cs="Calibri"/>
          <w:sz w:val="26"/>
          <w:szCs w:val="26"/>
        </w:rPr>
        <w:t>Creditele angajament și creditele bugetare sunt constituite potrivit legislaţiei ce reglementează finanţarea activităţii şi sunt reprezentate în structură astfel:</w:t>
      </w:r>
    </w:p>
    <w:p w14:paraId="123AF11B" w14:textId="77777777" w:rsidR="00F95196" w:rsidRPr="00F95196" w:rsidRDefault="00F95196" w:rsidP="009E3AD8">
      <w:pPr>
        <w:tabs>
          <w:tab w:val="left" w:pos="284"/>
        </w:tabs>
        <w:spacing w:line="276" w:lineRule="auto"/>
        <w:ind w:left="768"/>
        <w:contextualSpacing/>
        <w:jc w:val="both"/>
        <w:rPr>
          <w:rFonts w:ascii="Calibri" w:hAnsi="Calibri" w:cs="Calibri"/>
          <w:sz w:val="26"/>
          <w:szCs w:val="26"/>
        </w:rPr>
      </w:pPr>
    </w:p>
    <w:p w14:paraId="7A40551F" w14:textId="77777777" w:rsidR="00F95196" w:rsidRPr="00F95196" w:rsidRDefault="00F95196" w:rsidP="00281400">
      <w:pPr>
        <w:numPr>
          <w:ilvl w:val="0"/>
          <w:numId w:val="7"/>
        </w:numPr>
        <w:tabs>
          <w:tab w:val="left" w:pos="284"/>
        </w:tabs>
        <w:spacing w:line="276" w:lineRule="auto"/>
        <w:ind w:hanging="342"/>
        <w:contextualSpacing/>
        <w:jc w:val="both"/>
        <w:rPr>
          <w:rFonts w:ascii="Calibri" w:hAnsi="Calibri" w:cs="Calibri"/>
          <w:sz w:val="26"/>
          <w:szCs w:val="26"/>
        </w:rPr>
      </w:pPr>
      <w:r w:rsidRPr="00F95196">
        <w:rPr>
          <w:rFonts w:ascii="Calibri" w:hAnsi="Calibri" w:cs="Calibri"/>
          <w:sz w:val="26"/>
          <w:szCs w:val="26"/>
        </w:rPr>
        <w:lastRenderedPageBreak/>
        <w:t xml:space="preserve">gs Ch. Personal CA,CB = </w:t>
      </w:r>
      <m:oMath>
        <m:f>
          <m:fPr>
            <m:ctrlPr>
              <w:rPr>
                <w:rFonts w:ascii="Cambria Math" w:hAnsi="Cambria Math" w:cs="Calibri"/>
                <w:sz w:val="26"/>
                <w:szCs w:val="26"/>
              </w:rPr>
            </m:ctrlPr>
          </m:fPr>
          <m:num>
            <m:r>
              <w:rPr>
                <w:rFonts w:ascii="Cambria Math" w:hAnsi="Cambria Math" w:cs="Calibri"/>
                <w:sz w:val="26"/>
                <w:szCs w:val="26"/>
              </w:rPr>
              <m:t>Cheltuieli de personal</m:t>
            </m:r>
          </m:num>
          <m:den>
            <m:r>
              <w:rPr>
                <w:rFonts w:ascii="Cambria Math" w:hAnsi="Cambria Math" w:cs="Calibri"/>
                <w:sz w:val="26"/>
                <w:szCs w:val="26"/>
              </w:rPr>
              <m:t>Buget total</m:t>
            </m:r>
          </m:den>
        </m:f>
        <m:r>
          <w:rPr>
            <w:rFonts w:ascii="Cambria Math" w:hAnsi="Cambria Math" w:cs="Calibri"/>
            <w:sz w:val="26"/>
            <w:szCs w:val="26"/>
          </w:rPr>
          <m:t>x 100</m:t>
        </m:r>
      </m:oMath>
      <w:r w:rsidRPr="00F95196">
        <w:rPr>
          <w:rFonts w:ascii="Calibri" w:hAnsi="Calibri" w:cs="Calibri"/>
          <w:sz w:val="26"/>
          <w:szCs w:val="26"/>
        </w:rPr>
        <w:t>;</w:t>
      </w:r>
    </w:p>
    <w:p w14:paraId="110E8EEF" w14:textId="77777777" w:rsidR="00F95196" w:rsidRPr="00F95196" w:rsidRDefault="00F95196" w:rsidP="009E3AD8">
      <w:pPr>
        <w:tabs>
          <w:tab w:val="left" w:pos="284"/>
        </w:tabs>
        <w:spacing w:line="276" w:lineRule="auto"/>
        <w:ind w:left="768"/>
        <w:contextualSpacing/>
        <w:jc w:val="both"/>
        <w:rPr>
          <w:rFonts w:ascii="Calibri" w:hAnsi="Calibri" w:cs="Calibri"/>
          <w:sz w:val="26"/>
          <w:szCs w:val="26"/>
        </w:rPr>
      </w:pPr>
    </w:p>
    <w:p w14:paraId="768E2649" w14:textId="77777777" w:rsidR="00F95196" w:rsidRPr="00F95196" w:rsidRDefault="00F95196" w:rsidP="00281400">
      <w:pPr>
        <w:numPr>
          <w:ilvl w:val="0"/>
          <w:numId w:val="7"/>
        </w:numPr>
        <w:tabs>
          <w:tab w:val="left" w:pos="284"/>
        </w:tabs>
        <w:spacing w:line="276" w:lineRule="auto"/>
        <w:ind w:hanging="342"/>
        <w:contextualSpacing/>
        <w:jc w:val="both"/>
        <w:rPr>
          <w:rFonts w:ascii="Calibri" w:hAnsi="Calibri" w:cs="Calibri"/>
          <w:sz w:val="26"/>
          <w:szCs w:val="26"/>
        </w:rPr>
      </w:pPr>
      <w:r w:rsidRPr="00F95196">
        <w:rPr>
          <w:rFonts w:ascii="Calibri" w:hAnsi="Calibri" w:cs="Calibri"/>
          <w:sz w:val="26"/>
          <w:szCs w:val="26"/>
        </w:rPr>
        <w:t xml:space="preserve">gs Ch. Materiale CA,CB  = </w:t>
      </w:r>
      <m:oMath>
        <m:f>
          <m:fPr>
            <m:ctrlPr>
              <w:rPr>
                <w:rFonts w:ascii="Cambria Math" w:hAnsi="Cambria Math" w:cs="Calibri"/>
                <w:sz w:val="26"/>
                <w:szCs w:val="26"/>
              </w:rPr>
            </m:ctrlPr>
          </m:fPr>
          <m:num>
            <m:r>
              <w:rPr>
                <w:rFonts w:ascii="Cambria Math" w:hAnsi="Cambria Math" w:cs="Calibri"/>
                <w:sz w:val="26"/>
                <w:szCs w:val="26"/>
              </w:rPr>
              <m:t>Cheltuieli</m:t>
            </m:r>
            <m:r>
              <m:rPr>
                <m:sty m:val="p"/>
              </m:rPr>
              <w:rPr>
                <w:rFonts w:ascii="Cambria Math" w:hAnsi="Cambria Math" w:cs="Calibri"/>
                <w:sz w:val="26"/>
                <w:szCs w:val="26"/>
              </w:rPr>
              <m:t xml:space="preserve"> </m:t>
            </m:r>
            <m:r>
              <w:rPr>
                <w:rFonts w:ascii="Cambria Math" w:hAnsi="Cambria Math" w:cs="Calibri"/>
                <w:sz w:val="26"/>
                <w:szCs w:val="26"/>
              </w:rPr>
              <m:t>materiale</m:t>
            </m:r>
          </m:num>
          <m:den>
            <m:r>
              <w:rPr>
                <w:rFonts w:ascii="Cambria Math" w:hAnsi="Cambria Math" w:cs="Calibri"/>
                <w:sz w:val="26"/>
                <w:szCs w:val="26"/>
              </w:rPr>
              <m:t>Buget</m:t>
            </m:r>
            <m:r>
              <m:rPr>
                <m:sty m:val="p"/>
              </m:rPr>
              <w:rPr>
                <w:rFonts w:ascii="Cambria Math" w:hAnsi="Cambria Math" w:cs="Calibri"/>
                <w:sz w:val="26"/>
                <w:szCs w:val="26"/>
              </w:rPr>
              <m:t xml:space="preserve"> </m:t>
            </m:r>
            <m:r>
              <w:rPr>
                <w:rFonts w:ascii="Cambria Math" w:hAnsi="Cambria Math" w:cs="Calibri"/>
                <w:sz w:val="26"/>
                <w:szCs w:val="26"/>
              </w:rPr>
              <m:t>total</m:t>
            </m:r>
          </m:den>
        </m:f>
        <m:r>
          <w:rPr>
            <w:rFonts w:ascii="Cambria Math" w:hAnsi="Cambria Math" w:cs="Calibri"/>
            <w:sz w:val="26"/>
            <w:szCs w:val="26"/>
          </w:rPr>
          <m:t>x</m:t>
        </m:r>
        <m:r>
          <m:rPr>
            <m:sty m:val="p"/>
          </m:rPr>
          <w:rPr>
            <w:rFonts w:ascii="Cambria Math" w:hAnsi="Cambria Math" w:cs="Calibri"/>
            <w:sz w:val="26"/>
            <w:szCs w:val="26"/>
          </w:rPr>
          <m:t xml:space="preserve"> 100</m:t>
        </m:r>
      </m:oMath>
      <w:r w:rsidRPr="00F95196">
        <w:rPr>
          <w:rFonts w:ascii="Calibri" w:hAnsi="Calibri" w:cs="Calibri"/>
          <w:sz w:val="26"/>
          <w:szCs w:val="26"/>
        </w:rPr>
        <w:t>;</w:t>
      </w:r>
    </w:p>
    <w:p w14:paraId="465FB8F4" w14:textId="77777777" w:rsidR="00F95196" w:rsidRPr="00F95196" w:rsidRDefault="00F95196" w:rsidP="009E3AD8">
      <w:pPr>
        <w:tabs>
          <w:tab w:val="left" w:pos="284"/>
        </w:tabs>
        <w:spacing w:line="276" w:lineRule="auto"/>
        <w:ind w:left="768"/>
        <w:contextualSpacing/>
        <w:jc w:val="both"/>
        <w:rPr>
          <w:rFonts w:ascii="Calibri" w:hAnsi="Calibri" w:cs="Calibri"/>
          <w:sz w:val="26"/>
          <w:szCs w:val="26"/>
        </w:rPr>
      </w:pPr>
    </w:p>
    <w:p w14:paraId="61473AFC" w14:textId="77777777" w:rsidR="00F95196" w:rsidRPr="00F95196" w:rsidRDefault="00F95196" w:rsidP="00281400">
      <w:pPr>
        <w:numPr>
          <w:ilvl w:val="0"/>
          <w:numId w:val="7"/>
        </w:numPr>
        <w:tabs>
          <w:tab w:val="left" w:pos="284"/>
        </w:tabs>
        <w:spacing w:line="276" w:lineRule="auto"/>
        <w:ind w:hanging="342"/>
        <w:contextualSpacing/>
        <w:jc w:val="both"/>
        <w:rPr>
          <w:rFonts w:ascii="Calibri" w:hAnsi="Calibri" w:cs="Calibri"/>
          <w:sz w:val="26"/>
          <w:szCs w:val="26"/>
        </w:rPr>
      </w:pPr>
      <w:r w:rsidRPr="00F95196">
        <w:rPr>
          <w:rFonts w:ascii="Calibri" w:hAnsi="Calibri" w:cs="Calibri"/>
          <w:sz w:val="26"/>
          <w:szCs w:val="26"/>
        </w:rPr>
        <w:t xml:space="preserve">gs Ch. Transferuri CA,CB = </w:t>
      </w:r>
      <m:oMath>
        <m:f>
          <m:fPr>
            <m:ctrlPr>
              <w:rPr>
                <w:rFonts w:ascii="Cambria Math" w:hAnsi="Cambria Math" w:cs="Calibri"/>
                <w:sz w:val="26"/>
                <w:szCs w:val="26"/>
              </w:rPr>
            </m:ctrlPr>
          </m:fPr>
          <m:num>
            <m:eqArr>
              <m:eqArrPr>
                <m:ctrlPr>
                  <w:rPr>
                    <w:rFonts w:ascii="Cambria Math" w:hAnsi="Cambria Math" w:cs="Calibri"/>
                    <w:i/>
                    <w:sz w:val="26"/>
                    <w:szCs w:val="26"/>
                  </w:rPr>
                </m:ctrlPr>
              </m:eqArrPr>
              <m:e>
                <m:r>
                  <w:rPr>
                    <w:rFonts w:ascii="Cambria Math" w:hAnsi="Cambria Math" w:cs="Calibri"/>
                    <w:sz w:val="26"/>
                    <w:szCs w:val="26"/>
                  </w:rPr>
                  <m:t>Cheltuieli privind</m:t>
                </m:r>
              </m:e>
              <m:e>
                <m:r>
                  <w:rPr>
                    <w:rFonts w:ascii="Cambria Math" w:hAnsi="Cambria Math" w:cs="Calibri"/>
                    <w:sz w:val="26"/>
                    <w:szCs w:val="26"/>
                  </w:rPr>
                  <m:t xml:space="preserve"> transferurile</m:t>
                </m:r>
              </m:e>
            </m:eqArr>
          </m:num>
          <m:den>
            <m:r>
              <w:rPr>
                <w:rFonts w:ascii="Cambria Math" w:hAnsi="Cambria Math" w:cs="Calibri"/>
                <w:sz w:val="26"/>
                <w:szCs w:val="26"/>
              </w:rPr>
              <m:t>Buget total</m:t>
            </m:r>
          </m:den>
        </m:f>
        <m:r>
          <w:rPr>
            <w:rFonts w:ascii="Cambria Math" w:hAnsi="Cambria Math" w:cs="Calibri"/>
            <w:sz w:val="26"/>
            <w:szCs w:val="26"/>
          </w:rPr>
          <m:t>x 100</m:t>
        </m:r>
      </m:oMath>
      <w:r w:rsidRPr="00F95196">
        <w:rPr>
          <w:rFonts w:ascii="Calibri" w:hAnsi="Calibri" w:cs="Calibri"/>
          <w:sz w:val="26"/>
          <w:szCs w:val="26"/>
        </w:rPr>
        <w:t>;</w:t>
      </w:r>
    </w:p>
    <w:p w14:paraId="04AEC74B" w14:textId="77777777" w:rsidR="00F95196" w:rsidRPr="00F95196" w:rsidRDefault="00F95196" w:rsidP="009E3AD8">
      <w:pPr>
        <w:tabs>
          <w:tab w:val="left" w:pos="284"/>
        </w:tabs>
        <w:spacing w:line="276" w:lineRule="auto"/>
        <w:ind w:left="768"/>
        <w:contextualSpacing/>
        <w:jc w:val="both"/>
        <w:rPr>
          <w:rFonts w:ascii="Calibri" w:hAnsi="Calibri" w:cs="Calibri"/>
          <w:sz w:val="26"/>
          <w:szCs w:val="26"/>
        </w:rPr>
      </w:pPr>
    </w:p>
    <w:p w14:paraId="40203162" w14:textId="77777777" w:rsidR="00F95196" w:rsidRPr="00F95196" w:rsidRDefault="00F95196" w:rsidP="00281400">
      <w:pPr>
        <w:numPr>
          <w:ilvl w:val="0"/>
          <w:numId w:val="7"/>
        </w:numPr>
        <w:tabs>
          <w:tab w:val="left" w:pos="284"/>
        </w:tabs>
        <w:spacing w:line="276" w:lineRule="auto"/>
        <w:ind w:hanging="342"/>
        <w:contextualSpacing/>
        <w:jc w:val="both"/>
        <w:rPr>
          <w:rFonts w:ascii="Calibri" w:hAnsi="Calibri" w:cs="Calibri"/>
          <w:sz w:val="26"/>
          <w:szCs w:val="26"/>
        </w:rPr>
      </w:pPr>
      <w:r w:rsidRPr="00F95196">
        <w:rPr>
          <w:rFonts w:ascii="Calibri" w:hAnsi="Calibri" w:cs="Calibri"/>
          <w:sz w:val="26"/>
          <w:szCs w:val="26"/>
        </w:rPr>
        <w:t xml:space="preserve">gs Ch. Alte transferuri CA,CB = </w:t>
      </w:r>
      <m:oMath>
        <m:f>
          <m:fPr>
            <m:ctrlPr>
              <w:rPr>
                <w:rFonts w:ascii="Cambria Math" w:hAnsi="Cambria Math" w:cs="Calibri"/>
                <w:sz w:val="26"/>
                <w:szCs w:val="26"/>
              </w:rPr>
            </m:ctrlPr>
          </m:fPr>
          <m:num>
            <m:eqArr>
              <m:eqArrPr>
                <m:ctrlPr>
                  <w:rPr>
                    <w:rFonts w:ascii="Cambria Math" w:hAnsi="Cambria Math" w:cs="Calibri"/>
                    <w:i/>
                    <w:sz w:val="26"/>
                    <w:szCs w:val="26"/>
                  </w:rPr>
                </m:ctrlPr>
              </m:eqArrPr>
              <m:e>
                <m:r>
                  <w:rPr>
                    <w:rFonts w:ascii="Cambria Math" w:hAnsi="Cambria Math" w:cs="Calibri"/>
                    <w:sz w:val="26"/>
                    <w:szCs w:val="26"/>
                  </w:rPr>
                  <m:t>Cheltuieli privind</m:t>
                </m:r>
              </m:e>
              <m:e>
                <m:r>
                  <w:rPr>
                    <w:rFonts w:ascii="Cambria Math" w:hAnsi="Cambria Math" w:cs="Calibri"/>
                    <w:sz w:val="26"/>
                    <w:szCs w:val="26"/>
                  </w:rPr>
                  <m:t xml:space="preserve"> alte transferurile</m:t>
                </m:r>
              </m:e>
            </m:eqArr>
          </m:num>
          <m:den>
            <m:r>
              <w:rPr>
                <w:rFonts w:ascii="Cambria Math" w:hAnsi="Cambria Math" w:cs="Calibri"/>
                <w:sz w:val="26"/>
                <w:szCs w:val="26"/>
              </w:rPr>
              <m:t>Buget total</m:t>
            </m:r>
          </m:den>
        </m:f>
        <m:r>
          <w:rPr>
            <w:rFonts w:ascii="Cambria Math" w:hAnsi="Cambria Math" w:cs="Calibri"/>
            <w:sz w:val="26"/>
            <w:szCs w:val="26"/>
          </w:rPr>
          <m:t>x 100</m:t>
        </m:r>
      </m:oMath>
      <w:r w:rsidRPr="00F95196">
        <w:rPr>
          <w:rFonts w:ascii="Calibri" w:hAnsi="Calibri" w:cs="Calibri"/>
          <w:sz w:val="26"/>
          <w:szCs w:val="26"/>
        </w:rPr>
        <w:t>;</w:t>
      </w:r>
    </w:p>
    <w:p w14:paraId="2E134BBA" w14:textId="62FF8DD6" w:rsidR="00F95196" w:rsidRDefault="00F95196" w:rsidP="00281400">
      <w:pPr>
        <w:numPr>
          <w:ilvl w:val="0"/>
          <w:numId w:val="7"/>
        </w:numPr>
        <w:tabs>
          <w:tab w:val="left" w:pos="284"/>
        </w:tabs>
        <w:spacing w:line="276" w:lineRule="auto"/>
        <w:ind w:hanging="342"/>
        <w:contextualSpacing/>
        <w:jc w:val="both"/>
        <w:rPr>
          <w:rFonts w:ascii="Calibri" w:hAnsi="Calibri" w:cs="Calibri"/>
          <w:sz w:val="26"/>
          <w:szCs w:val="26"/>
        </w:rPr>
      </w:pPr>
      <w:r w:rsidRPr="00F95196">
        <w:rPr>
          <w:rFonts w:ascii="Calibri" w:hAnsi="Calibri" w:cs="Calibri"/>
          <w:sz w:val="26"/>
          <w:szCs w:val="26"/>
        </w:rPr>
        <w:t>gs Ch. Proiecte cu finantare din FEN postaderare CA,CB  =</w:t>
      </w:r>
      <m:oMath>
        <m:r>
          <w:rPr>
            <w:rFonts w:ascii="Cambria Math" w:hAnsi="Cambria Math" w:cs="Calibri"/>
            <w:sz w:val="26"/>
            <w:szCs w:val="26"/>
          </w:rPr>
          <m:t xml:space="preserve"> </m:t>
        </m:r>
        <m:f>
          <m:fPr>
            <m:ctrlPr>
              <w:rPr>
                <w:rFonts w:ascii="Cambria Math" w:hAnsi="Cambria Math" w:cs="Calibri"/>
                <w:sz w:val="26"/>
                <w:szCs w:val="26"/>
              </w:rPr>
            </m:ctrlPr>
          </m:fPr>
          <m:num>
            <m:eqArr>
              <m:eqArrPr>
                <m:ctrlPr>
                  <w:rPr>
                    <w:rFonts w:ascii="Cambria Math" w:hAnsi="Cambria Math" w:cs="Calibri"/>
                    <w:i/>
                    <w:sz w:val="26"/>
                    <w:szCs w:val="26"/>
                  </w:rPr>
                </m:ctrlPr>
              </m:eqArrPr>
              <m:e>
                <m:eqArr>
                  <m:eqArrPr>
                    <m:ctrlPr>
                      <w:rPr>
                        <w:rFonts w:ascii="Cambria Math" w:hAnsi="Cambria Math" w:cs="Calibri"/>
                        <w:i/>
                        <w:sz w:val="26"/>
                        <w:szCs w:val="26"/>
                      </w:rPr>
                    </m:ctrlPr>
                  </m:eqArrPr>
                  <m:e>
                    <m:r>
                      <w:rPr>
                        <w:rFonts w:ascii="Cambria Math" w:hAnsi="Cambria Math" w:cs="Calibri"/>
                        <w:sz w:val="26"/>
                        <w:szCs w:val="26"/>
                      </w:rPr>
                      <m:t>Cheltuieli privind proiectele</m:t>
                    </m:r>
                  </m:e>
                </m:eqArr>
              </m:e>
              <m:e>
                <m:r>
                  <w:rPr>
                    <w:rFonts w:ascii="Cambria Math" w:hAnsi="Cambria Math" w:cs="Calibri"/>
                    <w:sz w:val="26"/>
                    <w:szCs w:val="26"/>
                  </w:rPr>
                  <m:t>cu finanțare din FEN postaderare</m:t>
                </m:r>
              </m:e>
            </m:eqArr>
          </m:num>
          <m:den>
            <m:r>
              <w:rPr>
                <w:rFonts w:ascii="Cambria Math" w:hAnsi="Cambria Math" w:cs="Calibri"/>
                <w:sz w:val="26"/>
                <w:szCs w:val="26"/>
              </w:rPr>
              <m:t>Buget total</m:t>
            </m:r>
          </m:den>
        </m:f>
        <m:r>
          <w:rPr>
            <w:rFonts w:ascii="Cambria Math" w:hAnsi="Cambria Math" w:cs="Calibri"/>
            <w:sz w:val="26"/>
            <w:szCs w:val="26"/>
          </w:rPr>
          <m:t xml:space="preserve">x 100; </m:t>
        </m:r>
      </m:oMath>
    </w:p>
    <w:p w14:paraId="00F12E7A" w14:textId="3AF510C1" w:rsidR="00AA27EF" w:rsidRPr="00AA27EF" w:rsidRDefault="00AA27EF" w:rsidP="00281400">
      <w:pPr>
        <w:numPr>
          <w:ilvl w:val="0"/>
          <w:numId w:val="7"/>
        </w:numPr>
        <w:tabs>
          <w:tab w:val="left" w:pos="284"/>
        </w:tabs>
        <w:spacing w:line="276" w:lineRule="auto"/>
        <w:ind w:hanging="342"/>
        <w:contextualSpacing/>
        <w:jc w:val="both"/>
        <w:rPr>
          <w:rFonts w:ascii="Calibri" w:hAnsi="Calibri" w:cs="Calibri"/>
          <w:sz w:val="26"/>
          <w:szCs w:val="26"/>
        </w:rPr>
      </w:pPr>
      <w:r w:rsidRPr="00AA27EF">
        <w:rPr>
          <w:rFonts w:ascii="Calibri" w:hAnsi="Calibri" w:cs="Calibri"/>
          <w:sz w:val="26"/>
          <w:szCs w:val="26"/>
        </w:rPr>
        <w:t xml:space="preserve">gs Ch. </w:t>
      </w:r>
      <w:r w:rsidRPr="00AA27EF">
        <w:rPr>
          <w:rFonts w:ascii="Calibri" w:hAnsi="Calibri" w:cs="Calibri"/>
          <w:color w:val="000000"/>
          <w:sz w:val="26"/>
          <w:szCs w:val="26"/>
        </w:rPr>
        <w:t xml:space="preserve">Proiecte cu finantare din FEN aferente cadrului financiar 2014-2020 </w:t>
      </w:r>
      <w:r w:rsidRPr="00AA27EF">
        <w:rPr>
          <w:rFonts w:ascii="Calibri" w:hAnsi="Calibri" w:cs="Calibri"/>
          <w:sz w:val="26"/>
          <w:szCs w:val="26"/>
        </w:rPr>
        <w:t xml:space="preserve">CA,CB </w:t>
      </w:r>
      <w:r w:rsidRPr="00F95196">
        <w:rPr>
          <w:rFonts w:ascii="Calibri" w:hAnsi="Calibri" w:cs="Calibri"/>
          <w:sz w:val="26"/>
          <w:szCs w:val="26"/>
        </w:rPr>
        <w:t>=</w:t>
      </w:r>
      <m:oMath>
        <m:r>
          <w:rPr>
            <w:rFonts w:ascii="Cambria Math" w:hAnsi="Cambria Math" w:cs="Calibri"/>
            <w:sz w:val="26"/>
            <w:szCs w:val="26"/>
          </w:rPr>
          <m:t xml:space="preserve"> </m:t>
        </m:r>
        <m:f>
          <m:fPr>
            <m:ctrlPr>
              <w:rPr>
                <w:rFonts w:ascii="Cambria Math" w:hAnsi="Cambria Math" w:cs="Calibri"/>
                <w:sz w:val="26"/>
                <w:szCs w:val="26"/>
              </w:rPr>
            </m:ctrlPr>
          </m:fPr>
          <m:num>
            <m:eqArr>
              <m:eqArrPr>
                <m:ctrlPr>
                  <w:rPr>
                    <w:rFonts w:ascii="Cambria Math" w:hAnsi="Cambria Math" w:cs="Calibri"/>
                    <w:i/>
                    <w:sz w:val="26"/>
                    <w:szCs w:val="26"/>
                  </w:rPr>
                </m:ctrlPr>
              </m:eqArrPr>
              <m:e>
                <m:eqArr>
                  <m:eqArrPr>
                    <m:ctrlPr>
                      <w:rPr>
                        <w:rFonts w:ascii="Cambria Math" w:hAnsi="Cambria Math" w:cs="Calibri"/>
                        <w:i/>
                        <w:sz w:val="26"/>
                        <w:szCs w:val="26"/>
                      </w:rPr>
                    </m:ctrlPr>
                  </m:eqArrPr>
                  <m:e>
                    <m:r>
                      <w:rPr>
                        <w:rFonts w:ascii="Cambria Math" w:hAnsi="Cambria Math" w:cs="Calibri"/>
                        <w:sz w:val="26"/>
                        <w:szCs w:val="26"/>
                      </w:rPr>
                      <m:t>Cheltuieli privind proiectele</m:t>
                    </m:r>
                  </m:e>
                </m:eqArr>
              </m:e>
              <m:e>
                <m:r>
                  <w:rPr>
                    <w:rFonts w:ascii="Cambria Math" w:hAnsi="Cambria Math" w:cs="Calibri"/>
                    <w:sz w:val="26"/>
                    <w:szCs w:val="26"/>
                  </w:rPr>
                  <m:t>cu finanțare din FEN postaderare</m:t>
                </m:r>
              </m:e>
            </m:eqArr>
          </m:num>
          <m:den>
            <m:r>
              <w:rPr>
                <w:rFonts w:ascii="Cambria Math" w:hAnsi="Cambria Math" w:cs="Calibri"/>
                <w:sz w:val="26"/>
                <w:szCs w:val="26"/>
              </w:rPr>
              <m:t>Buget total</m:t>
            </m:r>
          </m:den>
        </m:f>
        <m:r>
          <w:rPr>
            <w:rFonts w:ascii="Cambria Math" w:hAnsi="Cambria Math" w:cs="Calibri"/>
            <w:sz w:val="26"/>
            <w:szCs w:val="26"/>
          </w:rPr>
          <m:t xml:space="preserve">x 100; </m:t>
        </m:r>
      </m:oMath>
    </w:p>
    <w:p w14:paraId="354CF138" w14:textId="77777777" w:rsidR="00F95196" w:rsidRPr="00F95196" w:rsidRDefault="00F95196" w:rsidP="009E3AD8">
      <w:pPr>
        <w:tabs>
          <w:tab w:val="left" w:pos="0"/>
        </w:tabs>
        <w:spacing w:line="276" w:lineRule="auto"/>
        <w:jc w:val="both"/>
        <w:rPr>
          <w:rFonts w:ascii="Calibri" w:hAnsi="Calibri" w:cs="Calibri"/>
          <w:sz w:val="26"/>
          <w:szCs w:val="26"/>
        </w:rPr>
      </w:pPr>
    </w:p>
    <w:p w14:paraId="7CF46B8A" w14:textId="77777777" w:rsidR="00F95196" w:rsidRPr="00F95196" w:rsidRDefault="00F95196" w:rsidP="00281400">
      <w:pPr>
        <w:numPr>
          <w:ilvl w:val="0"/>
          <w:numId w:val="8"/>
        </w:numPr>
        <w:tabs>
          <w:tab w:val="left" w:pos="0"/>
        </w:tabs>
        <w:spacing w:line="276" w:lineRule="auto"/>
        <w:ind w:hanging="294"/>
        <w:contextualSpacing/>
        <w:jc w:val="both"/>
        <w:rPr>
          <w:rFonts w:ascii="Calibri" w:hAnsi="Calibri" w:cs="Calibri"/>
          <w:sz w:val="26"/>
          <w:szCs w:val="26"/>
        </w:rPr>
      </w:pPr>
      <w:r w:rsidRPr="00F95196">
        <w:rPr>
          <w:rFonts w:ascii="Calibri" w:hAnsi="Calibri" w:cs="Calibri"/>
          <w:sz w:val="26"/>
          <w:szCs w:val="26"/>
        </w:rPr>
        <w:t xml:space="preserve">Alte cheltuieli CA,CB  = </w:t>
      </w:r>
      <m:oMath>
        <m:f>
          <m:fPr>
            <m:ctrlPr>
              <w:rPr>
                <w:rFonts w:ascii="Cambria Math" w:hAnsi="Cambria Math" w:cs="Calibri"/>
                <w:sz w:val="26"/>
                <w:szCs w:val="26"/>
              </w:rPr>
            </m:ctrlPr>
          </m:fPr>
          <m:num>
            <m:r>
              <w:rPr>
                <w:rFonts w:ascii="Cambria Math" w:hAnsi="Cambria Math" w:cs="Calibri"/>
                <w:sz w:val="26"/>
                <w:szCs w:val="26"/>
              </w:rPr>
              <m:t>Alte cheltuieli</m:t>
            </m:r>
          </m:num>
          <m:den>
            <m:r>
              <w:rPr>
                <w:rFonts w:ascii="Cambria Math" w:hAnsi="Cambria Math" w:cs="Calibri"/>
                <w:sz w:val="26"/>
                <w:szCs w:val="26"/>
              </w:rPr>
              <m:t>Buget total</m:t>
            </m:r>
          </m:den>
        </m:f>
        <m:r>
          <w:rPr>
            <w:rFonts w:ascii="Cambria Math" w:hAnsi="Cambria Math" w:cs="Calibri"/>
            <w:sz w:val="26"/>
            <w:szCs w:val="26"/>
          </w:rPr>
          <m:t>x 100</m:t>
        </m:r>
      </m:oMath>
      <w:r w:rsidRPr="00F95196">
        <w:rPr>
          <w:rFonts w:ascii="Calibri" w:hAnsi="Calibri" w:cs="Calibri"/>
          <w:sz w:val="26"/>
          <w:szCs w:val="26"/>
        </w:rPr>
        <w:t xml:space="preserve">; </w:t>
      </w:r>
    </w:p>
    <w:p w14:paraId="47CE864B" w14:textId="77777777" w:rsidR="00F95196" w:rsidRPr="00F95196" w:rsidRDefault="00F95196" w:rsidP="00281400">
      <w:pPr>
        <w:numPr>
          <w:ilvl w:val="0"/>
          <w:numId w:val="8"/>
        </w:numPr>
        <w:tabs>
          <w:tab w:val="left" w:pos="0"/>
        </w:tabs>
        <w:spacing w:line="276" w:lineRule="auto"/>
        <w:ind w:hanging="294"/>
        <w:contextualSpacing/>
        <w:jc w:val="both"/>
        <w:rPr>
          <w:rFonts w:ascii="Calibri" w:hAnsi="Calibri" w:cs="Calibri"/>
          <w:sz w:val="26"/>
          <w:szCs w:val="26"/>
        </w:rPr>
      </w:pPr>
      <w:r w:rsidRPr="00F95196">
        <w:rPr>
          <w:rFonts w:ascii="Calibri" w:hAnsi="Calibri" w:cs="Calibri"/>
          <w:sz w:val="26"/>
          <w:szCs w:val="26"/>
        </w:rPr>
        <w:t xml:space="preserve">Ch. de capital CA,CB  = </w:t>
      </w:r>
      <m:oMath>
        <m:f>
          <m:fPr>
            <m:ctrlPr>
              <w:rPr>
                <w:rFonts w:ascii="Cambria Math" w:hAnsi="Cambria Math" w:cs="Calibri"/>
                <w:sz w:val="26"/>
                <w:szCs w:val="26"/>
              </w:rPr>
            </m:ctrlPr>
          </m:fPr>
          <m:num>
            <m:r>
              <w:rPr>
                <w:rFonts w:ascii="Cambria Math" w:hAnsi="Cambria Math" w:cs="Calibri"/>
                <w:sz w:val="26"/>
                <w:szCs w:val="26"/>
              </w:rPr>
              <m:t>Cheltuieli de capital</m:t>
            </m:r>
          </m:num>
          <m:den>
            <m:r>
              <w:rPr>
                <w:rFonts w:ascii="Cambria Math" w:hAnsi="Cambria Math" w:cs="Calibri"/>
                <w:sz w:val="26"/>
                <w:szCs w:val="26"/>
              </w:rPr>
              <m:t>Buget total</m:t>
            </m:r>
          </m:den>
        </m:f>
        <m:r>
          <w:rPr>
            <w:rFonts w:ascii="Cambria Math" w:hAnsi="Cambria Math" w:cs="Calibri"/>
            <w:sz w:val="26"/>
            <w:szCs w:val="26"/>
          </w:rPr>
          <m:t>x 100;</m:t>
        </m:r>
      </m:oMath>
      <w:r w:rsidRPr="00F95196">
        <w:rPr>
          <w:rFonts w:ascii="Calibri" w:hAnsi="Calibri" w:cs="Calibri"/>
          <w:sz w:val="26"/>
          <w:szCs w:val="26"/>
        </w:rPr>
        <w:t xml:space="preserve">      </w:t>
      </w:r>
    </w:p>
    <w:p w14:paraId="5902BA25" w14:textId="77777777" w:rsidR="00F95196" w:rsidRPr="00F95196" w:rsidRDefault="00F95196" w:rsidP="009E3AD8">
      <w:pPr>
        <w:tabs>
          <w:tab w:val="left" w:pos="0"/>
        </w:tabs>
        <w:spacing w:line="276" w:lineRule="auto"/>
        <w:ind w:left="142"/>
        <w:jc w:val="both"/>
        <w:rPr>
          <w:rFonts w:ascii="Calibri" w:hAnsi="Calibri" w:cs="Calibri"/>
          <w:sz w:val="26"/>
          <w:szCs w:val="26"/>
        </w:rPr>
      </w:pPr>
      <w:r w:rsidRPr="00F95196">
        <w:rPr>
          <w:rFonts w:ascii="Calibri" w:hAnsi="Calibri" w:cs="Calibri"/>
          <w:sz w:val="26"/>
          <w:szCs w:val="26"/>
        </w:rPr>
        <w:t xml:space="preserve">  </w:t>
      </w:r>
    </w:p>
    <w:p w14:paraId="58AC018B" w14:textId="77777777" w:rsidR="00F95196" w:rsidRPr="00F95196" w:rsidRDefault="00F95196" w:rsidP="009E3AD8">
      <w:pPr>
        <w:spacing w:line="276" w:lineRule="auto"/>
        <w:jc w:val="both"/>
        <w:rPr>
          <w:rFonts w:ascii="Calibri" w:hAnsi="Calibri" w:cs="Calibri"/>
          <w:sz w:val="26"/>
          <w:szCs w:val="26"/>
        </w:rPr>
      </w:pPr>
      <w:r w:rsidRPr="00F95196">
        <w:rPr>
          <w:rFonts w:ascii="Calibri" w:hAnsi="Calibri" w:cs="Calibri"/>
          <w:sz w:val="26"/>
          <w:szCs w:val="26"/>
        </w:rPr>
        <w:t xml:space="preserve">  gs = ponderea indicatorului ales pentru analiză</w:t>
      </w:r>
    </w:p>
    <w:p w14:paraId="59C4251C" w14:textId="39E6EAE3" w:rsidR="00F95196" w:rsidRPr="00F95196" w:rsidRDefault="00F95196" w:rsidP="009E3AD8">
      <w:pPr>
        <w:tabs>
          <w:tab w:val="left" w:pos="708"/>
          <w:tab w:val="left" w:pos="1416"/>
          <w:tab w:val="left" w:pos="2124"/>
          <w:tab w:val="left" w:pos="2832"/>
          <w:tab w:val="left" w:pos="8085"/>
        </w:tabs>
        <w:spacing w:line="276" w:lineRule="auto"/>
        <w:jc w:val="both"/>
        <w:rPr>
          <w:rFonts w:ascii="Calibri" w:hAnsi="Calibri" w:cs="Calibri"/>
          <w:sz w:val="26"/>
          <w:szCs w:val="26"/>
        </w:rPr>
      </w:pPr>
      <w:r w:rsidRPr="00F95196">
        <w:rPr>
          <w:rFonts w:ascii="Calibri" w:hAnsi="Calibri" w:cs="Calibri"/>
          <w:sz w:val="26"/>
          <w:szCs w:val="26"/>
        </w:rPr>
        <w:t xml:space="preserve">   </w:t>
      </w:r>
      <w:r w:rsidRPr="00F95196">
        <w:rPr>
          <w:rFonts w:ascii="Calibri" w:hAnsi="Calibri" w:cs="Calibri"/>
          <w:b/>
          <w:sz w:val="26"/>
          <w:szCs w:val="26"/>
        </w:rPr>
        <w:t xml:space="preserve">  </w:t>
      </w:r>
      <w:r w:rsidRPr="00F95196">
        <w:rPr>
          <w:rFonts w:ascii="Calibri" w:hAnsi="Calibri" w:cs="Calibri"/>
          <w:b/>
          <w:sz w:val="26"/>
          <w:szCs w:val="26"/>
        </w:rPr>
        <w:tab/>
      </w:r>
      <w:r w:rsidRPr="00F95196">
        <w:rPr>
          <w:rFonts w:ascii="Calibri" w:hAnsi="Calibri" w:cs="Calibri"/>
          <w:b/>
          <w:sz w:val="26"/>
          <w:szCs w:val="26"/>
        </w:rPr>
        <w:tab/>
      </w:r>
      <w:r w:rsidRPr="00F95196">
        <w:rPr>
          <w:rFonts w:ascii="Calibri" w:hAnsi="Calibri" w:cs="Calibri"/>
          <w:b/>
          <w:sz w:val="26"/>
          <w:szCs w:val="26"/>
        </w:rPr>
        <w:tab/>
      </w:r>
      <w:r w:rsidRPr="00F95196">
        <w:rPr>
          <w:rFonts w:ascii="Calibri" w:hAnsi="Calibri" w:cs="Calibri"/>
          <w:b/>
          <w:sz w:val="26"/>
          <w:szCs w:val="26"/>
        </w:rPr>
        <w:tab/>
      </w:r>
      <w:r w:rsidRPr="00F95196">
        <w:rPr>
          <w:rFonts w:ascii="Calibri" w:hAnsi="Calibri" w:cs="Calibri"/>
          <w:b/>
          <w:sz w:val="26"/>
          <w:szCs w:val="26"/>
        </w:rPr>
        <w:tab/>
      </w:r>
      <w:r w:rsidR="00AA27EF">
        <w:rPr>
          <w:rFonts w:ascii="Calibri" w:hAnsi="Calibri" w:cs="Calibri"/>
          <w:b/>
          <w:sz w:val="26"/>
          <w:szCs w:val="26"/>
        </w:rPr>
        <w:t xml:space="preserve">            </w:t>
      </w:r>
      <w:r w:rsidRPr="00F95196">
        <w:rPr>
          <w:rFonts w:ascii="Calibri" w:hAnsi="Calibri" w:cs="Calibri"/>
          <w:b/>
          <w:sz w:val="26"/>
          <w:szCs w:val="26"/>
        </w:rPr>
        <w:t>mii lei</w:t>
      </w:r>
    </w:p>
    <w:tbl>
      <w:tblPr>
        <w:tblW w:w="9170" w:type="dxa"/>
        <w:jc w:val="center"/>
        <w:tblLook w:val="04A0" w:firstRow="1" w:lastRow="0" w:firstColumn="1" w:lastColumn="0" w:noHBand="0" w:noVBand="1"/>
      </w:tblPr>
      <w:tblGrid>
        <w:gridCol w:w="2900"/>
        <w:gridCol w:w="1680"/>
        <w:gridCol w:w="1340"/>
        <w:gridCol w:w="2080"/>
        <w:gridCol w:w="1170"/>
      </w:tblGrid>
      <w:tr w:rsidR="00F95196" w:rsidRPr="00F95196" w14:paraId="08BE38C8" w14:textId="77777777" w:rsidTr="00AA27EF">
        <w:trPr>
          <w:trHeight w:val="930"/>
          <w:jc w:val="center"/>
        </w:trPr>
        <w:tc>
          <w:tcPr>
            <w:tcW w:w="2900" w:type="dxa"/>
            <w:tcBorders>
              <w:top w:val="single" w:sz="8" w:space="0" w:color="auto"/>
              <w:left w:val="single" w:sz="8" w:space="0" w:color="auto"/>
              <w:bottom w:val="single" w:sz="4" w:space="0" w:color="auto"/>
              <w:right w:val="single" w:sz="4" w:space="0" w:color="auto"/>
            </w:tcBorders>
            <w:shd w:val="clear" w:color="000000" w:fill="DBDBDB"/>
            <w:vAlign w:val="center"/>
            <w:hideMark/>
          </w:tcPr>
          <w:p w14:paraId="54D0876D" w14:textId="77777777" w:rsidR="00F95196" w:rsidRPr="00F95196" w:rsidRDefault="00F95196" w:rsidP="009E3AD8">
            <w:pPr>
              <w:spacing w:line="276" w:lineRule="auto"/>
              <w:jc w:val="center"/>
              <w:rPr>
                <w:rFonts w:asciiTheme="minorHAnsi" w:hAnsiTheme="minorHAnsi" w:cstheme="minorHAnsi"/>
                <w:b/>
                <w:bCs/>
                <w:color w:val="000000"/>
                <w:sz w:val="26"/>
                <w:szCs w:val="26"/>
                <w:lang w:val="en-US"/>
              </w:rPr>
            </w:pPr>
            <w:proofErr w:type="spellStart"/>
            <w:r w:rsidRPr="00F95196">
              <w:rPr>
                <w:rFonts w:asciiTheme="minorHAnsi" w:hAnsiTheme="minorHAnsi" w:cstheme="minorHAnsi"/>
                <w:b/>
                <w:bCs/>
                <w:color w:val="000000"/>
                <w:sz w:val="26"/>
                <w:szCs w:val="26"/>
                <w:lang w:val="en-US"/>
              </w:rPr>
              <w:t>Denumire</w:t>
            </w:r>
            <w:proofErr w:type="spellEnd"/>
            <w:r w:rsidRPr="00F95196">
              <w:rPr>
                <w:rFonts w:asciiTheme="minorHAnsi" w:hAnsiTheme="minorHAnsi" w:cstheme="minorHAnsi"/>
                <w:b/>
                <w:bCs/>
                <w:color w:val="000000"/>
                <w:sz w:val="26"/>
                <w:szCs w:val="26"/>
                <w:lang w:val="en-US"/>
              </w:rPr>
              <w:t xml:space="preserve"> Indicator 2025</w:t>
            </w:r>
          </w:p>
        </w:tc>
        <w:tc>
          <w:tcPr>
            <w:tcW w:w="1680" w:type="dxa"/>
            <w:tcBorders>
              <w:top w:val="single" w:sz="8" w:space="0" w:color="auto"/>
              <w:left w:val="nil"/>
              <w:bottom w:val="single" w:sz="4" w:space="0" w:color="auto"/>
              <w:right w:val="single" w:sz="4" w:space="0" w:color="auto"/>
            </w:tcBorders>
            <w:shd w:val="clear" w:color="000000" w:fill="DBDBDB"/>
            <w:vAlign w:val="center"/>
            <w:hideMark/>
          </w:tcPr>
          <w:p w14:paraId="5EE83BC9" w14:textId="77777777" w:rsidR="00F95196" w:rsidRPr="00F95196" w:rsidRDefault="00F95196" w:rsidP="009E3AD8">
            <w:pPr>
              <w:spacing w:line="276" w:lineRule="auto"/>
              <w:jc w:val="center"/>
              <w:rPr>
                <w:rFonts w:asciiTheme="minorHAnsi" w:hAnsiTheme="minorHAnsi" w:cstheme="minorHAnsi"/>
                <w:b/>
                <w:bCs/>
                <w:color w:val="000000"/>
                <w:sz w:val="26"/>
                <w:szCs w:val="26"/>
                <w:lang w:val="en-US"/>
              </w:rPr>
            </w:pPr>
            <w:proofErr w:type="spellStart"/>
            <w:r w:rsidRPr="00F95196">
              <w:rPr>
                <w:rFonts w:asciiTheme="minorHAnsi" w:hAnsiTheme="minorHAnsi" w:cstheme="minorHAnsi"/>
                <w:b/>
                <w:bCs/>
                <w:color w:val="000000"/>
                <w:sz w:val="26"/>
                <w:szCs w:val="26"/>
                <w:lang w:val="en-US"/>
              </w:rPr>
              <w:t>Credite</w:t>
            </w:r>
            <w:proofErr w:type="spellEnd"/>
            <w:r w:rsidRPr="00F95196">
              <w:rPr>
                <w:rFonts w:asciiTheme="minorHAnsi" w:hAnsiTheme="minorHAnsi" w:cstheme="minorHAnsi"/>
                <w:b/>
                <w:bCs/>
                <w:color w:val="000000"/>
                <w:sz w:val="26"/>
                <w:szCs w:val="26"/>
                <w:lang w:val="en-US"/>
              </w:rPr>
              <w:t xml:space="preserve"> de</w:t>
            </w:r>
            <w:r w:rsidRPr="00F95196">
              <w:rPr>
                <w:rFonts w:asciiTheme="minorHAnsi" w:hAnsiTheme="minorHAnsi" w:cstheme="minorHAnsi"/>
                <w:b/>
                <w:bCs/>
                <w:color w:val="000000"/>
                <w:sz w:val="26"/>
                <w:szCs w:val="26"/>
                <w:lang w:val="en-US"/>
              </w:rPr>
              <w:br/>
            </w:r>
            <w:proofErr w:type="spellStart"/>
            <w:r w:rsidRPr="00F95196">
              <w:rPr>
                <w:rFonts w:asciiTheme="minorHAnsi" w:hAnsiTheme="minorHAnsi" w:cstheme="minorHAnsi"/>
                <w:b/>
                <w:bCs/>
                <w:color w:val="000000"/>
                <w:sz w:val="26"/>
                <w:szCs w:val="26"/>
                <w:lang w:val="en-US"/>
              </w:rPr>
              <w:t>angajament</w:t>
            </w:r>
            <w:proofErr w:type="spellEnd"/>
            <w:r w:rsidRPr="00F95196">
              <w:rPr>
                <w:rFonts w:asciiTheme="minorHAnsi" w:hAnsiTheme="minorHAnsi" w:cstheme="minorHAnsi"/>
                <w:b/>
                <w:bCs/>
                <w:color w:val="000000"/>
                <w:sz w:val="26"/>
                <w:szCs w:val="26"/>
                <w:lang w:val="en-US"/>
              </w:rPr>
              <w:t xml:space="preserve"> CA</w:t>
            </w:r>
          </w:p>
        </w:tc>
        <w:tc>
          <w:tcPr>
            <w:tcW w:w="1340" w:type="dxa"/>
            <w:tcBorders>
              <w:top w:val="single" w:sz="8" w:space="0" w:color="auto"/>
              <w:left w:val="nil"/>
              <w:bottom w:val="single" w:sz="4" w:space="0" w:color="auto"/>
              <w:right w:val="single" w:sz="4" w:space="0" w:color="auto"/>
            </w:tcBorders>
            <w:shd w:val="clear" w:color="000000" w:fill="DBDBDB"/>
            <w:vAlign w:val="center"/>
            <w:hideMark/>
          </w:tcPr>
          <w:p w14:paraId="0E4A6A09" w14:textId="77777777" w:rsidR="00F95196" w:rsidRPr="00F95196" w:rsidRDefault="00F95196" w:rsidP="009E3AD8">
            <w:pPr>
              <w:spacing w:line="276" w:lineRule="auto"/>
              <w:jc w:val="center"/>
              <w:rPr>
                <w:rFonts w:asciiTheme="minorHAnsi" w:hAnsiTheme="minorHAnsi" w:cstheme="minorHAnsi"/>
                <w:b/>
                <w:bCs/>
                <w:color w:val="000000"/>
                <w:sz w:val="26"/>
                <w:szCs w:val="26"/>
                <w:lang w:val="en-US"/>
              </w:rPr>
            </w:pPr>
            <w:r w:rsidRPr="00F95196">
              <w:rPr>
                <w:rFonts w:asciiTheme="minorHAnsi" w:hAnsiTheme="minorHAnsi" w:cstheme="minorHAnsi"/>
                <w:b/>
                <w:bCs/>
                <w:color w:val="000000"/>
                <w:sz w:val="26"/>
                <w:szCs w:val="26"/>
                <w:lang w:val="en-US"/>
              </w:rPr>
              <w:t>% CA</w:t>
            </w:r>
          </w:p>
        </w:tc>
        <w:tc>
          <w:tcPr>
            <w:tcW w:w="2080" w:type="dxa"/>
            <w:tcBorders>
              <w:top w:val="single" w:sz="8" w:space="0" w:color="auto"/>
              <w:left w:val="nil"/>
              <w:bottom w:val="single" w:sz="4" w:space="0" w:color="auto"/>
              <w:right w:val="single" w:sz="4" w:space="0" w:color="auto"/>
            </w:tcBorders>
            <w:shd w:val="clear" w:color="000000" w:fill="DBDBDB"/>
            <w:vAlign w:val="center"/>
            <w:hideMark/>
          </w:tcPr>
          <w:p w14:paraId="57D290D8" w14:textId="77777777" w:rsidR="00F95196" w:rsidRPr="00F95196" w:rsidRDefault="00F95196" w:rsidP="009E3AD8">
            <w:pPr>
              <w:spacing w:line="276" w:lineRule="auto"/>
              <w:jc w:val="center"/>
              <w:rPr>
                <w:rFonts w:asciiTheme="minorHAnsi" w:hAnsiTheme="minorHAnsi" w:cstheme="minorHAnsi"/>
                <w:b/>
                <w:bCs/>
                <w:color w:val="000000"/>
                <w:sz w:val="26"/>
                <w:szCs w:val="26"/>
                <w:lang w:val="en-US"/>
              </w:rPr>
            </w:pPr>
            <w:proofErr w:type="spellStart"/>
            <w:r w:rsidRPr="00F95196">
              <w:rPr>
                <w:rFonts w:asciiTheme="minorHAnsi" w:hAnsiTheme="minorHAnsi" w:cstheme="minorHAnsi"/>
                <w:b/>
                <w:bCs/>
                <w:color w:val="000000"/>
                <w:sz w:val="26"/>
                <w:szCs w:val="26"/>
                <w:lang w:val="en-US"/>
              </w:rPr>
              <w:t>Credite</w:t>
            </w:r>
            <w:proofErr w:type="spellEnd"/>
            <w:r w:rsidRPr="00F95196">
              <w:rPr>
                <w:rFonts w:asciiTheme="minorHAnsi" w:hAnsiTheme="minorHAnsi" w:cstheme="minorHAnsi"/>
                <w:b/>
                <w:bCs/>
                <w:color w:val="000000"/>
                <w:sz w:val="26"/>
                <w:szCs w:val="26"/>
                <w:lang w:val="en-US"/>
              </w:rPr>
              <w:br/>
              <w:t xml:space="preserve"> </w:t>
            </w:r>
            <w:proofErr w:type="spellStart"/>
            <w:r w:rsidRPr="00F95196">
              <w:rPr>
                <w:rFonts w:asciiTheme="minorHAnsi" w:hAnsiTheme="minorHAnsi" w:cstheme="minorHAnsi"/>
                <w:b/>
                <w:bCs/>
                <w:color w:val="000000"/>
                <w:sz w:val="26"/>
                <w:szCs w:val="26"/>
                <w:lang w:val="en-US"/>
              </w:rPr>
              <w:t>Bugetare</w:t>
            </w:r>
            <w:proofErr w:type="spellEnd"/>
            <w:r w:rsidRPr="00F95196">
              <w:rPr>
                <w:rFonts w:asciiTheme="minorHAnsi" w:hAnsiTheme="minorHAnsi" w:cstheme="minorHAnsi"/>
                <w:b/>
                <w:bCs/>
                <w:color w:val="000000"/>
                <w:sz w:val="26"/>
                <w:szCs w:val="26"/>
                <w:lang w:val="en-US"/>
              </w:rPr>
              <w:t xml:space="preserve"> CB</w:t>
            </w:r>
          </w:p>
        </w:tc>
        <w:tc>
          <w:tcPr>
            <w:tcW w:w="1170" w:type="dxa"/>
            <w:tcBorders>
              <w:top w:val="single" w:sz="8" w:space="0" w:color="auto"/>
              <w:left w:val="nil"/>
              <w:bottom w:val="single" w:sz="4" w:space="0" w:color="auto"/>
              <w:right w:val="single" w:sz="8" w:space="0" w:color="auto"/>
            </w:tcBorders>
            <w:shd w:val="clear" w:color="000000" w:fill="DBDBDB"/>
            <w:vAlign w:val="center"/>
            <w:hideMark/>
          </w:tcPr>
          <w:p w14:paraId="440B8370" w14:textId="77777777" w:rsidR="00F95196" w:rsidRPr="00F95196" w:rsidRDefault="00F95196" w:rsidP="009E3AD8">
            <w:pPr>
              <w:spacing w:line="276" w:lineRule="auto"/>
              <w:jc w:val="center"/>
              <w:rPr>
                <w:rFonts w:asciiTheme="minorHAnsi" w:hAnsiTheme="minorHAnsi" w:cstheme="minorHAnsi"/>
                <w:b/>
                <w:bCs/>
                <w:color w:val="000000"/>
                <w:sz w:val="26"/>
                <w:szCs w:val="26"/>
                <w:lang w:val="en-US"/>
              </w:rPr>
            </w:pPr>
            <w:r w:rsidRPr="00F95196">
              <w:rPr>
                <w:rFonts w:asciiTheme="minorHAnsi" w:hAnsiTheme="minorHAnsi" w:cstheme="minorHAnsi"/>
                <w:b/>
                <w:bCs/>
                <w:color w:val="000000"/>
                <w:sz w:val="26"/>
                <w:szCs w:val="26"/>
                <w:lang w:val="en-US"/>
              </w:rPr>
              <w:t>% CB</w:t>
            </w:r>
          </w:p>
        </w:tc>
      </w:tr>
      <w:tr w:rsidR="00F95196" w:rsidRPr="00F95196" w14:paraId="3D77D4E3" w14:textId="77777777" w:rsidTr="00AA27EF">
        <w:trPr>
          <w:trHeight w:val="345"/>
          <w:jc w:val="center"/>
        </w:trPr>
        <w:tc>
          <w:tcPr>
            <w:tcW w:w="2900" w:type="dxa"/>
            <w:tcBorders>
              <w:top w:val="nil"/>
              <w:left w:val="single" w:sz="8" w:space="0" w:color="auto"/>
              <w:bottom w:val="single" w:sz="4" w:space="0" w:color="auto"/>
              <w:right w:val="single" w:sz="4" w:space="0" w:color="auto"/>
            </w:tcBorders>
            <w:vAlign w:val="center"/>
            <w:hideMark/>
          </w:tcPr>
          <w:p w14:paraId="04950303" w14:textId="77777777" w:rsidR="00F95196" w:rsidRPr="00F95196" w:rsidRDefault="00F95196" w:rsidP="009E3AD8">
            <w:pPr>
              <w:spacing w:line="276" w:lineRule="auto"/>
              <w:rPr>
                <w:rFonts w:asciiTheme="minorHAnsi" w:hAnsiTheme="minorHAnsi" w:cstheme="minorHAnsi"/>
                <w:color w:val="000000"/>
                <w:sz w:val="26"/>
                <w:szCs w:val="26"/>
                <w:lang w:val="en-US"/>
              </w:rPr>
            </w:pPr>
            <w:proofErr w:type="spellStart"/>
            <w:r w:rsidRPr="00F95196">
              <w:rPr>
                <w:rFonts w:asciiTheme="minorHAnsi" w:hAnsiTheme="minorHAnsi" w:cstheme="minorHAnsi"/>
                <w:color w:val="000000"/>
                <w:sz w:val="26"/>
                <w:szCs w:val="26"/>
                <w:lang w:val="en-US"/>
              </w:rPr>
              <w:t>Cheltuieli</w:t>
            </w:r>
            <w:proofErr w:type="spellEnd"/>
            <w:r w:rsidRPr="00F95196">
              <w:rPr>
                <w:rFonts w:asciiTheme="minorHAnsi" w:hAnsiTheme="minorHAnsi" w:cstheme="minorHAnsi"/>
                <w:color w:val="000000"/>
                <w:sz w:val="26"/>
                <w:szCs w:val="26"/>
                <w:lang w:val="en-US"/>
              </w:rPr>
              <w:t xml:space="preserve"> de personal</w:t>
            </w:r>
          </w:p>
        </w:tc>
        <w:tc>
          <w:tcPr>
            <w:tcW w:w="1680" w:type="dxa"/>
            <w:tcBorders>
              <w:top w:val="nil"/>
              <w:left w:val="nil"/>
              <w:bottom w:val="single" w:sz="4" w:space="0" w:color="auto"/>
              <w:right w:val="single" w:sz="4" w:space="0" w:color="auto"/>
            </w:tcBorders>
            <w:noWrap/>
            <w:vAlign w:val="bottom"/>
            <w:hideMark/>
          </w:tcPr>
          <w:p w14:paraId="63A13FF6" w14:textId="77777777" w:rsidR="00F95196" w:rsidRPr="00F95196" w:rsidRDefault="00F95196" w:rsidP="009E3AD8">
            <w:pPr>
              <w:spacing w:line="276" w:lineRule="auto"/>
              <w:jc w:val="right"/>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197 561</w:t>
            </w:r>
          </w:p>
        </w:tc>
        <w:tc>
          <w:tcPr>
            <w:tcW w:w="1340" w:type="dxa"/>
            <w:tcBorders>
              <w:top w:val="nil"/>
              <w:left w:val="nil"/>
              <w:bottom w:val="single" w:sz="4" w:space="0" w:color="auto"/>
              <w:right w:val="single" w:sz="4" w:space="0" w:color="auto"/>
            </w:tcBorders>
            <w:noWrap/>
            <w:vAlign w:val="bottom"/>
            <w:hideMark/>
          </w:tcPr>
          <w:p w14:paraId="3C1FB136" w14:textId="77777777" w:rsidR="00F95196" w:rsidRPr="00F95196" w:rsidRDefault="00F95196" w:rsidP="009E3AD8">
            <w:pPr>
              <w:spacing w:line="276" w:lineRule="auto"/>
              <w:jc w:val="right"/>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70.30</w:t>
            </w:r>
          </w:p>
        </w:tc>
        <w:tc>
          <w:tcPr>
            <w:tcW w:w="2080" w:type="dxa"/>
            <w:tcBorders>
              <w:top w:val="nil"/>
              <w:left w:val="nil"/>
              <w:bottom w:val="single" w:sz="4" w:space="0" w:color="auto"/>
              <w:right w:val="single" w:sz="4" w:space="0" w:color="auto"/>
            </w:tcBorders>
            <w:noWrap/>
            <w:vAlign w:val="bottom"/>
            <w:hideMark/>
          </w:tcPr>
          <w:p w14:paraId="26DE2D39" w14:textId="77777777" w:rsidR="00F95196" w:rsidRPr="00F95196" w:rsidRDefault="00F95196" w:rsidP="009E3AD8">
            <w:pPr>
              <w:spacing w:line="276" w:lineRule="auto"/>
              <w:jc w:val="right"/>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197 561</w:t>
            </w:r>
          </w:p>
        </w:tc>
        <w:tc>
          <w:tcPr>
            <w:tcW w:w="1170" w:type="dxa"/>
            <w:tcBorders>
              <w:top w:val="nil"/>
              <w:left w:val="nil"/>
              <w:bottom w:val="single" w:sz="4" w:space="0" w:color="auto"/>
              <w:right w:val="single" w:sz="8" w:space="0" w:color="auto"/>
            </w:tcBorders>
            <w:noWrap/>
            <w:vAlign w:val="bottom"/>
            <w:hideMark/>
          </w:tcPr>
          <w:p w14:paraId="3479BDEC" w14:textId="77777777" w:rsidR="00F95196" w:rsidRPr="00F95196" w:rsidRDefault="00F95196" w:rsidP="009E3AD8">
            <w:pPr>
              <w:spacing w:line="276" w:lineRule="auto"/>
              <w:jc w:val="right"/>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71.53</w:t>
            </w:r>
          </w:p>
        </w:tc>
      </w:tr>
      <w:tr w:rsidR="00F95196" w:rsidRPr="00F95196" w14:paraId="62B94E81" w14:textId="77777777" w:rsidTr="00AA27EF">
        <w:trPr>
          <w:trHeight w:val="383"/>
          <w:jc w:val="center"/>
        </w:trPr>
        <w:tc>
          <w:tcPr>
            <w:tcW w:w="2900" w:type="dxa"/>
            <w:tcBorders>
              <w:top w:val="nil"/>
              <w:left w:val="single" w:sz="8" w:space="0" w:color="auto"/>
              <w:bottom w:val="single" w:sz="4" w:space="0" w:color="auto"/>
              <w:right w:val="single" w:sz="4" w:space="0" w:color="auto"/>
            </w:tcBorders>
            <w:vAlign w:val="center"/>
            <w:hideMark/>
          </w:tcPr>
          <w:p w14:paraId="392ECD40" w14:textId="77777777" w:rsidR="00F95196" w:rsidRPr="00F95196" w:rsidRDefault="00F95196" w:rsidP="009E3AD8">
            <w:pPr>
              <w:spacing w:line="276" w:lineRule="auto"/>
              <w:rPr>
                <w:rFonts w:asciiTheme="minorHAnsi" w:hAnsiTheme="minorHAnsi" w:cstheme="minorHAnsi"/>
                <w:color w:val="000000"/>
                <w:sz w:val="26"/>
                <w:szCs w:val="26"/>
                <w:lang w:val="en-US"/>
              </w:rPr>
            </w:pPr>
            <w:proofErr w:type="spellStart"/>
            <w:r w:rsidRPr="00F95196">
              <w:rPr>
                <w:rFonts w:asciiTheme="minorHAnsi" w:hAnsiTheme="minorHAnsi" w:cstheme="minorHAnsi"/>
                <w:color w:val="000000"/>
                <w:sz w:val="26"/>
                <w:szCs w:val="26"/>
                <w:lang w:val="en-US"/>
              </w:rPr>
              <w:t>Bunuri</w:t>
            </w:r>
            <w:proofErr w:type="spellEnd"/>
            <w:r w:rsidRPr="00F95196">
              <w:rPr>
                <w:rFonts w:asciiTheme="minorHAnsi" w:hAnsiTheme="minorHAnsi" w:cstheme="minorHAnsi"/>
                <w:color w:val="000000"/>
                <w:sz w:val="26"/>
                <w:szCs w:val="26"/>
                <w:lang w:val="en-US"/>
              </w:rPr>
              <w:t xml:space="preserve"> </w:t>
            </w:r>
            <w:proofErr w:type="spellStart"/>
            <w:r w:rsidRPr="00F95196">
              <w:rPr>
                <w:rFonts w:asciiTheme="minorHAnsi" w:hAnsiTheme="minorHAnsi" w:cstheme="minorHAnsi"/>
                <w:color w:val="000000"/>
                <w:sz w:val="26"/>
                <w:szCs w:val="26"/>
                <w:lang w:val="en-US"/>
              </w:rPr>
              <w:t>și</w:t>
            </w:r>
            <w:proofErr w:type="spellEnd"/>
            <w:r w:rsidRPr="00F95196">
              <w:rPr>
                <w:rFonts w:asciiTheme="minorHAnsi" w:hAnsiTheme="minorHAnsi" w:cstheme="minorHAnsi"/>
                <w:color w:val="000000"/>
                <w:sz w:val="26"/>
                <w:szCs w:val="26"/>
                <w:lang w:val="en-US"/>
              </w:rPr>
              <w:t xml:space="preserve"> </w:t>
            </w:r>
            <w:proofErr w:type="spellStart"/>
            <w:r w:rsidRPr="00F95196">
              <w:rPr>
                <w:rFonts w:asciiTheme="minorHAnsi" w:hAnsiTheme="minorHAnsi" w:cstheme="minorHAnsi"/>
                <w:color w:val="000000"/>
                <w:sz w:val="26"/>
                <w:szCs w:val="26"/>
                <w:lang w:val="en-US"/>
              </w:rPr>
              <w:t>servicii</w:t>
            </w:r>
            <w:proofErr w:type="spellEnd"/>
          </w:p>
        </w:tc>
        <w:tc>
          <w:tcPr>
            <w:tcW w:w="1680" w:type="dxa"/>
            <w:tcBorders>
              <w:top w:val="nil"/>
              <w:left w:val="nil"/>
              <w:bottom w:val="single" w:sz="4" w:space="0" w:color="auto"/>
              <w:right w:val="single" w:sz="4" w:space="0" w:color="auto"/>
            </w:tcBorders>
            <w:noWrap/>
            <w:vAlign w:val="bottom"/>
            <w:hideMark/>
          </w:tcPr>
          <w:p w14:paraId="5384E059" w14:textId="77777777" w:rsidR="00F95196" w:rsidRPr="00F95196" w:rsidRDefault="00F95196" w:rsidP="009E3AD8">
            <w:pPr>
              <w:spacing w:line="276" w:lineRule="auto"/>
              <w:jc w:val="right"/>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17 458</w:t>
            </w:r>
          </w:p>
        </w:tc>
        <w:tc>
          <w:tcPr>
            <w:tcW w:w="1340" w:type="dxa"/>
            <w:tcBorders>
              <w:top w:val="nil"/>
              <w:left w:val="nil"/>
              <w:bottom w:val="single" w:sz="4" w:space="0" w:color="auto"/>
              <w:right w:val="single" w:sz="4" w:space="0" w:color="auto"/>
            </w:tcBorders>
            <w:noWrap/>
            <w:vAlign w:val="bottom"/>
            <w:hideMark/>
          </w:tcPr>
          <w:p w14:paraId="2B9F96D7" w14:textId="77777777" w:rsidR="00F95196" w:rsidRPr="00F95196" w:rsidRDefault="00F95196" w:rsidP="009E3AD8">
            <w:pPr>
              <w:spacing w:line="276" w:lineRule="auto"/>
              <w:jc w:val="right"/>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6.21</w:t>
            </w:r>
          </w:p>
        </w:tc>
        <w:tc>
          <w:tcPr>
            <w:tcW w:w="2080" w:type="dxa"/>
            <w:tcBorders>
              <w:top w:val="nil"/>
              <w:left w:val="nil"/>
              <w:bottom w:val="single" w:sz="4" w:space="0" w:color="auto"/>
              <w:right w:val="single" w:sz="4" w:space="0" w:color="auto"/>
            </w:tcBorders>
            <w:noWrap/>
            <w:vAlign w:val="bottom"/>
            <w:hideMark/>
          </w:tcPr>
          <w:p w14:paraId="246A8E26" w14:textId="77777777" w:rsidR="00F95196" w:rsidRPr="00F95196" w:rsidRDefault="00F95196" w:rsidP="009E3AD8">
            <w:pPr>
              <w:spacing w:line="276" w:lineRule="auto"/>
              <w:jc w:val="right"/>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17 458</w:t>
            </w:r>
          </w:p>
        </w:tc>
        <w:tc>
          <w:tcPr>
            <w:tcW w:w="1170" w:type="dxa"/>
            <w:tcBorders>
              <w:top w:val="nil"/>
              <w:left w:val="nil"/>
              <w:bottom w:val="single" w:sz="4" w:space="0" w:color="auto"/>
              <w:right w:val="single" w:sz="8" w:space="0" w:color="auto"/>
            </w:tcBorders>
            <w:noWrap/>
            <w:vAlign w:val="bottom"/>
            <w:hideMark/>
          </w:tcPr>
          <w:p w14:paraId="26DC0BB1" w14:textId="77777777" w:rsidR="00F95196" w:rsidRPr="00F95196" w:rsidRDefault="00F95196" w:rsidP="009E3AD8">
            <w:pPr>
              <w:spacing w:line="276" w:lineRule="auto"/>
              <w:jc w:val="right"/>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6.32</w:t>
            </w:r>
          </w:p>
        </w:tc>
      </w:tr>
      <w:tr w:rsidR="00F95196" w:rsidRPr="00F95196" w14:paraId="523C40AC" w14:textId="77777777" w:rsidTr="00AA27EF">
        <w:trPr>
          <w:trHeight w:val="360"/>
          <w:jc w:val="center"/>
        </w:trPr>
        <w:tc>
          <w:tcPr>
            <w:tcW w:w="2900" w:type="dxa"/>
            <w:tcBorders>
              <w:top w:val="nil"/>
              <w:left w:val="single" w:sz="8" w:space="0" w:color="auto"/>
              <w:bottom w:val="single" w:sz="4" w:space="0" w:color="auto"/>
              <w:right w:val="single" w:sz="4" w:space="0" w:color="auto"/>
            </w:tcBorders>
            <w:vAlign w:val="center"/>
            <w:hideMark/>
          </w:tcPr>
          <w:p w14:paraId="7A059675" w14:textId="77777777" w:rsidR="00F95196" w:rsidRPr="00F95196" w:rsidRDefault="00F95196" w:rsidP="009E3AD8">
            <w:pPr>
              <w:spacing w:line="276" w:lineRule="auto"/>
              <w:rPr>
                <w:rFonts w:asciiTheme="minorHAnsi" w:hAnsiTheme="minorHAnsi" w:cstheme="minorHAnsi"/>
                <w:color w:val="000000"/>
                <w:sz w:val="26"/>
                <w:szCs w:val="26"/>
                <w:lang w:val="en-US"/>
              </w:rPr>
            </w:pPr>
            <w:proofErr w:type="spellStart"/>
            <w:r w:rsidRPr="00F95196">
              <w:rPr>
                <w:rFonts w:asciiTheme="minorHAnsi" w:hAnsiTheme="minorHAnsi" w:cstheme="minorHAnsi"/>
                <w:color w:val="000000"/>
                <w:sz w:val="26"/>
                <w:szCs w:val="26"/>
                <w:lang w:val="en-US"/>
              </w:rPr>
              <w:t>Transferuri</w:t>
            </w:r>
            <w:proofErr w:type="spellEnd"/>
          </w:p>
        </w:tc>
        <w:tc>
          <w:tcPr>
            <w:tcW w:w="1680" w:type="dxa"/>
            <w:tcBorders>
              <w:top w:val="nil"/>
              <w:left w:val="nil"/>
              <w:bottom w:val="single" w:sz="4" w:space="0" w:color="auto"/>
              <w:right w:val="single" w:sz="4" w:space="0" w:color="auto"/>
            </w:tcBorders>
            <w:noWrap/>
            <w:vAlign w:val="bottom"/>
            <w:hideMark/>
          </w:tcPr>
          <w:p w14:paraId="436A006A" w14:textId="77777777" w:rsidR="00F95196" w:rsidRPr="00F95196" w:rsidRDefault="00F95196" w:rsidP="009E3AD8">
            <w:pPr>
              <w:spacing w:line="276" w:lineRule="auto"/>
              <w:jc w:val="right"/>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3</w:t>
            </w:r>
          </w:p>
        </w:tc>
        <w:tc>
          <w:tcPr>
            <w:tcW w:w="1340" w:type="dxa"/>
            <w:tcBorders>
              <w:top w:val="nil"/>
              <w:left w:val="nil"/>
              <w:bottom w:val="single" w:sz="4" w:space="0" w:color="auto"/>
              <w:right w:val="single" w:sz="4" w:space="0" w:color="auto"/>
            </w:tcBorders>
            <w:noWrap/>
            <w:vAlign w:val="bottom"/>
            <w:hideMark/>
          </w:tcPr>
          <w:p w14:paraId="549EAA5D" w14:textId="77777777" w:rsidR="00F95196" w:rsidRPr="00F95196" w:rsidRDefault="00F95196" w:rsidP="009E3AD8">
            <w:pPr>
              <w:spacing w:line="276" w:lineRule="auto"/>
              <w:jc w:val="right"/>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0.00</w:t>
            </w:r>
          </w:p>
        </w:tc>
        <w:tc>
          <w:tcPr>
            <w:tcW w:w="2080" w:type="dxa"/>
            <w:tcBorders>
              <w:top w:val="nil"/>
              <w:left w:val="nil"/>
              <w:bottom w:val="single" w:sz="4" w:space="0" w:color="auto"/>
              <w:right w:val="single" w:sz="4" w:space="0" w:color="auto"/>
            </w:tcBorders>
            <w:noWrap/>
            <w:vAlign w:val="bottom"/>
            <w:hideMark/>
          </w:tcPr>
          <w:p w14:paraId="65FA930A" w14:textId="77777777" w:rsidR="00F95196" w:rsidRPr="00F95196" w:rsidRDefault="00F95196" w:rsidP="009E3AD8">
            <w:pPr>
              <w:spacing w:line="276" w:lineRule="auto"/>
              <w:jc w:val="right"/>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3</w:t>
            </w:r>
          </w:p>
        </w:tc>
        <w:tc>
          <w:tcPr>
            <w:tcW w:w="1170" w:type="dxa"/>
            <w:tcBorders>
              <w:top w:val="nil"/>
              <w:left w:val="nil"/>
              <w:bottom w:val="single" w:sz="4" w:space="0" w:color="auto"/>
              <w:right w:val="single" w:sz="8" w:space="0" w:color="auto"/>
            </w:tcBorders>
            <w:noWrap/>
            <w:vAlign w:val="bottom"/>
            <w:hideMark/>
          </w:tcPr>
          <w:p w14:paraId="58E7DDFE" w14:textId="77777777" w:rsidR="00F95196" w:rsidRPr="00F95196" w:rsidRDefault="00F95196" w:rsidP="009E3AD8">
            <w:pPr>
              <w:spacing w:line="276" w:lineRule="auto"/>
              <w:jc w:val="right"/>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0.00</w:t>
            </w:r>
          </w:p>
        </w:tc>
      </w:tr>
      <w:tr w:rsidR="00F95196" w:rsidRPr="00F95196" w14:paraId="53911270" w14:textId="77777777" w:rsidTr="00AA27EF">
        <w:trPr>
          <w:trHeight w:val="349"/>
          <w:jc w:val="center"/>
        </w:trPr>
        <w:tc>
          <w:tcPr>
            <w:tcW w:w="2900" w:type="dxa"/>
            <w:tcBorders>
              <w:top w:val="nil"/>
              <w:left w:val="single" w:sz="8" w:space="0" w:color="auto"/>
              <w:bottom w:val="single" w:sz="4" w:space="0" w:color="auto"/>
              <w:right w:val="single" w:sz="4" w:space="0" w:color="auto"/>
            </w:tcBorders>
            <w:vAlign w:val="center"/>
            <w:hideMark/>
          </w:tcPr>
          <w:p w14:paraId="6C89F9CC" w14:textId="77777777" w:rsidR="00F95196" w:rsidRPr="00F95196" w:rsidRDefault="00F95196" w:rsidP="009E3AD8">
            <w:pPr>
              <w:spacing w:line="276" w:lineRule="auto"/>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 xml:space="preserve">Alte </w:t>
            </w:r>
            <w:proofErr w:type="spellStart"/>
            <w:r w:rsidRPr="00F95196">
              <w:rPr>
                <w:rFonts w:asciiTheme="minorHAnsi" w:hAnsiTheme="minorHAnsi" w:cstheme="minorHAnsi"/>
                <w:color w:val="000000"/>
                <w:sz w:val="26"/>
                <w:szCs w:val="26"/>
                <w:lang w:val="en-US"/>
              </w:rPr>
              <w:t>transferuri</w:t>
            </w:r>
            <w:proofErr w:type="spellEnd"/>
          </w:p>
        </w:tc>
        <w:tc>
          <w:tcPr>
            <w:tcW w:w="1680" w:type="dxa"/>
            <w:tcBorders>
              <w:top w:val="nil"/>
              <w:left w:val="nil"/>
              <w:bottom w:val="single" w:sz="4" w:space="0" w:color="auto"/>
              <w:right w:val="single" w:sz="4" w:space="0" w:color="auto"/>
            </w:tcBorders>
            <w:noWrap/>
            <w:vAlign w:val="bottom"/>
            <w:hideMark/>
          </w:tcPr>
          <w:p w14:paraId="0440F5DB" w14:textId="77777777" w:rsidR="00F95196" w:rsidRPr="00F95196" w:rsidRDefault="00F95196" w:rsidP="009E3AD8">
            <w:pPr>
              <w:spacing w:line="276" w:lineRule="auto"/>
              <w:jc w:val="right"/>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156</w:t>
            </w:r>
          </w:p>
        </w:tc>
        <w:tc>
          <w:tcPr>
            <w:tcW w:w="1340" w:type="dxa"/>
            <w:tcBorders>
              <w:top w:val="nil"/>
              <w:left w:val="nil"/>
              <w:bottom w:val="single" w:sz="4" w:space="0" w:color="auto"/>
              <w:right w:val="single" w:sz="4" w:space="0" w:color="auto"/>
            </w:tcBorders>
            <w:noWrap/>
            <w:vAlign w:val="bottom"/>
            <w:hideMark/>
          </w:tcPr>
          <w:p w14:paraId="4B249804" w14:textId="77777777" w:rsidR="00F95196" w:rsidRPr="00F95196" w:rsidRDefault="00F95196" w:rsidP="009E3AD8">
            <w:pPr>
              <w:spacing w:line="276" w:lineRule="auto"/>
              <w:jc w:val="right"/>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0.06</w:t>
            </w:r>
          </w:p>
        </w:tc>
        <w:tc>
          <w:tcPr>
            <w:tcW w:w="2080" w:type="dxa"/>
            <w:tcBorders>
              <w:top w:val="nil"/>
              <w:left w:val="nil"/>
              <w:bottom w:val="single" w:sz="4" w:space="0" w:color="auto"/>
              <w:right w:val="single" w:sz="4" w:space="0" w:color="auto"/>
            </w:tcBorders>
            <w:noWrap/>
            <w:vAlign w:val="bottom"/>
            <w:hideMark/>
          </w:tcPr>
          <w:p w14:paraId="55E8B9E7" w14:textId="77777777" w:rsidR="00F95196" w:rsidRPr="00F95196" w:rsidRDefault="00F95196" w:rsidP="009E3AD8">
            <w:pPr>
              <w:spacing w:line="276" w:lineRule="auto"/>
              <w:jc w:val="right"/>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156</w:t>
            </w:r>
          </w:p>
        </w:tc>
        <w:tc>
          <w:tcPr>
            <w:tcW w:w="1170" w:type="dxa"/>
            <w:tcBorders>
              <w:top w:val="nil"/>
              <w:left w:val="nil"/>
              <w:bottom w:val="single" w:sz="4" w:space="0" w:color="auto"/>
              <w:right w:val="single" w:sz="8" w:space="0" w:color="auto"/>
            </w:tcBorders>
            <w:noWrap/>
            <w:vAlign w:val="bottom"/>
            <w:hideMark/>
          </w:tcPr>
          <w:p w14:paraId="5C30B4B3" w14:textId="77777777" w:rsidR="00F95196" w:rsidRPr="00F95196" w:rsidRDefault="00F95196" w:rsidP="009E3AD8">
            <w:pPr>
              <w:spacing w:line="276" w:lineRule="auto"/>
              <w:jc w:val="right"/>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0.06</w:t>
            </w:r>
          </w:p>
        </w:tc>
      </w:tr>
      <w:tr w:rsidR="00F95196" w:rsidRPr="00F95196" w14:paraId="7D547192" w14:textId="77777777" w:rsidTr="00AA27EF">
        <w:trPr>
          <w:trHeight w:val="780"/>
          <w:jc w:val="center"/>
        </w:trPr>
        <w:tc>
          <w:tcPr>
            <w:tcW w:w="2900" w:type="dxa"/>
            <w:tcBorders>
              <w:top w:val="nil"/>
              <w:left w:val="single" w:sz="8" w:space="0" w:color="auto"/>
              <w:bottom w:val="single" w:sz="4" w:space="0" w:color="auto"/>
              <w:right w:val="single" w:sz="4" w:space="0" w:color="auto"/>
            </w:tcBorders>
            <w:vAlign w:val="center"/>
            <w:hideMark/>
          </w:tcPr>
          <w:p w14:paraId="7F7D439A" w14:textId="77777777" w:rsidR="00F95196" w:rsidRPr="00A35EF2" w:rsidRDefault="00F95196" w:rsidP="009E3AD8">
            <w:pPr>
              <w:spacing w:line="276" w:lineRule="auto"/>
              <w:rPr>
                <w:rFonts w:asciiTheme="minorHAnsi" w:hAnsiTheme="minorHAnsi" w:cstheme="minorHAnsi"/>
                <w:color w:val="000000"/>
                <w:sz w:val="26"/>
                <w:szCs w:val="26"/>
                <w:lang w:val="fr-FR"/>
              </w:rPr>
            </w:pPr>
            <w:proofErr w:type="spellStart"/>
            <w:r w:rsidRPr="00A35EF2">
              <w:rPr>
                <w:rFonts w:asciiTheme="minorHAnsi" w:hAnsiTheme="minorHAnsi" w:cstheme="minorHAnsi"/>
                <w:color w:val="000000"/>
                <w:sz w:val="26"/>
                <w:szCs w:val="26"/>
                <w:lang w:val="fr-FR"/>
              </w:rPr>
              <w:t>Proiecte</w:t>
            </w:r>
            <w:proofErr w:type="spellEnd"/>
            <w:r w:rsidRPr="00A35EF2">
              <w:rPr>
                <w:rFonts w:asciiTheme="minorHAnsi" w:hAnsiTheme="minorHAnsi" w:cstheme="minorHAnsi"/>
                <w:color w:val="000000"/>
                <w:sz w:val="26"/>
                <w:szCs w:val="26"/>
                <w:lang w:val="fr-FR"/>
              </w:rPr>
              <w:t xml:space="preserve"> </w:t>
            </w:r>
            <w:proofErr w:type="spellStart"/>
            <w:r w:rsidRPr="00A35EF2">
              <w:rPr>
                <w:rFonts w:asciiTheme="minorHAnsi" w:hAnsiTheme="minorHAnsi" w:cstheme="minorHAnsi"/>
                <w:color w:val="000000"/>
                <w:sz w:val="26"/>
                <w:szCs w:val="26"/>
                <w:lang w:val="fr-FR"/>
              </w:rPr>
              <w:t>cu</w:t>
            </w:r>
            <w:proofErr w:type="spellEnd"/>
            <w:r w:rsidRPr="00A35EF2">
              <w:rPr>
                <w:rFonts w:asciiTheme="minorHAnsi" w:hAnsiTheme="minorHAnsi" w:cstheme="minorHAnsi"/>
                <w:color w:val="000000"/>
                <w:sz w:val="26"/>
                <w:szCs w:val="26"/>
                <w:lang w:val="fr-FR"/>
              </w:rPr>
              <w:t xml:space="preserve"> </w:t>
            </w:r>
            <w:proofErr w:type="spellStart"/>
            <w:r w:rsidRPr="00A35EF2">
              <w:rPr>
                <w:rFonts w:asciiTheme="minorHAnsi" w:hAnsiTheme="minorHAnsi" w:cstheme="minorHAnsi"/>
                <w:color w:val="000000"/>
                <w:sz w:val="26"/>
                <w:szCs w:val="26"/>
                <w:lang w:val="fr-FR"/>
              </w:rPr>
              <w:t>finanțare</w:t>
            </w:r>
            <w:proofErr w:type="spellEnd"/>
            <w:r w:rsidRPr="00A35EF2">
              <w:rPr>
                <w:rFonts w:asciiTheme="minorHAnsi" w:hAnsiTheme="minorHAnsi" w:cstheme="minorHAnsi"/>
                <w:color w:val="000000"/>
                <w:sz w:val="26"/>
                <w:szCs w:val="26"/>
                <w:lang w:val="fr-FR"/>
              </w:rPr>
              <w:t xml:space="preserve"> </w:t>
            </w:r>
            <w:proofErr w:type="spellStart"/>
            <w:r w:rsidRPr="00A35EF2">
              <w:rPr>
                <w:rFonts w:asciiTheme="minorHAnsi" w:hAnsiTheme="minorHAnsi" w:cstheme="minorHAnsi"/>
                <w:color w:val="000000"/>
                <w:sz w:val="26"/>
                <w:szCs w:val="26"/>
                <w:lang w:val="fr-FR"/>
              </w:rPr>
              <w:t>din</w:t>
            </w:r>
            <w:proofErr w:type="spellEnd"/>
            <w:r w:rsidRPr="00A35EF2">
              <w:rPr>
                <w:rFonts w:asciiTheme="minorHAnsi" w:hAnsiTheme="minorHAnsi" w:cstheme="minorHAnsi"/>
                <w:color w:val="000000"/>
                <w:sz w:val="26"/>
                <w:szCs w:val="26"/>
                <w:lang w:val="fr-FR"/>
              </w:rPr>
              <w:t xml:space="preserve"> FEN </w:t>
            </w:r>
            <w:proofErr w:type="spellStart"/>
            <w:r w:rsidRPr="00A35EF2">
              <w:rPr>
                <w:rFonts w:asciiTheme="minorHAnsi" w:hAnsiTheme="minorHAnsi" w:cstheme="minorHAnsi"/>
                <w:color w:val="000000"/>
                <w:sz w:val="26"/>
                <w:szCs w:val="26"/>
                <w:lang w:val="fr-FR"/>
              </w:rPr>
              <w:t>postaderare</w:t>
            </w:r>
            <w:proofErr w:type="spellEnd"/>
          </w:p>
        </w:tc>
        <w:tc>
          <w:tcPr>
            <w:tcW w:w="1680" w:type="dxa"/>
            <w:tcBorders>
              <w:top w:val="nil"/>
              <w:left w:val="nil"/>
              <w:bottom w:val="single" w:sz="4" w:space="0" w:color="auto"/>
              <w:right w:val="single" w:sz="4" w:space="0" w:color="auto"/>
            </w:tcBorders>
            <w:noWrap/>
            <w:vAlign w:val="bottom"/>
            <w:hideMark/>
          </w:tcPr>
          <w:p w14:paraId="039760E3" w14:textId="77777777" w:rsidR="00F95196" w:rsidRPr="00F95196" w:rsidRDefault="00F95196" w:rsidP="009E3AD8">
            <w:pPr>
              <w:spacing w:line="276" w:lineRule="auto"/>
              <w:jc w:val="right"/>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8 849</w:t>
            </w:r>
          </w:p>
        </w:tc>
        <w:tc>
          <w:tcPr>
            <w:tcW w:w="1340" w:type="dxa"/>
            <w:tcBorders>
              <w:top w:val="nil"/>
              <w:left w:val="nil"/>
              <w:bottom w:val="single" w:sz="4" w:space="0" w:color="auto"/>
              <w:right w:val="single" w:sz="4" w:space="0" w:color="auto"/>
            </w:tcBorders>
            <w:noWrap/>
            <w:vAlign w:val="bottom"/>
            <w:hideMark/>
          </w:tcPr>
          <w:p w14:paraId="616C9458" w14:textId="77777777" w:rsidR="00F95196" w:rsidRPr="00F95196" w:rsidRDefault="00F95196" w:rsidP="009E3AD8">
            <w:pPr>
              <w:spacing w:line="276" w:lineRule="auto"/>
              <w:jc w:val="right"/>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3.15</w:t>
            </w:r>
          </w:p>
        </w:tc>
        <w:tc>
          <w:tcPr>
            <w:tcW w:w="2080" w:type="dxa"/>
            <w:tcBorders>
              <w:top w:val="nil"/>
              <w:left w:val="nil"/>
              <w:bottom w:val="single" w:sz="4" w:space="0" w:color="auto"/>
              <w:right w:val="single" w:sz="4" w:space="0" w:color="auto"/>
            </w:tcBorders>
            <w:noWrap/>
            <w:vAlign w:val="bottom"/>
            <w:hideMark/>
          </w:tcPr>
          <w:p w14:paraId="1D83D06F" w14:textId="77777777" w:rsidR="00F95196" w:rsidRPr="00F95196" w:rsidRDefault="00F95196" w:rsidP="009E3AD8">
            <w:pPr>
              <w:spacing w:line="276" w:lineRule="auto"/>
              <w:jc w:val="right"/>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3 995</w:t>
            </w:r>
          </w:p>
        </w:tc>
        <w:tc>
          <w:tcPr>
            <w:tcW w:w="1170" w:type="dxa"/>
            <w:tcBorders>
              <w:top w:val="nil"/>
              <w:left w:val="nil"/>
              <w:bottom w:val="single" w:sz="4" w:space="0" w:color="auto"/>
              <w:right w:val="single" w:sz="8" w:space="0" w:color="auto"/>
            </w:tcBorders>
            <w:noWrap/>
            <w:vAlign w:val="bottom"/>
            <w:hideMark/>
          </w:tcPr>
          <w:p w14:paraId="64DFEB58" w14:textId="77777777" w:rsidR="00F95196" w:rsidRPr="00F95196" w:rsidRDefault="00F95196" w:rsidP="009E3AD8">
            <w:pPr>
              <w:spacing w:line="276" w:lineRule="auto"/>
              <w:jc w:val="right"/>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1.45</w:t>
            </w:r>
          </w:p>
        </w:tc>
      </w:tr>
      <w:tr w:rsidR="00F95196" w:rsidRPr="00F95196" w14:paraId="2CE11DE7" w14:textId="77777777" w:rsidTr="00AA27EF">
        <w:trPr>
          <w:trHeight w:val="1069"/>
          <w:jc w:val="center"/>
        </w:trPr>
        <w:tc>
          <w:tcPr>
            <w:tcW w:w="2900" w:type="dxa"/>
            <w:tcBorders>
              <w:top w:val="nil"/>
              <w:left w:val="single" w:sz="8" w:space="0" w:color="auto"/>
              <w:bottom w:val="single" w:sz="4" w:space="0" w:color="auto"/>
              <w:right w:val="single" w:sz="4" w:space="0" w:color="auto"/>
            </w:tcBorders>
            <w:vAlign w:val="center"/>
            <w:hideMark/>
          </w:tcPr>
          <w:p w14:paraId="2B95EFBE" w14:textId="1A0777EC" w:rsidR="00F95196" w:rsidRPr="00A35EF2" w:rsidRDefault="00F95196" w:rsidP="009E3AD8">
            <w:pPr>
              <w:spacing w:line="276" w:lineRule="auto"/>
              <w:rPr>
                <w:rFonts w:asciiTheme="minorHAnsi" w:hAnsiTheme="minorHAnsi" w:cstheme="minorHAnsi"/>
                <w:color w:val="000000"/>
                <w:sz w:val="26"/>
                <w:szCs w:val="26"/>
                <w:lang w:val="fr-FR"/>
              </w:rPr>
            </w:pPr>
            <w:proofErr w:type="spellStart"/>
            <w:r w:rsidRPr="00A35EF2">
              <w:rPr>
                <w:rFonts w:asciiTheme="minorHAnsi" w:hAnsiTheme="minorHAnsi" w:cstheme="minorHAnsi"/>
                <w:color w:val="000000"/>
                <w:sz w:val="26"/>
                <w:szCs w:val="26"/>
                <w:lang w:val="fr-FR"/>
              </w:rPr>
              <w:t>Proiecte</w:t>
            </w:r>
            <w:proofErr w:type="spellEnd"/>
            <w:r w:rsidRPr="00A35EF2">
              <w:rPr>
                <w:rFonts w:asciiTheme="minorHAnsi" w:hAnsiTheme="minorHAnsi" w:cstheme="minorHAnsi"/>
                <w:color w:val="000000"/>
                <w:sz w:val="26"/>
                <w:szCs w:val="26"/>
                <w:lang w:val="fr-FR"/>
              </w:rPr>
              <w:t xml:space="preserve"> </w:t>
            </w:r>
            <w:proofErr w:type="spellStart"/>
            <w:r w:rsidRPr="00A35EF2">
              <w:rPr>
                <w:rFonts w:asciiTheme="minorHAnsi" w:hAnsiTheme="minorHAnsi" w:cstheme="minorHAnsi"/>
                <w:color w:val="000000"/>
                <w:sz w:val="26"/>
                <w:szCs w:val="26"/>
                <w:lang w:val="fr-FR"/>
              </w:rPr>
              <w:t>cu</w:t>
            </w:r>
            <w:proofErr w:type="spellEnd"/>
            <w:r w:rsidRPr="00A35EF2">
              <w:rPr>
                <w:rFonts w:asciiTheme="minorHAnsi" w:hAnsiTheme="minorHAnsi" w:cstheme="minorHAnsi"/>
                <w:color w:val="000000"/>
                <w:sz w:val="26"/>
                <w:szCs w:val="26"/>
                <w:lang w:val="fr-FR"/>
              </w:rPr>
              <w:t xml:space="preserve"> </w:t>
            </w:r>
            <w:proofErr w:type="spellStart"/>
            <w:r w:rsidRPr="00A35EF2">
              <w:rPr>
                <w:rFonts w:asciiTheme="minorHAnsi" w:hAnsiTheme="minorHAnsi" w:cstheme="minorHAnsi"/>
                <w:color w:val="000000"/>
                <w:sz w:val="26"/>
                <w:szCs w:val="26"/>
                <w:lang w:val="fr-FR"/>
              </w:rPr>
              <w:t>finanțare</w:t>
            </w:r>
            <w:proofErr w:type="spellEnd"/>
            <w:r w:rsidRPr="00A35EF2">
              <w:rPr>
                <w:rFonts w:asciiTheme="minorHAnsi" w:hAnsiTheme="minorHAnsi" w:cstheme="minorHAnsi"/>
                <w:color w:val="000000"/>
                <w:sz w:val="26"/>
                <w:szCs w:val="26"/>
                <w:lang w:val="fr-FR"/>
              </w:rPr>
              <w:t xml:space="preserve"> </w:t>
            </w:r>
            <w:proofErr w:type="spellStart"/>
            <w:r w:rsidRPr="00A35EF2">
              <w:rPr>
                <w:rFonts w:asciiTheme="minorHAnsi" w:hAnsiTheme="minorHAnsi" w:cstheme="minorHAnsi"/>
                <w:color w:val="000000"/>
                <w:sz w:val="26"/>
                <w:szCs w:val="26"/>
                <w:lang w:val="fr-FR"/>
              </w:rPr>
              <w:t>din</w:t>
            </w:r>
            <w:proofErr w:type="spellEnd"/>
            <w:r w:rsidRPr="00A35EF2">
              <w:rPr>
                <w:rFonts w:asciiTheme="minorHAnsi" w:hAnsiTheme="minorHAnsi" w:cstheme="minorHAnsi"/>
                <w:color w:val="000000"/>
                <w:sz w:val="26"/>
                <w:szCs w:val="26"/>
                <w:lang w:val="fr-FR"/>
              </w:rPr>
              <w:t xml:space="preserve"> FEN </w:t>
            </w:r>
            <w:proofErr w:type="spellStart"/>
            <w:r w:rsidRPr="00A35EF2">
              <w:rPr>
                <w:rFonts w:asciiTheme="minorHAnsi" w:hAnsiTheme="minorHAnsi" w:cstheme="minorHAnsi"/>
                <w:color w:val="000000"/>
                <w:sz w:val="26"/>
                <w:szCs w:val="26"/>
                <w:lang w:val="fr-FR"/>
              </w:rPr>
              <w:t>aferente</w:t>
            </w:r>
            <w:proofErr w:type="spellEnd"/>
            <w:r w:rsidRPr="00A35EF2">
              <w:rPr>
                <w:rFonts w:asciiTheme="minorHAnsi" w:hAnsiTheme="minorHAnsi" w:cstheme="minorHAnsi"/>
                <w:color w:val="000000"/>
                <w:sz w:val="26"/>
                <w:szCs w:val="26"/>
                <w:lang w:val="fr-FR"/>
              </w:rPr>
              <w:t xml:space="preserve"> </w:t>
            </w:r>
            <w:proofErr w:type="spellStart"/>
            <w:r w:rsidRPr="00A35EF2">
              <w:rPr>
                <w:rFonts w:asciiTheme="minorHAnsi" w:hAnsiTheme="minorHAnsi" w:cstheme="minorHAnsi"/>
                <w:color w:val="000000"/>
                <w:sz w:val="26"/>
                <w:szCs w:val="26"/>
                <w:lang w:val="fr-FR"/>
              </w:rPr>
              <w:t>cadrului</w:t>
            </w:r>
            <w:proofErr w:type="spellEnd"/>
            <w:r w:rsidRPr="00A35EF2">
              <w:rPr>
                <w:rFonts w:asciiTheme="minorHAnsi" w:hAnsiTheme="minorHAnsi" w:cstheme="minorHAnsi"/>
                <w:color w:val="000000"/>
                <w:sz w:val="26"/>
                <w:szCs w:val="26"/>
                <w:lang w:val="fr-FR"/>
              </w:rPr>
              <w:t xml:space="preserve"> </w:t>
            </w:r>
            <w:proofErr w:type="spellStart"/>
            <w:r w:rsidRPr="00A35EF2">
              <w:rPr>
                <w:rFonts w:asciiTheme="minorHAnsi" w:hAnsiTheme="minorHAnsi" w:cstheme="minorHAnsi"/>
                <w:color w:val="000000"/>
                <w:sz w:val="26"/>
                <w:szCs w:val="26"/>
                <w:lang w:val="fr-FR"/>
              </w:rPr>
              <w:t>financiar</w:t>
            </w:r>
            <w:proofErr w:type="spellEnd"/>
            <w:r w:rsidRPr="00A35EF2">
              <w:rPr>
                <w:rFonts w:asciiTheme="minorHAnsi" w:hAnsiTheme="minorHAnsi" w:cstheme="minorHAnsi"/>
                <w:color w:val="000000"/>
                <w:sz w:val="26"/>
                <w:szCs w:val="26"/>
                <w:lang w:val="fr-FR"/>
              </w:rPr>
              <w:t xml:space="preserve"> 2014</w:t>
            </w:r>
            <w:r w:rsidR="00123295" w:rsidRPr="00A35EF2">
              <w:rPr>
                <w:rFonts w:asciiTheme="minorHAnsi" w:hAnsiTheme="minorHAnsi" w:cstheme="minorHAnsi"/>
                <w:color w:val="000000"/>
                <w:sz w:val="26"/>
                <w:szCs w:val="26"/>
                <w:lang w:val="fr-FR"/>
              </w:rPr>
              <w:t xml:space="preserve"> </w:t>
            </w:r>
            <w:r w:rsidRPr="00A35EF2">
              <w:rPr>
                <w:rFonts w:asciiTheme="minorHAnsi" w:hAnsiTheme="minorHAnsi" w:cstheme="minorHAnsi"/>
                <w:color w:val="000000"/>
                <w:sz w:val="26"/>
                <w:szCs w:val="26"/>
                <w:lang w:val="fr-FR"/>
              </w:rPr>
              <w:t>-</w:t>
            </w:r>
            <w:r w:rsidR="00123295" w:rsidRPr="00A35EF2">
              <w:rPr>
                <w:rFonts w:asciiTheme="minorHAnsi" w:hAnsiTheme="minorHAnsi" w:cstheme="minorHAnsi"/>
                <w:color w:val="000000"/>
                <w:sz w:val="26"/>
                <w:szCs w:val="26"/>
                <w:lang w:val="fr-FR"/>
              </w:rPr>
              <w:t xml:space="preserve"> </w:t>
            </w:r>
            <w:r w:rsidRPr="00A35EF2">
              <w:rPr>
                <w:rFonts w:asciiTheme="minorHAnsi" w:hAnsiTheme="minorHAnsi" w:cstheme="minorHAnsi"/>
                <w:color w:val="000000"/>
                <w:sz w:val="26"/>
                <w:szCs w:val="26"/>
                <w:lang w:val="fr-FR"/>
              </w:rPr>
              <w:t>2020</w:t>
            </w:r>
          </w:p>
        </w:tc>
        <w:tc>
          <w:tcPr>
            <w:tcW w:w="1680" w:type="dxa"/>
            <w:tcBorders>
              <w:top w:val="nil"/>
              <w:left w:val="nil"/>
              <w:bottom w:val="single" w:sz="4" w:space="0" w:color="auto"/>
              <w:right w:val="single" w:sz="4" w:space="0" w:color="auto"/>
            </w:tcBorders>
            <w:noWrap/>
            <w:vAlign w:val="bottom"/>
            <w:hideMark/>
          </w:tcPr>
          <w:p w14:paraId="321B0FAF" w14:textId="77777777" w:rsidR="00F95196" w:rsidRPr="00F95196" w:rsidRDefault="00F95196" w:rsidP="009E3AD8">
            <w:pPr>
              <w:spacing w:line="276" w:lineRule="auto"/>
              <w:jc w:val="right"/>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205</w:t>
            </w:r>
          </w:p>
        </w:tc>
        <w:tc>
          <w:tcPr>
            <w:tcW w:w="1340" w:type="dxa"/>
            <w:tcBorders>
              <w:top w:val="nil"/>
              <w:left w:val="nil"/>
              <w:bottom w:val="single" w:sz="4" w:space="0" w:color="auto"/>
              <w:right w:val="single" w:sz="4" w:space="0" w:color="auto"/>
            </w:tcBorders>
            <w:noWrap/>
            <w:vAlign w:val="bottom"/>
            <w:hideMark/>
          </w:tcPr>
          <w:p w14:paraId="5335873D" w14:textId="77777777" w:rsidR="00F95196" w:rsidRPr="00F95196" w:rsidRDefault="00F95196" w:rsidP="009E3AD8">
            <w:pPr>
              <w:spacing w:line="276" w:lineRule="auto"/>
              <w:jc w:val="right"/>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0.07</w:t>
            </w:r>
          </w:p>
        </w:tc>
        <w:tc>
          <w:tcPr>
            <w:tcW w:w="2080" w:type="dxa"/>
            <w:tcBorders>
              <w:top w:val="nil"/>
              <w:left w:val="nil"/>
              <w:bottom w:val="single" w:sz="4" w:space="0" w:color="auto"/>
              <w:right w:val="single" w:sz="4" w:space="0" w:color="auto"/>
            </w:tcBorders>
            <w:noWrap/>
            <w:vAlign w:val="bottom"/>
            <w:hideMark/>
          </w:tcPr>
          <w:p w14:paraId="479200C2" w14:textId="77777777" w:rsidR="00F95196" w:rsidRPr="00F95196" w:rsidRDefault="00F95196" w:rsidP="009E3AD8">
            <w:pPr>
              <w:spacing w:line="276" w:lineRule="auto"/>
              <w:jc w:val="right"/>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205</w:t>
            </w:r>
          </w:p>
        </w:tc>
        <w:tc>
          <w:tcPr>
            <w:tcW w:w="1170" w:type="dxa"/>
            <w:tcBorders>
              <w:top w:val="nil"/>
              <w:left w:val="nil"/>
              <w:bottom w:val="single" w:sz="4" w:space="0" w:color="auto"/>
              <w:right w:val="single" w:sz="8" w:space="0" w:color="auto"/>
            </w:tcBorders>
            <w:noWrap/>
            <w:vAlign w:val="bottom"/>
            <w:hideMark/>
          </w:tcPr>
          <w:p w14:paraId="4733E4E6" w14:textId="77777777" w:rsidR="00F95196" w:rsidRPr="00F95196" w:rsidRDefault="00F95196" w:rsidP="009E3AD8">
            <w:pPr>
              <w:spacing w:line="276" w:lineRule="auto"/>
              <w:jc w:val="right"/>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0.07</w:t>
            </w:r>
          </w:p>
        </w:tc>
      </w:tr>
      <w:tr w:rsidR="00F95196" w:rsidRPr="00F95196" w14:paraId="518FAFAA" w14:textId="77777777" w:rsidTr="00AA27EF">
        <w:trPr>
          <w:trHeight w:val="345"/>
          <w:jc w:val="center"/>
        </w:trPr>
        <w:tc>
          <w:tcPr>
            <w:tcW w:w="2900" w:type="dxa"/>
            <w:tcBorders>
              <w:top w:val="nil"/>
              <w:left w:val="single" w:sz="8" w:space="0" w:color="auto"/>
              <w:bottom w:val="single" w:sz="4" w:space="0" w:color="auto"/>
              <w:right w:val="single" w:sz="4" w:space="0" w:color="auto"/>
            </w:tcBorders>
            <w:vAlign w:val="center"/>
            <w:hideMark/>
          </w:tcPr>
          <w:p w14:paraId="5344F24C" w14:textId="77777777" w:rsidR="00F95196" w:rsidRPr="00F95196" w:rsidRDefault="00F95196" w:rsidP="009E3AD8">
            <w:pPr>
              <w:spacing w:line="276" w:lineRule="auto"/>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 xml:space="preserve">Alte </w:t>
            </w:r>
            <w:proofErr w:type="spellStart"/>
            <w:r w:rsidRPr="00F95196">
              <w:rPr>
                <w:rFonts w:asciiTheme="minorHAnsi" w:hAnsiTheme="minorHAnsi" w:cstheme="minorHAnsi"/>
                <w:color w:val="000000"/>
                <w:sz w:val="26"/>
                <w:szCs w:val="26"/>
                <w:lang w:val="en-US"/>
              </w:rPr>
              <w:t>cheltuieli</w:t>
            </w:r>
            <w:proofErr w:type="spellEnd"/>
          </w:p>
        </w:tc>
        <w:tc>
          <w:tcPr>
            <w:tcW w:w="1680" w:type="dxa"/>
            <w:tcBorders>
              <w:top w:val="nil"/>
              <w:left w:val="nil"/>
              <w:bottom w:val="single" w:sz="4" w:space="0" w:color="auto"/>
              <w:right w:val="single" w:sz="4" w:space="0" w:color="auto"/>
            </w:tcBorders>
            <w:noWrap/>
            <w:vAlign w:val="bottom"/>
            <w:hideMark/>
          </w:tcPr>
          <w:p w14:paraId="17101D1C" w14:textId="77777777" w:rsidR="00F95196" w:rsidRPr="00F95196" w:rsidRDefault="00F95196" w:rsidP="009E3AD8">
            <w:pPr>
              <w:spacing w:line="276" w:lineRule="auto"/>
              <w:jc w:val="right"/>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55 700</w:t>
            </w:r>
          </w:p>
        </w:tc>
        <w:tc>
          <w:tcPr>
            <w:tcW w:w="1340" w:type="dxa"/>
            <w:tcBorders>
              <w:top w:val="nil"/>
              <w:left w:val="nil"/>
              <w:bottom w:val="single" w:sz="4" w:space="0" w:color="auto"/>
              <w:right w:val="single" w:sz="4" w:space="0" w:color="auto"/>
            </w:tcBorders>
            <w:noWrap/>
            <w:vAlign w:val="bottom"/>
            <w:hideMark/>
          </w:tcPr>
          <w:p w14:paraId="60398A4B" w14:textId="77777777" w:rsidR="00F95196" w:rsidRPr="00F95196" w:rsidRDefault="00F95196" w:rsidP="009E3AD8">
            <w:pPr>
              <w:spacing w:line="276" w:lineRule="auto"/>
              <w:jc w:val="right"/>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19.82</w:t>
            </w:r>
          </w:p>
        </w:tc>
        <w:tc>
          <w:tcPr>
            <w:tcW w:w="2080" w:type="dxa"/>
            <w:tcBorders>
              <w:top w:val="nil"/>
              <w:left w:val="nil"/>
              <w:bottom w:val="single" w:sz="4" w:space="0" w:color="auto"/>
              <w:right w:val="single" w:sz="4" w:space="0" w:color="auto"/>
            </w:tcBorders>
            <w:noWrap/>
            <w:vAlign w:val="bottom"/>
            <w:hideMark/>
          </w:tcPr>
          <w:p w14:paraId="1A7B5842" w14:textId="77777777" w:rsidR="00F95196" w:rsidRPr="00F95196" w:rsidRDefault="00F95196" w:rsidP="009E3AD8">
            <w:pPr>
              <w:spacing w:line="276" w:lineRule="auto"/>
              <w:jc w:val="right"/>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55 700</w:t>
            </w:r>
          </w:p>
        </w:tc>
        <w:tc>
          <w:tcPr>
            <w:tcW w:w="1170" w:type="dxa"/>
            <w:tcBorders>
              <w:top w:val="nil"/>
              <w:left w:val="nil"/>
              <w:bottom w:val="single" w:sz="4" w:space="0" w:color="auto"/>
              <w:right w:val="single" w:sz="8" w:space="0" w:color="auto"/>
            </w:tcBorders>
            <w:noWrap/>
            <w:vAlign w:val="bottom"/>
            <w:hideMark/>
          </w:tcPr>
          <w:p w14:paraId="08F59CDE" w14:textId="77777777" w:rsidR="00F95196" w:rsidRPr="00F95196" w:rsidRDefault="00F95196" w:rsidP="009E3AD8">
            <w:pPr>
              <w:spacing w:line="276" w:lineRule="auto"/>
              <w:jc w:val="right"/>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20.17</w:t>
            </w:r>
          </w:p>
        </w:tc>
      </w:tr>
      <w:tr w:rsidR="00F95196" w:rsidRPr="00F95196" w14:paraId="274FA729" w14:textId="77777777" w:rsidTr="00AA27EF">
        <w:trPr>
          <w:trHeight w:val="1035"/>
          <w:jc w:val="center"/>
        </w:trPr>
        <w:tc>
          <w:tcPr>
            <w:tcW w:w="2900" w:type="dxa"/>
            <w:tcBorders>
              <w:top w:val="nil"/>
              <w:left w:val="single" w:sz="8" w:space="0" w:color="auto"/>
              <w:bottom w:val="single" w:sz="4" w:space="0" w:color="auto"/>
              <w:right w:val="single" w:sz="4" w:space="0" w:color="auto"/>
            </w:tcBorders>
            <w:vAlign w:val="center"/>
            <w:hideMark/>
          </w:tcPr>
          <w:p w14:paraId="1052DD62" w14:textId="77777777" w:rsidR="00F95196" w:rsidRPr="00F95196" w:rsidRDefault="00F95196" w:rsidP="009E3AD8">
            <w:pPr>
              <w:spacing w:line="276" w:lineRule="auto"/>
              <w:rPr>
                <w:rFonts w:asciiTheme="minorHAnsi" w:hAnsiTheme="minorHAnsi" w:cstheme="minorHAnsi"/>
                <w:color w:val="000000"/>
                <w:sz w:val="26"/>
                <w:szCs w:val="26"/>
                <w:lang w:val="en-US"/>
              </w:rPr>
            </w:pPr>
            <w:proofErr w:type="spellStart"/>
            <w:r w:rsidRPr="00F95196">
              <w:rPr>
                <w:rFonts w:asciiTheme="minorHAnsi" w:hAnsiTheme="minorHAnsi" w:cstheme="minorHAnsi"/>
                <w:color w:val="000000"/>
                <w:sz w:val="26"/>
                <w:szCs w:val="26"/>
                <w:lang w:val="en-US"/>
              </w:rPr>
              <w:t>Proiecte</w:t>
            </w:r>
            <w:proofErr w:type="spellEnd"/>
            <w:r w:rsidRPr="00F95196">
              <w:rPr>
                <w:rFonts w:asciiTheme="minorHAnsi" w:hAnsiTheme="minorHAnsi" w:cstheme="minorHAnsi"/>
                <w:color w:val="000000"/>
                <w:sz w:val="26"/>
                <w:szCs w:val="26"/>
                <w:lang w:val="en-US"/>
              </w:rPr>
              <w:t xml:space="preserve"> cu </w:t>
            </w:r>
            <w:proofErr w:type="spellStart"/>
            <w:r w:rsidRPr="00F95196">
              <w:rPr>
                <w:rFonts w:asciiTheme="minorHAnsi" w:hAnsiTheme="minorHAnsi" w:cstheme="minorHAnsi"/>
                <w:color w:val="000000"/>
                <w:sz w:val="26"/>
                <w:szCs w:val="26"/>
                <w:lang w:val="en-US"/>
              </w:rPr>
              <w:t>finanțate</w:t>
            </w:r>
            <w:proofErr w:type="spellEnd"/>
            <w:r w:rsidRPr="00F95196">
              <w:rPr>
                <w:rFonts w:asciiTheme="minorHAnsi" w:hAnsiTheme="minorHAnsi" w:cstheme="minorHAnsi"/>
                <w:color w:val="000000"/>
                <w:sz w:val="26"/>
                <w:szCs w:val="26"/>
                <w:lang w:val="en-US"/>
              </w:rPr>
              <w:t xml:space="preserve"> din </w:t>
            </w:r>
            <w:proofErr w:type="spellStart"/>
            <w:r w:rsidRPr="00F95196">
              <w:rPr>
                <w:rFonts w:asciiTheme="minorHAnsi" w:hAnsiTheme="minorHAnsi" w:cstheme="minorHAnsi"/>
                <w:color w:val="000000"/>
                <w:sz w:val="26"/>
                <w:szCs w:val="26"/>
                <w:lang w:val="en-US"/>
              </w:rPr>
              <w:t>sumele</w:t>
            </w:r>
            <w:proofErr w:type="spellEnd"/>
            <w:r w:rsidRPr="00F95196">
              <w:rPr>
                <w:rFonts w:asciiTheme="minorHAnsi" w:hAnsiTheme="minorHAnsi" w:cstheme="minorHAnsi"/>
                <w:color w:val="000000"/>
                <w:sz w:val="26"/>
                <w:szCs w:val="26"/>
                <w:lang w:val="en-US"/>
              </w:rPr>
              <w:t xml:space="preserve"> </w:t>
            </w:r>
            <w:proofErr w:type="spellStart"/>
            <w:r w:rsidRPr="00F95196">
              <w:rPr>
                <w:rFonts w:asciiTheme="minorHAnsi" w:hAnsiTheme="minorHAnsi" w:cstheme="minorHAnsi"/>
                <w:color w:val="000000"/>
                <w:sz w:val="26"/>
                <w:szCs w:val="26"/>
                <w:lang w:val="en-US"/>
              </w:rPr>
              <w:t>reprezentând</w:t>
            </w:r>
            <w:proofErr w:type="spellEnd"/>
            <w:r w:rsidRPr="00F95196">
              <w:rPr>
                <w:rFonts w:asciiTheme="minorHAnsi" w:hAnsiTheme="minorHAnsi" w:cstheme="minorHAnsi"/>
                <w:color w:val="000000"/>
                <w:sz w:val="26"/>
                <w:szCs w:val="26"/>
                <w:lang w:val="en-US"/>
              </w:rPr>
              <w:t xml:space="preserve"> </w:t>
            </w:r>
            <w:proofErr w:type="spellStart"/>
            <w:r w:rsidRPr="00F95196">
              <w:rPr>
                <w:rFonts w:asciiTheme="minorHAnsi" w:hAnsiTheme="minorHAnsi" w:cstheme="minorHAnsi"/>
                <w:color w:val="000000"/>
                <w:sz w:val="26"/>
                <w:szCs w:val="26"/>
                <w:lang w:val="en-US"/>
              </w:rPr>
              <w:t>asistență</w:t>
            </w:r>
            <w:proofErr w:type="spellEnd"/>
            <w:r w:rsidRPr="00F95196">
              <w:rPr>
                <w:rFonts w:asciiTheme="minorHAnsi" w:hAnsiTheme="minorHAnsi" w:cstheme="minorHAnsi"/>
                <w:color w:val="000000"/>
                <w:sz w:val="26"/>
                <w:szCs w:val="26"/>
                <w:lang w:val="en-US"/>
              </w:rPr>
              <w:t xml:space="preserve"> </w:t>
            </w:r>
            <w:proofErr w:type="spellStart"/>
            <w:r w:rsidRPr="00F95196">
              <w:rPr>
                <w:rFonts w:asciiTheme="minorHAnsi" w:hAnsiTheme="minorHAnsi" w:cstheme="minorHAnsi"/>
                <w:color w:val="000000"/>
                <w:sz w:val="26"/>
                <w:szCs w:val="26"/>
                <w:lang w:val="en-US"/>
              </w:rPr>
              <w:t>financiară</w:t>
            </w:r>
            <w:proofErr w:type="spellEnd"/>
            <w:r w:rsidRPr="00F95196">
              <w:rPr>
                <w:rFonts w:asciiTheme="minorHAnsi" w:hAnsiTheme="minorHAnsi" w:cstheme="minorHAnsi"/>
                <w:color w:val="000000"/>
                <w:sz w:val="26"/>
                <w:szCs w:val="26"/>
                <w:lang w:val="en-US"/>
              </w:rPr>
              <w:t xml:space="preserve"> PNRR</w:t>
            </w:r>
          </w:p>
        </w:tc>
        <w:tc>
          <w:tcPr>
            <w:tcW w:w="1680" w:type="dxa"/>
            <w:tcBorders>
              <w:top w:val="nil"/>
              <w:left w:val="nil"/>
              <w:bottom w:val="single" w:sz="4" w:space="0" w:color="auto"/>
              <w:right w:val="single" w:sz="4" w:space="0" w:color="auto"/>
            </w:tcBorders>
            <w:noWrap/>
            <w:vAlign w:val="bottom"/>
            <w:hideMark/>
          </w:tcPr>
          <w:p w14:paraId="5603BD29" w14:textId="77777777" w:rsidR="00F95196" w:rsidRPr="00F95196" w:rsidRDefault="00F95196" w:rsidP="009E3AD8">
            <w:pPr>
              <w:spacing w:line="276" w:lineRule="auto"/>
              <w:jc w:val="right"/>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635</w:t>
            </w:r>
          </w:p>
        </w:tc>
        <w:tc>
          <w:tcPr>
            <w:tcW w:w="1340" w:type="dxa"/>
            <w:tcBorders>
              <w:top w:val="nil"/>
              <w:left w:val="nil"/>
              <w:bottom w:val="single" w:sz="4" w:space="0" w:color="auto"/>
              <w:right w:val="single" w:sz="4" w:space="0" w:color="auto"/>
            </w:tcBorders>
            <w:noWrap/>
            <w:vAlign w:val="bottom"/>
            <w:hideMark/>
          </w:tcPr>
          <w:p w14:paraId="687CAF73" w14:textId="77777777" w:rsidR="00F95196" w:rsidRPr="00F95196" w:rsidRDefault="00F95196" w:rsidP="009E3AD8">
            <w:pPr>
              <w:spacing w:line="276" w:lineRule="auto"/>
              <w:jc w:val="right"/>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0.23</w:t>
            </w:r>
          </w:p>
        </w:tc>
        <w:tc>
          <w:tcPr>
            <w:tcW w:w="2080" w:type="dxa"/>
            <w:tcBorders>
              <w:top w:val="nil"/>
              <w:left w:val="nil"/>
              <w:bottom w:val="single" w:sz="4" w:space="0" w:color="auto"/>
              <w:right w:val="single" w:sz="4" w:space="0" w:color="auto"/>
            </w:tcBorders>
            <w:noWrap/>
            <w:vAlign w:val="bottom"/>
            <w:hideMark/>
          </w:tcPr>
          <w:p w14:paraId="1263BBA7" w14:textId="77777777" w:rsidR="00F95196" w:rsidRPr="00F95196" w:rsidRDefault="00F95196" w:rsidP="009E3AD8">
            <w:pPr>
              <w:spacing w:line="276" w:lineRule="auto"/>
              <w:jc w:val="right"/>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635</w:t>
            </w:r>
          </w:p>
        </w:tc>
        <w:tc>
          <w:tcPr>
            <w:tcW w:w="1170" w:type="dxa"/>
            <w:tcBorders>
              <w:top w:val="nil"/>
              <w:left w:val="nil"/>
              <w:bottom w:val="single" w:sz="4" w:space="0" w:color="auto"/>
              <w:right w:val="single" w:sz="8" w:space="0" w:color="auto"/>
            </w:tcBorders>
            <w:noWrap/>
            <w:vAlign w:val="bottom"/>
            <w:hideMark/>
          </w:tcPr>
          <w:p w14:paraId="1722A639" w14:textId="77777777" w:rsidR="00F95196" w:rsidRPr="00F95196" w:rsidRDefault="00F95196" w:rsidP="009E3AD8">
            <w:pPr>
              <w:spacing w:line="276" w:lineRule="auto"/>
              <w:jc w:val="right"/>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0.23</w:t>
            </w:r>
          </w:p>
        </w:tc>
      </w:tr>
      <w:tr w:rsidR="00F95196" w:rsidRPr="00F95196" w14:paraId="058998BE" w14:textId="77777777" w:rsidTr="00AA27EF">
        <w:trPr>
          <w:trHeight w:val="300"/>
          <w:jc w:val="center"/>
        </w:trPr>
        <w:tc>
          <w:tcPr>
            <w:tcW w:w="2900" w:type="dxa"/>
            <w:tcBorders>
              <w:top w:val="nil"/>
              <w:left w:val="single" w:sz="8" w:space="0" w:color="auto"/>
              <w:bottom w:val="single" w:sz="4" w:space="0" w:color="auto"/>
              <w:right w:val="single" w:sz="4" w:space="0" w:color="auto"/>
            </w:tcBorders>
            <w:vAlign w:val="center"/>
            <w:hideMark/>
          </w:tcPr>
          <w:p w14:paraId="35CC8A31" w14:textId="77777777" w:rsidR="00F95196" w:rsidRPr="00F95196" w:rsidRDefault="00F95196" w:rsidP="009E3AD8">
            <w:pPr>
              <w:spacing w:line="276" w:lineRule="auto"/>
              <w:rPr>
                <w:rFonts w:asciiTheme="minorHAnsi" w:hAnsiTheme="minorHAnsi" w:cstheme="minorHAnsi"/>
                <w:color w:val="000000"/>
                <w:sz w:val="26"/>
                <w:szCs w:val="26"/>
                <w:lang w:val="en-US"/>
              </w:rPr>
            </w:pPr>
            <w:proofErr w:type="spellStart"/>
            <w:r w:rsidRPr="00F95196">
              <w:rPr>
                <w:rFonts w:asciiTheme="minorHAnsi" w:hAnsiTheme="minorHAnsi" w:cstheme="minorHAnsi"/>
                <w:color w:val="000000"/>
                <w:sz w:val="26"/>
                <w:szCs w:val="26"/>
                <w:lang w:val="en-US"/>
              </w:rPr>
              <w:t>Cheltuieli</w:t>
            </w:r>
            <w:proofErr w:type="spellEnd"/>
            <w:r w:rsidRPr="00F95196">
              <w:rPr>
                <w:rFonts w:asciiTheme="minorHAnsi" w:hAnsiTheme="minorHAnsi" w:cstheme="minorHAnsi"/>
                <w:color w:val="000000"/>
                <w:sz w:val="26"/>
                <w:szCs w:val="26"/>
                <w:lang w:val="en-US"/>
              </w:rPr>
              <w:t xml:space="preserve"> de capital</w:t>
            </w:r>
          </w:p>
        </w:tc>
        <w:tc>
          <w:tcPr>
            <w:tcW w:w="1680" w:type="dxa"/>
            <w:tcBorders>
              <w:top w:val="nil"/>
              <w:left w:val="nil"/>
              <w:bottom w:val="single" w:sz="4" w:space="0" w:color="auto"/>
              <w:right w:val="single" w:sz="4" w:space="0" w:color="auto"/>
            </w:tcBorders>
            <w:noWrap/>
            <w:vAlign w:val="bottom"/>
            <w:hideMark/>
          </w:tcPr>
          <w:p w14:paraId="02DE396B" w14:textId="77777777" w:rsidR="00F95196" w:rsidRPr="00F95196" w:rsidRDefault="00F95196" w:rsidP="009E3AD8">
            <w:pPr>
              <w:spacing w:line="276" w:lineRule="auto"/>
              <w:jc w:val="right"/>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473</w:t>
            </w:r>
          </w:p>
        </w:tc>
        <w:tc>
          <w:tcPr>
            <w:tcW w:w="1340" w:type="dxa"/>
            <w:tcBorders>
              <w:top w:val="nil"/>
              <w:left w:val="nil"/>
              <w:bottom w:val="single" w:sz="4" w:space="0" w:color="auto"/>
              <w:right w:val="single" w:sz="4" w:space="0" w:color="auto"/>
            </w:tcBorders>
            <w:noWrap/>
            <w:vAlign w:val="bottom"/>
            <w:hideMark/>
          </w:tcPr>
          <w:p w14:paraId="224D7984" w14:textId="77777777" w:rsidR="00F95196" w:rsidRPr="00F95196" w:rsidRDefault="00F95196" w:rsidP="009E3AD8">
            <w:pPr>
              <w:spacing w:line="276" w:lineRule="auto"/>
              <w:jc w:val="right"/>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0.17</w:t>
            </w:r>
          </w:p>
        </w:tc>
        <w:tc>
          <w:tcPr>
            <w:tcW w:w="2080" w:type="dxa"/>
            <w:tcBorders>
              <w:top w:val="nil"/>
              <w:left w:val="nil"/>
              <w:bottom w:val="single" w:sz="4" w:space="0" w:color="auto"/>
              <w:right w:val="single" w:sz="4" w:space="0" w:color="auto"/>
            </w:tcBorders>
            <w:noWrap/>
            <w:vAlign w:val="bottom"/>
            <w:hideMark/>
          </w:tcPr>
          <w:p w14:paraId="113B86EA" w14:textId="77777777" w:rsidR="00F95196" w:rsidRPr="00F95196" w:rsidRDefault="00F95196" w:rsidP="009E3AD8">
            <w:pPr>
              <w:spacing w:line="276" w:lineRule="auto"/>
              <w:jc w:val="right"/>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473</w:t>
            </w:r>
          </w:p>
        </w:tc>
        <w:tc>
          <w:tcPr>
            <w:tcW w:w="1170" w:type="dxa"/>
            <w:tcBorders>
              <w:top w:val="nil"/>
              <w:left w:val="nil"/>
              <w:bottom w:val="single" w:sz="4" w:space="0" w:color="auto"/>
              <w:right w:val="single" w:sz="8" w:space="0" w:color="auto"/>
            </w:tcBorders>
            <w:noWrap/>
            <w:vAlign w:val="bottom"/>
            <w:hideMark/>
          </w:tcPr>
          <w:p w14:paraId="33B36DD7" w14:textId="77777777" w:rsidR="00F95196" w:rsidRPr="00F95196" w:rsidRDefault="00F95196" w:rsidP="009E3AD8">
            <w:pPr>
              <w:spacing w:line="276" w:lineRule="auto"/>
              <w:jc w:val="right"/>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0.17</w:t>
            </w:r>
          </w:p>
        </w:tc>
      </w:tr>
      <w:tr w:rsidR="00F95196" w:rsidRPr="00F95196" w14:paraId="6430F458" w14:textId="77777777" w:rsidTr="00AA27EF">
        <w:trPr>
          <w:trHeight w:val="360"/>
          <w:jc w:val="center"/>
        </w:trPr>
        <w:tc>
          <w:tcPr>
            <w:tcW w:w="2900" w:type="dxa"/>
            <w:tcBorders>
              <w:top w:val="nil"/>
              <w:left w:val="single" w:sz="8" w:space="0" w:color="auto"/>
              <w:bottom w:val="single" w:sz="8" w:space="0" w:color="auto"/>
              <w:right w:val="single" w:sz="4" w:space="0" w:color="auto"/>
            </w:tcBorders>
            <w:shd w:val="clear" w:color="auto" w:fill="D9D9D9" w:themeFill="background1" w:themeFillShade="D9"/>
            <w:noWrap/>
            <w:vAlign w:val="bottom"/>
            <w:hideMark/>
          </w:tcPr>
          <w:p w14:paraId="0AB55704" w14:textId="77777777" w:rsidR="00F95196" w:rsidRPr="00F95196" w:rsidRDefault="00F95196" w:rsidP="009E3AD8">
            <w:pPr>
              <w:spacing w:line="276" w:lineRule="auto"/>
              <w:rPr>
                <w:rFonts w:asciiTheme="minorHAnsi" w:hAnsiTheme="minorHAnsi" w:cstheme="minorHAnsi"/>
                <w:color w:val="000000"/>
                <w:sz w:val="26"/>
                <w:szCs w:val="26"/>
                <w:lang w:val="en-US"/>
              </w:rPr>
            </w:pPr>
            <w:r w:rsidRPr="00F95196">
              <w:rPr>
                <w:rFonts w:asciiTheme="minorHAnsi" w:hAnsiTheme="minorHAnsi" w:cstheme="minorHAnsi"/>
                <w:color w:val="000000"/>
                <w:sz w:val="26"/>
                <w:szCs w:val="26"/>
                <w:lang w:val="en-US"/>
              </w:rPr>
              <w:t>Total</w:t>
            </w:r>
          </w:p>
        </w:tc>
        <w:tc>
          <w:tcPr>
            <w:tcW w:w="1680" w:type="dxa"/>
            <w:tcBorders>
              <w:top w:val="nil"/>
              <w:left w:val="nil"/>
              <w:bottom w:val="single" w:sz="8" w:space="0" w:color="auto"/>
              <w:right w:val="single" w:sz="4" w:space="0" w:color="auto"/>
            </w:tcBorders>
            <w:shd w:val="clear" w:color="auto" w:fill="D9D9D9" w:themeFill="background1" w:themeFillShade="D9"/>
            <w:noWrap/>
            <w:vAlign w:val="bottom"/>
            <w:hideMark/>
          </w:tcPr>
          <w:p w14:paraId="69D7EB73" w14:textId="77777777" w:rsidR="00F95196" w:rsidRPr="00F95196" w:rsidRDefault="00F95196" w:rsidP="009E3AD8">
            <w:pPr>
              <w:spacing w:line="276" w:lineRule="auto"/>
              <w:jc w:val="right"/>
              <w:rPr>
                <w:rFonts w:asciiTheme="minorHAnsi" w:hAnsiTheme="minorHAnsi" w:cstheme="minorHAnsi"/>
                <w:b/>
                <w:bCs/>
                <w:color w:val="000000"/>
                <w:sz w:val="26"/>
                <w:szCs w:val="26"/>
                <w:lang w:val="en-US"/>
              </w:rPr>
            </w:pPr>
            <w:r w:rsidRPr="00F95196">
              <w:rPr>
                <w:rFonts w:asciiTheme="minorHAnsi" w:hAnsiTheme="minorHAnsi" w:cstheme="minorHAnsi"/>
                <w:b/>
                <w:bCs/>
                <w:color w:val="000000"/>
                <w:sz w:val="26"/>
                <w:szCs w:val="26"/>
                <w:lang w:val="en-US"/>
              </w:rPr>
              <w:t>281 040</w:t>
            </w:r>
          </w:p>
        </w:tc>
        <w:tc>
          <w:tcPr>
            <w:tcW w:w="1340" w:type="dxa"/>
            <w:tcBorders>
              <w:top w:val="nil"/>
              <w:left w:val="nil"/>
              <w:bottom w:val="single" w:sz="8" w:space="0" w:color="auto"/>
              <w:right w:val="single" w:sz="4" w:space="0" w:color="auto"/>
            </w:tcBorders>
            <w:shd w:val="clear" w:color="auto" w:fill="D9D9D9" w:themeFill="background1" w:themeFillShade="D9"/>
            <w:noWrap/>
            <w:vAlign w:val="bottom"/>
            <w:hideMark/>
          </w:tcPr>
          <w:p w14:paraId="1B70810F" w14:textId="77777777" w:rsidR="00F95196" w:rsidRPr="00F95196" w:rsidRDefault="00F95196" w:rsidP="009E3AD8">
            <w:pPr>
              <w:spacing w:line="276" w:lineRule="auto"/>
              <w:jc w:val="right"/>
              <w:rPr>
                <w:rFonts w:asciiTheme="minorHAnsi" w:hAnsiTheme="minorHAnsi" w:cstheme="minorHAnsi"/>
                <w:b/>
                <w:bCs/>
                <w:color w:val="000000"/>
                <w:sz w:val="26"/>
                <w:szCs w:val="26"/>
                <w:lang w:val="en-US"/>
              </w:rPr>
            </w:pPr>
            <w:r w:rsidRPr="00F95196">
              <w:rPr>
                <w:rFonts w:asciiTheme="minorHAnsi" w:hAnsiTheme="minorHAnsi" w:cstheme="minorHAnsi"/>
                <w:b/>
                <w:bCs/>
                <w:color w:val="000000"/>
                <w:sz w:val="26"/>
                <w:szCs w:val="26"/>
                <w:lang w:val="en-US"/>
              </w:rPr>
              <w:t>100</w:t>
            </w:r>
          </w:p>
        </w:tc>
        <w:tc>
          <w:tcPr>
            <w:tcW w:w="2080" w:type="dxa"/>
            <w:tcBorders>
              <w:top w:val="nil"/>
              <w:left w:val="nil"/>
              <w:bottom w:val="single" w:sz="8" w:space="0" w:color="auto"/>
              <w:right w:val="single" w:sz="4" w:space="0" w:color="auto"/>
            </w:tcBorders>
            <w:shd w:val="clear" w:color="auto" w:fill="D9D9D9" w:themeFill="background1" w:themeFillShade="D9"/>
            <w:noWrap/>
            <w:vAlign w:val="bottom"/>
            <w:hideMark/>
          </w:tcPr>
          <w:p w14:paraId="4613CD9A" w14:textId="77777777" w:rsidR="00F95196" w:rsidRPr="00F95196" w:rsidRDefault="00F95196" w:rsidP="009E3AD8">
            <w:pPr>
              <w:spacing w:line="276" w:lineRule="auto"/>
              <w:jc w:val="right"/>
              <w:rPr>
                <w:rFonts w:asciiTheme="minorHAnsi" w:hAnsiTheme="minorHAnsi" w:cstheme="minorHAnsi"/>
                <w:b/>
                <w:bCs/>
                <w:color w:val="000000"/>
                <w:sz w:val="26"/>
                <w:szCs w:val="26"/>
                <w:lang w:val="en-US"/>
              </w:rPr>
            </w:pPr>
            <w:r w:rsidRPr="00F95196">
              <w:rPr>
                <w:rFonts w:asciiTheme="minorHAnsi" w:hAnsiTheme="minorHAnsi" w:cstheme="minorHAnsi"/>
                <w:b/>
                <w:bCs/>
                <w:color w:val="000000"/>
                <w:sz w:val="26"/>
                <w:szCs w:val="26"/>
                <w:lang w:val="en-US"/>
              </w:rPr>
              <w:t>276 186</w:t>
            </w:r>
          </w:p>
        </w:tc>
        <w:tc>
          <w:tcPr>
            <w:tcW w:w="1170" w:type="dxa"/>
            <w:tcBorders>
              <w:top w:val="nil"/>
              <w:left w:val="nil"/>
              <w:bottom w:val="single" w:sz="8" w:space="0" w:color="auto"/>
              <w:right w:val="single" w:sz="8" w:space="0" w:color="auto"/>
            </w:tcBorders>
            <w:shd w:val="clear" w:color="auto" w:fill="D9D9D9" w:themeFill="background1" w:themeFillShade="D9"/>
            <w:noWrap/>
            <w:vAlign w:val="bottom"/>
            <w:hideMark/>
          </w:tcPr>
          <w:p w14:paraId="00C36CC8" w14:textId="77777777" w:rsidR="00F95196" w:rsidRPr="00F95196" w:rsidRDefault="00F95196" w:rsidP="009E3AD8">
            <w:pPr>
              <w:spacing w:line="276" w:lineRule="auto"/>
              <w:jc w:val="right"/>
              <w:rPr>
                <w:rFonts w:asciiTheme="minorHAnsi" w:hAnsiTheme="minorHAnsi" w:cstheme="minorHAnsi"/>
                <w:b/>
                <w:bCs/>
                <w:color w:val="000000"/>
                <w:sz w:val="26"/>
                <w:szCs w:val="26"/>
                <w:lang w:val="en-US"/>
              </w:rPr>
            </w:pPr>
            <w:r w:rsidRPr="00F95196">
              <w:rPr>
                <w:rFonts w:asciiTheme="minorHAnsi" w:hAnsiTheme="minorHAnsi" w:cstheme="minorHAnsi"/>
                <w:b/>
                <w:bCs/>
                <w:color w:val="000000"/>
                <w:sz w:val="26"/>
                <w:szCs w:val="26"/>
                <w:lang w:val="en-US"/>
              </w:rPr>
              <w:t>100</w:t>
            </w:r>
          </w:p>
        </w:tc>
      </w:tr>
    </w:tbl>
    <w:p w14:paraId="451ABCF2" w14:textId="77777777" w:rsidR="00F95196" w:rsidRPr="00F95196" w:rsidRDefault="00F95196" w:rsidP="009E3AD8">
      <w:pPr>
        <w:tabs>
          <w:tab w:val="left" w:pos="7968"/>
        </w:tabs>
        <w:spacing w:line="276" w:lineRule="auto"/>
        <w:ind w:left="8325"/>
        <w:contextualSpacing/>
        <w:jc w:val="both"/>
        <w:rPr>
          <w:rFonts w:ascii="Calibri" w:hAnsi="Calibri" w:cs="Calibri"/>
          <w:b/>
          <w:sz w:val="26"/>
          <w:szCs w:val="26"/>
        </w:rPr>
      </w:pPr>
    </w:p>
    <w:p w14:paraId="2DCF6136" w14:textId="77777777" w:rsidR="00F95196" w:rsidRPr="00F95196" w:rsidRDefault="00F95196" w:rsidP="009E3AD8">
      <w:pPr>
        <w:spacing w:line="276" w:lineRule="auto"/>
      </w:pPr>
    </w:p>
    <w:p w14:paraId="07D13188" w14:textId="77777777" w:rsidR="00F95196" w:rsidRPr="00F95196" w:rsidRDefault="00F95196" w:rsidP="009E3AD8">
      <w:pPr>
        <w:spacing w:line="276" w:lineRule="auto"/>
        <w:rPr>
          <w:rFonts w:ascii="Calibri" w:hAnsi="Calibri" w:cs="Calibri"/>
          <w:color w:val="FF0000"/>
          <w:sz w:val="26"/>
          <w:szCs w:val="26"/>
        </w:rPr>
      </w:pPr>
      <w:r w:rsidRPr="00F95196">
        <w:rPr>
          <w:noProof/>
        </w:rPr>
        <w:drawing>
          <wp:inline distT="0" distB="0" distL="0" distR="0" wp14:anchorId="5D1C44E3" wp14:editId="208BB359">
            <wp:extent cx="6629400" cy="5419725"/>
            <wp:effectExtent l="0" t="0" r="0" b="9525"/>
            <wp:docPr id="2081453625" name="Chart 1">
              <a:extLst xmlns:a="http://schemas.openxmlformats.org/drawingml/2006/main">
                <a:ext uri="{FF2B5EF4-FFF2-40B4-BE49-F238E27FC236}">
                  <a16:creationId xmlns:a16="http://schemas.microsoft.com/office/drawing/2014/main" id="{00000000-0008-0000-03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3F05D42" w14:textId="1D8C4851" w:rsidR="00F95196" w:rsidRPr="00F95196" w:rsidRDefault="00F23652" w:rsidP="009E3AD8">
      <w:pPr>
        <w:keepNext/>
        <w:tabs>
          <w:tab w:val="left" w:pos="851"/>
        </w:tabs>
        <w:spacing w:line="276" w:lineRule="auto"/>
        <w:jc w:val="both"/>
        <w:outlineLvl w:val="1"/>
        <w:rPr>
          <w:rFonts w:ascii="Calibri" w:hAnsi="Calibri" w:cs="Calibri"/>
          <w:color w:val="000000" w:themeColor="text1"/>
          <w:sz w:val="26"/>
          <w:szCs w:val="26"/>
        </w:rPr>
      </w:pPr>
      <w:r>
        <w:rPr>
          <w:rFonts w:ascii="Calibri" w:hAnsi="Calibri" w:cs="Calibri"/>
          <w:color w:val="000000" w:themeColor="text1"/>
          <w:sz w:val="26"/>
          <w:szCs w:val="26"/>
        </w:rPr>
        <w:lastRenderedPageBreak/>
        <w:tab/>
      </w:r>
      <w:bookmarkStart w:id="129" w:name="_Toc219287972"/>
      <w:r w:rsidR="00F95196" w:rsidRPr="00F95196">
        <w:rPr>
          <w:rFonts w:ascii="Calibri" w:hAnsi="Calibri" w:cs="Calibri"/>
          <w:color w:val="000000" w:themeColor="text1"/>
          <w:sz w:val="26"/>
          <w:szCs w:val="26"/>
        </w:rPr>
        <w:t>Evoluţia în structură a cheltuielilor aprobate pentru anul 2025 faţă de realizatul anului 2024 este semnificativă, putem observa o creștere în perspectiva anului 2026, aceasta fiind raportată la necesarul real al cheltuielilor.</w:t>
      </w:r>
      <w:bookmarkEnd w:id="129"/>
      <w:r w:rsidR="00F95196" w:rsidRPr="00F95196">
        <w:rPr>
          <w:rFonts w:ascii="Calibri" w:hAnsi="Calibri" w:cs="Calibri"/>
          <w:color w:val="000000" w:themeColor="text1"/>
          <w:sz w:val="26"/>
          <w:szCs w:val="26"/>
        </w:rPr>
        <w:t xml:space="preserve"> </w:t>
      </w:r>
    </w:p>
    <w:p w14:paraId="103D953C" w14:textId="77777777" w:rsidR="00AA27EF" w:rsidRDefault="00F95196" w:rsidP="00AA27EF">
      <w:pPr>
        <w:keepNext/>
        <w:spacing w:line="276" w:lineRule="auto"/>
        <w:ind w:firstLine="720"/>
        <w:jc w:val="both"/>
        <w:rPr>
          <w:rFonts w:ascii="Calibri" w:hAnsi="Calibri" w:cs="Calibri"/>
          <w:b/>
          <w:sz w:val="26"/>
          <w:szCs w:val="26"/>
        </w:rPr>
      </w:pPr>
      <w:r w:rsidRPr="00F95196">
        <w:rPr>
          <w:rFonts w:ascii="Calibri" w:hAnsi="Calibri" w:cs="Calibri"/>
          <w:b/>
          <w:sz w:val="26"/>
          <w:szCs w:val="26"/>
        </w:rPr>
        <w:t xml:space="preserve">Reprezentarea grafică a indicatorilor cu cea mai mare pondere în bugetul total se prezintă </w:t>
      </w:r>
      <w:r w:rsidR="00AA27EF">
        <w:rPr>
          <w:rFonts w:ascii="Calibri" w:hAnsi="Calibri" w:cs="Calibri"/>
          <w:b/>
          <w:sz w:val="26"/>
          <w:szCs w:val="26"/>
        </w:rPr>
        <w:t>a</w:t>
      </w:r>
      <w:r w:rsidRPr="00F95196">
        <w:rPr>
          <w:rFonts w:ascii="Calibri" w:hAnsi="Calibri" w:cs="Calibri"/>
          <w:b/>
          <w:sz w:val="26"/>
          <w:szCs w:val="26"/>
        </w:rPr>
        <w:t>stfel:</w:t>
      </w:r>
    </w:p>
    <w:p w14:paraId="15B37897" w14:textId="4FE49BE6" w:rsidR="00F95196" w:rsidRPr="00F95196" w:rsidRDefault="00F95196" w:rsidP="00AA27EF">
      <w:pPr>
        <w:keepNext/>
        <w:spacing w:line="276" w:lineRule="auto"/>
        <w:jc w:val="center"/>
        <w:rPr>
          <w:rFonts w:ascii="Calibri" w:hAnsi="Calibri" w:cs="Calibri"/>
          <w:sz w:val="26"/>
          <w:szCs w:val="26"/>
        </w:rPr>
      </w:pPr>
      <w:r w:rsidRPr="00F95196">
        <w:rPr>
          <w:noProof/>
        </w:rPr>
        <w:drawing>
          <wp:inline distT="0" distB="0" distL="0" distR="0" wp14:anchorId="2A6C32FA" wp14:editId="1F5E346E">
            <wp:extent cx="5762625" cy="3248026"/>
            <wp:effectExtent l="0" t="0" r="9525" b="9525"/>
            <wp:docPr id="1953293303" name="Chart 1">
              <a:extLst xmlns:a="http://schemas.openxmlformats.org/drawingml/2006/main">
                <a:ext uri="{FF2B5EF4-FFF2-40B4-BE49-F238E27FC236}">
                  <a16:creationId xmlns:a16="http://schemas.microsoft.com/office/drawing/2014/main" id="{00000000-0008-0000-01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AFBC71B" w14:textId="7E0E6405" w:rsidR="00F95196" w:rsidRPr="00060958" w:rsidRDefault="00F95196" w:rsidP="009E3AD8">
      <w:pPr>
        <w:spacing w:line="276" w:lineRule="auto"/>
        <w:ind w:firstLine="720"/>
        <w:rPr>
          <w:rFonts w:ascii="Calibri" w:hAnsi="Calibri" w:cs="Calibri"/>
          <w:b/>
          <w:bCs/>
          <w:sz w:val="26"/>
          <w:szCs w:val="26"/>
        </w:rPr>
      </w:pPr>
      <w:r w:rsidRPr="00F95196">
        <w:rPr>
          <w:rFonts w:ascii="Calibri" w:hAnsi="Calibri" w:cs="Calibri"/>
          <w:sz w:val="26"/>
          <w:szCs w:val="26"/>
        </w:rPr>
        <w:t xml:space="preserve">                                                                                                                      </w:t>
      </w:r>
      <w:r w:rsidR="00712653">
        <w:rPr>
          <w:rFonts w:ascii="Calibri" w:hAnsi="Calibri" w:cs="Calibri"/>
          <w:sz w:val="26"/>
          <w:szCs w:val="26"/>
        </w:rPr>
        <w:t xml:space="preserve">                            </w:t>
      </w:r>
      <w:r w:rsidRPr="00F95196">
        <w:rPr>
          <w:rFonts w:ascii="Calibri" w:hAnsi="Calibri" w:cs="Calibri"/>
          <w:sz w:val="26"/>
          <w:szCs w:val="26"/>
        </w:rPr>
        <w:t xml:space="preserve">    </w:t>
      </w:r>
      <w:r w:rsidRPr="00060958">
        <w:rPr>
          <w:rFonts w:ascii="Calibri" w:hAnsi="Calibri" w:cs="Calibri"/>
          <w:b/>
          <w:bCs/>
          <w:sz w:val="26"/>
          <w:szCs w:val="26"/>
        </w:rPr>
        <w:t xml:space="preserve">mii lei </w:t>
      </w:r>
    </w:p>
    <w:tbl>
      <w:tblPr>
        <w:tblW w:w="10194" w:type="dxa"/>
        <w:tblLook w:val="04A0" w:firstRow="1" w:lastRow="0" w:firstColumn="1" w:lastColumn="0" w:noHBand="0" w:noVBand="1"/>
      </w:tblPr>
      <w:tblGrid>
        <w:gridCol w:w="3823"/>
        <w:gridCol w:w="458"/>
        <w:gridCol w:w="642"/>
        <w:gridCol w:w="1451"/>
        <w:gridCol w:w="1977"/>
        <w:gridCol w:w="1843"/>
      </w:tblGrid>
      <w:tr w:rsidR="00F95196" w:rsidRPr="00F95196" w14:paraId="644604BC" w14:textId="77777777" w:rsidTr="00BE6FF5">
        <w:trPr>
          <w:trHeight w:val="300"/>
        </w:trPr>
        <w:tc>
          <w:tcPr>
            <w:tcW w:w="3823" w:type="dxa"/>
            <w:tcBorders>
              <w:top w:val="single" w:sz="4" w:space="0" w:color="auto"/>
              <w:left w:val="single" w:sz="4" w:space="0" w:color="auto"/>
              <w:bottom w:val="single" w:sz="4" w:space="0" w:color="auto"/>
              <w:right w:val="single" w:sz="4" w:space="0" w:color="auto"/>
            </w:tcBorders>
            <w:noWrap/>
            <w:vAlign w:val="bottom"/>
            <w:hideMark/>
          </w:tcPr>
          <w:p w14:paraId="38123F12" w14:textId="77777777" w:rsidR="00F95196" w:rsidRPr="00F95196" w:rsidRDefault="00F95196" w:rsidP="009E3AD8">
            <w:pPr>
              <w:spacing w:line="276" w:lineRule="auto"/>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 </w:t>
            </w:r>
          </w:p>
        </w:tc>
        <w:tc>
          <w:tcPr>
            <w:tcW w:w="458" w:type="dxa"/>
            <w:tcBorders>
              <w:top w:val="single" w:sz="4" w:space="0" w:color="auto"/>
              <w:left w:val="nil"/>
              <w:bottom w:val="single" w:sz="4" w:space="0" w:color="auto"/>
              <w:right w:val="single" w:sz="4" w:space="0" w:color="auto"/>
            </w:tcBorders>
            <w:noWrap/>
            <w:vAlign w:val="bottom"/>
            <w:hideMark/>
          </w:tcPr>
          <w:p w14:paraId="2F0A790C" w14:textId="77777777" w:rsidR="00F95196" w:rsidRPr="00F95196" w:rsidRDefault="00F95196" w:rsidP="009E3AD8">
            <w:pPr>
              <w:spacing w:line="276" w:lineRule="auto"/>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 </w:t>
            </w:r>
          </w:p>
        </w:tc>
        <w:tc>
          <w:tcPr>
            <w:tcW w:w="642" w:type="dxa"/>
            <w:tcBorders>
              <w:top w:val="single" w:sz="4" w:space="0" w:color="auto"/>
              <w:left w:val="nil"/>
              <w:bottom w:val="single" w:sz="4" w:space="0" w:color="auto"/>
              <w:right w:val="nil"/>
            </w:tcBorders>
          </w:tcPr>
          <w:p w14:paraId="3FD27D3A" w14:textId="77777777" w:rsidR="00F95196" w:rsidRPr="00F95196" w:rsidRDefault="00F95196" w:rsidP="009E3AD8">
            <w:pPr>
              <w:spacing w:line="276" w:lineRule="auto"/>
              <w:jc w:val="right"/>
              <w:rPr>
                <w:rFonts w:ascii="Calibri Light" w:hAnsi="Calibri Light" w:cs="Calibri Light"/>
                <w:b/>
                <w:bCs/>
                <w:color w:val="000000"/>
                <w:sz w:val="22"/>
                <w:szCs w:val="22"/>
                <w:lang w:val="en-US"/>
              </w:rPr>
            </w:pPr>
          </w:p>
        </w:tc>
        <w:tc>
          <w:tcPr>
            <w:tcW w:w="1451" w:type="dxa"/>
            <w:tcBorders>
              <w:top w:val="single" w:sz="4" w:space="0" w:color="auto"/>
              <w:left w:val="nil"/>
              <w:bottom w:val="single" w:sz="4" w:space="0" w:color="auto"/>
              <w:right w:val="single" w:sz="4" w:space="0" w:color="auto"/>
            </w:tcBorders>
            <w:noWrap/>
            <w:vAlign w:val="bottom"/>
            <w:hideMark/>
          </w:tcPr>
          <w:p w14:paraId="091AF8EF" w14:textId="77777777" w:rsidR="00F95196" w:rsidRPr="00F95196" w:rsidRDefault="00F95196" w:rsidP="009E3AD8">
            <w:pPr>
              <w:spacing w:line="276" w:lineRule="auto"/>
              <w:jc w:val="right"/>
              <w:rPr>
                <w:rFonts w:ascii="Calibri Light" w:hAnsi="Calibri Light" w:cs="Calibri Light"/>
                <w:b/>
                <w:bCs/>
                <w:color w:val="000000"/>
                <w:sz w:val="22"/>
                <w:szCs w:val="22"/>
                <w:lang w:val="en-US"/>
              </w:rPr>
            </w:pPr>
            <w:r w:rsidRPr="00F95196">
              <w:rPr>
                <w:rFonts w:ascii="Calibri Light" w:hAnsi="Calibri Light" w:cs="Calibri Light"/>
                <w:b/>
                <w:bCs/>
                <w:color w:val="000000"/>
                <w:sz w:val="22"/>
                <w:szCs w:val="22"/>
                <w:lang w:val="en-US"/>
              </w:rPr>
              <w:t>2024</w:t>
            </w:r>
          </w:p>
        </w:tc>
        <w:tc>
          <w:tcPr>
            <w:tcW w:w="1977" w:type="dxa"/>
            <w:tcBorders>
              <w:top w:val="single" w:sz="4" w:space="0" w:color="auto"/>
              <w:left w:val="nil"/>
              <w:bottom w:val="single" w:sz="4" w:space="0" w:color="auto"/>
              <w:right w:val="single" w:sz="4" w:space="0" w:color="auto"/>
            </w:tcBorders>
            <w:noWrap/>
            <w:vAlign w:val="bottom"/>
            <w:hideMark/>
          </w:tcPr>
          <w:p w14:paraId="6ACC9AA6" w14:textId="77777777" w:rsidR="00F95196" w:rsidRPr="00F95196" w:rsidRDefault="00F95196" w:rsidP="009E3AD8">
            <w:pPr>
              <w:spacing w:line="276" w:lineRule="auto"/>
              <w:jc w:val="right"/>
              <w:rPr>
                <w:rFonts w:ascii="Calibri Light" w:hAnsi="Calibri Light" w:cs="Calibri Light"/>
                <w:b/>
                <w:bCs/>
                <w:color w:val="000000"/>
                <w:sz w:val="22"/>
                <w:szCs w:val="22"/>
                <w:lang w:val="en-US"/>
              </w:rPr>
            </w:pPr>
            <w:r w:rsidRPr="00F95196">
              <w:rPr>
                <w:rFonts w:ascii="Calibri Light" w:hAnsi="Calibri Light" w:cs="Calibri Light"/>
                <w:b/>
                <w:bCs/>
                <w:color w:val="000000"/>
                <w:sz w:val="22"/>
                <w:szCs w:val="22"/>
                <w:lang w:val="en-US"/>
              </w:rPr>
              <w:t>2025</w:t>
            </w:r>
          </w:p>
        </w:tc>
        <w:tc>
          <w:tcPr>
            <w:tcW w:w="1843" w:type="dxa"/>
            <w:tcBorders>
              <w:top w:val="single" w:sz="4" w:space="0" w:color="auto"/>
              <w:left w:val="nil"/>
              <w:bottom w:val="single" w:sz="4" w:space="0" w:color="auto"/>
              <w:right w:val="single" w:sz="4" w:space="0" w:color="auto"/>
            </w:tcBorders>
            <w:noWrap/>
            <w:vAlign w:val="bottom"/>
            <w:hideMark/>
          </w:tcPr>
          <w:p w14:paraId="4655CA7D" w14:textId="77777777" w:rsidR="00F95196" w:rsidRPr="00F95196" w:rsidRDefault="00F95196" w:rsidP="009E3AD8">
            <w:pPr>
              <w:spacing w:line="276" w:lineRule="auto"/>
              <w:jc w:val="right"/>
              <w:rPr>
                <w:rFonts w:ascii="Calibri Light" w:hAnsi="Calibri Light" w:cs="Calibri Light"/>
                <w:b/>
                <w:bCs/>
                <w:color w:val="000000"/>
                <w:sz w:val="22"/>
                <w:szCs w:val="22"/>
                <w:lang w:val="en-US"/>
              </w:rPr>
            </w:pPr>
            <w:r w:rsidRPr="00F95196">
              <w:rPr>
                <w:rFonts w:ascii="Calibri Light" w:hAnsi="Calibri Light" w:cs="Calibri Light"/>
                <w:b/>
                <w:bCs/>
                <w:color w:val="000000"/>
                <w:sz w:val="22"/>
                <w:szCs w:val="22"/>
                <w:lang w:val="en-US"/>
              </w:rPr>
              <w:t>2026</w:t>
            </w:r>
          </w:p>
        </w:tc>
      </w:tr>
      <w:tr w:rsidR="00F95196" w:rsidRPr="00F95196" w14:paraId="5BECF363" w14:textId="77777777" w:rsidTr="00BE6FF5">
        <w:trPr>
          <w:trHeight w:val="300"/>
        </w:trPr>
        <w:tc>
          <w:tcPr>
            <w:tcW w:w="3823" w:type="dxa"/>
            <w:vMerge w:val="restart"/>
            <w:tcBorders>
              <w:top w:val="nil"/>
              <w:left w:val="single" w:sz="4" w:space="0" w:color="auto"/>
              <w:bottom w:val="single" w:sz="4" w:space="0" w:color="000000"/>
              <w:right w:val="single" w:sz="4" w:space="0" w:color="auto"/>
            </w:tcBorders>
            <w:noWrap/>
            <w:vAlign w:val="center"/>
            <w:hideMark/>
          </w:tcPr>
          <w:p w14:paraId="6D308CA4" w14:textId="77777777" w:rsidR="00F95196" w:rsidRPr="00F95196" w:rsidRDefault="00F95196" w:rsidP="009E3AD8">
            <w:pPr>
              <w:spacing w:line="276" w:lineRule="auto"/>
              <w:jc w:val="center"/>
              <w:rPr>
                <w:rFonts w:ascii="Calibri Light" w:hAnsi="Calibri Light" w:cs="Calibri Light"/>
                <w:b/>
                <w:bCs/>
                <w:color w:val="000000"/>
                <w:sz w:val="22"/>
                <w:szCs w:val="22"/>
                <w:lang w:val="en-US"/>
              </w:rPr>
            </w:pPr>
            <w:r w:rsidRPr="00F95196">
              <w:rPr>
                <w:rFonts w:ascii="Calibri Light" w:hAnsi="Calibri Light" w:cs="Calibri Light"/>
                <w:b/>
                <w:bCs/>
                <w:color w:val="000000"/>
                <w:sz w:val="22"/>
                <w:szCs w:val="22"/>
                <w:lang w:val="en-US"/>
              </w:rPr>
              <w:t>Total</w:t>
            </w:r>
          </w:p>
        </w:tc>
        <w:tc>
          <w:tcPr>
            <w:tcW w:w="458" w:type="dxa"/>
            <w:tcBorders>
              <w:top w:val="nil"/>
              <w:left w:val="nil"/>
              <w:bottom w:val="single" w:sz="4" w:space="0" w:color="auto"/>
              <w:right w:val="single" w:sz="4" w:space="0" w:color="auto"/>
            </w:tcBorders>
            <w:noWrap/>
            <w:vAlign w:val="bottom"/>
            <w:hideMark/>
          </w:tcPr>
          <w:p w14:paraId="7A906271" w14:textId="77777777" w:rsidR="00F95196" w:rsidRPr="00F95196" w:rsidRDefault="00F95196" w:rsidP="009E3AD8">
            <w:pPr>
              <w:spacing w:line="276" w:lineRule="auto"/>
              <w:rPr>
                <w:rFonts w:ascii="Calibri Light" w:hAnsi="Calibri Light" w:cs="Calibri Light"/>
                <w:b/>
                <w:bCs/>
                <w:color w:val="000000"/>
                <w:sz w:val="22"/>
                <w:szCs w:val="22"/>
                <w:lang w:val="en-US"/>
              </w:rPr>
            </w:pPr>
            <w:r w:rsidRPr="00F95196">
              <w:rPr>
                <w:rFonts w:ascii="Calibri Light" w:hAnsi="Calibri Light" w:cs="Calibri Light"/>
                <w:b/>
                <w:bCs/>
                <w:color w:val="000000"/>
                <w:sz w:val="22"/>
                <w:szCs w:val="22"/>
                <w:lang w:val="en-US"/>
              </w:rPr>
              <w:t>CA</w:t>
            </w:r>
          </w:p>
        </w:tc>
        <w:tc>
          <w:tcPr>
            <w:tcW w:w="642" w:type="dxa"/>
            <w:tcBorders>
              <w:top w:val="nil"/>
              <w:left w:val="nil"/>
              <w:bottom w:val="single" w:sz="4" w:space="0" w:color="auto"/>
              <w:right w:val="nil"/>
            </w:tcBorders>
          </w:tcPr>
          <w:p w14:paraId="101D746D" w14:textId="77777777" w:rsidR="00F95196" w:rsidRPr="00F95196" w:rsidRDefault="00F95196" w:rsidP="009E3AD8">
            <w:pPr>
              <w:spacing w:line="276" w:lineRule="auto"/>
              <w:jc w:val="right"/>
              <w:rPr>
                <w:rFonts w:ascii="Calibri Light" w:hAnsi="Calibri Light" w:cs="Calibri Light"/>
                <w:color w:val="000000"/>
                <w:sz w:val="22"/>
                <w:szCs w:val="22"/>
                <w:lang w:val="en-US"/>
              </w:rPr>
            </w:pPr>
          </w:p>
        </w:tc>
        <w:tc>
          <w:tcPr>
            <w:tcW w:w="1451" w:type="dxa"/>
            <w:tcBorders>
              <w:top w:val="nil"/>
              <w:left w:val="nil"/>
              <w:bottom w:val="single" w:sz="4" w:space="0" w:color="auto"/>
              <w:right w:val="single" w:sz="4" w:space="0" w:color="auto"/>
            </w:tcBorders>
            <w:noWrap/>
            <w:vAlign w:val="center"/>
            <w:hideMark/>
          </w:tcPr>
          <w:p w14:paraId="55083850"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319 502</w:t>
            </w:r>
          </w:p>
        </w:tc>
        <w:tc>
          <w:tcPr>
            <w:tcW w:w="1977" w:type="dxa"/>
            <w:tcBorders>
              <w:top w:val="nil"/>
              <w:left w:val="nil"/>
              <w:bottom w:val="single" w:sz="4" w:space="0" w:color="auto"/>
              <w:right w:val="single" w:sz="4" w:space="0" w:color="auto"/>
            </w:tcBorders>
            <w:noWrap/>
            <w:vAlign w:val="center"/>
            <w:hideMark/>
          </w:tcPr>
          <w:p w14:paraId="3765302D"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281 040</w:t>
            </w:r>
          </w:p>
        </w:tc>
        <w:tc>
          <w:tcPr>
            <w:tcW w:w="1843" w:type="dxa"/>
            <w:tcBorders>
              <w:top w:val="nil"/>
              <w:left w:val="nil"/>
              <w:bottom w:val="single" w:sz="4" w:space="0" w:color="auto"/>
              <w:right w:val="single" w:sz="4" w:space="0" w:color="auto"/>
            </w:tcBorders>
            <w:vAlign w:val="center"/>
            <w:hideMark/>
          </w:tcPr>
          <w:p w14:paraId="3FF60364"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421 331</w:t>
            </w:r>
          </w:p>
        </w:tc>
      </w:tr>
      <w:tr w:rsidR="00F95196" w:rsidRPr="00F95196" w14:paraId="537147C1" w14:textId="77777777" w:rsidTr="00BE6FF5">
        <w:trPr>
          <w:trHeight w:val="300"/>
        </w:trPr>
        <w:tc>
          <w:tcPr>
            <w:tcW w:w="3823" w:type="dxa"/>
            <w:vMerge/>
            <w:tcBorders>
              <w:top w:val="nil"/>
              <w:left w:val="single" w:sz="4" w:space="0" w:color="auto"/>
              <w:bottom w:val="single" w:sz="4" w:space="0" w:color="000000"/>
              <w:right w:val="single" w:sz="4" w:space="0" w:color="auto"/>
            </w:tcBorders>
            <w:vAlign w:val="center"/>
            <w:hideMark/>
          </w:tcPr>
          <w:p w14:paraId="2C41F18F" w14:textId="77777777" w:rsidR="00F95196" w:rsidRPr="00F95196" w:rsidRDefault="00F95196" w:rsidP="009E3AD8">
            <w:pPr>
              <w:spacing w:line="276" w:lineRule="auto"/>
              <w:rPr>
                <w:rFonts w:ascii="Calibri Light" w:hAnsi="Calibri Light" w:cs="Calibri Light"/>
                <w:b/>
                <w:bCs/>
                <w:color w:val="000000"/>
                <w:sz w:val="22"/>
                <w:szCs w:val="22"/>
                <w:lang w:val="en-US"/>
              </w:rPr>
            </w:pPr>
          </w:p>
        </w:tc>
        <w:tc>
          <w:tcPr>
            <w:tcW w:w="458" w:type="dxa"/>
            <w:tcBorders>
              <w:top w:val="nil"/>
              <w:left w:val="nil"/>
              <w:bottom w:val="single" w:sz="4" w:space="0" w:color="auto"/>
              <w:right w:val="single" w:sz="4" w:space="0" w:color="auto"/>
            </w:tcBorders>
            <w:noWrap/>
            <w:vAlign w:val="bottom"/>
            <w:hideMark/>
          </w:tcPr>
          <w:p w14:paraId="78DCD78F" w14:textId="77777777" w:rsidR="00F95196" w:rsidRPr="00F95196" w:rsidRDefault="00F95196" w:rsidP="009E3AD8">
            <w:pPr>
              <w:spacing w:line="276" w:lineRule="auto"/>
              <w:rPr>
                <w:rFonts w:ascii="Calibri Light" w:hAnsi="Calibri Light" w:cs="Calibri Light"/>
                <w:b/>
                <w:bCs/>
                <w:color w:val="000000"/>
                <w:sz w:val="22"/>
                <w:szCs w:val="22"/>
                <w:lang w:val="en-US"/>
              </w:rPr>
            </w:pPr>
            <w:r w:rsidRPr="00F95196">
              <w:rPr>
                <w:rFonts w:ascii="Calibri Light" w:hAnsi="Calibri Light" w:cs="Calibri Light"/>
                <w:b/>
                <w:bCs/>
                <w:color w:val="000000"/>
                <w:sz w:val="22"/>
                <w:szCs w:val="22"/>
                <w:lang w:val="en-US"/>
              </w:rPr>
              <w:t>CB</w:t>
            </w:r>
          </w:p>
        </w:tc>
        <w:tc>
          <w:tcPr>
            <w:tcW w:w="642" w:type="dxa"/>
            <w:tcBorders>
              <w:top w:val="nil"/>
              <w:left w:val="nil"/>
              <w:bottom w:val="single" w:sz="4" w:space="0" w:color="auto"/>
              <w:right w:val="nil"/>
            </w:tcBorders>
          </w:tcPr>
          <w:p w14:paraId="4B467645" w14:textId="77777777" w:rsidR="00F95196" w:rsidRPr="00F95196" w:rsidRDefault="00F95196" w:rsidP="009E3AD8">
            <w:pPr>
              <w:spacing w:line="276" w:lineRule="auto"/>
              <w:jc w:val="right"/>
              <w:rPr>
                <w:rFonts w:ascii="Calibri Light" w:hAnsi="Calibri Light" w:cs="Calibri Light"/>
                <w:color w:val="000000"/>
                <w:sz w:val="22"/>
                <w:szCs w:val="22"/>
                <w:lang w:val="en-US"/>
              </w:rPr>
            </w:pPr>
          </w:p>
        </w:tc>
        <w:tc>
          <w:tcPr>
            <w:tcW w:w="1451" w:type="dxa"/>
            <w:tcBorders>
              <w:top w:val="nil"/>
              <w:left w:val="nil"/>
              <w:bottom w:val="single" w:sz="4" w:space="0" w:color="auto"/>
              <w:right w:val="single" w:sz="4" w:space="0" w:color="auto"/>
            </w:tcBorders>
            <w:noWrap/>
            <w:vAlign w:val="center"/>
            <w:hideMark/>
          </w:tcPr>
          <w:p w14:paraId="69340F81"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317 694</w:t>
            </w:r>
          </w:p>
        </w:tc>
        <w:tc>
          <w:tcPr>
            <w:tcW w:w="1977" w:type="dxa"/>
            <w:tcBorders>
              <w:top w:val="nil"/>
              <w:left w:val="nil"/>
              <w:bottom w:val="single" w:sz="4" w:space="0" w:color="auto"/>
              <w:right w:val="single" w:sz="4" w:space="0" w:color="auto"/>
            </w:tcBorders>
            <w:noWrap/>
            <w:vAlign w:val="center"/>
            <w:hideMark/>
          </w:tcPr>
          <w:p w14:paraId="0D43AAEC"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276 186</w:t>
            </w:r>
          </w:p>
        </w:tc>
        <w:tc>
          <w:tcPr>
            <w:tcW w:w="1843" w:type="dxa"/>
            <w:tcBorders>
              <w:top w:val="nil"/>
              <w:left w:val="nil"/>
              <w:bottom w:val="single" w:sz="4" w:space="0" w:color="auto"/>
              <w:right w:val="single" w:sz="4" w:space="0" w:color="auto"/>
            </w:tcBorders>
            <w:vAlign w:val="center"/>
            <w:hideMark/>
          </w:tcPr>
          <w:p w14:paraId="7800D827"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413 705</w:t>
            </w:r>
          </w:p>
        </w:tc>
      </w:tr>
      <w:tr w:rsidR="00F95196" w:rsidRPr="00F95196" w14:paraId="587E7669" w14:textId="77777777" w:rsidTr="00BE6FF5">
        <w:trPr>
          <w:trHeight w:val="300"/>
        </w:trPr>
        <w:tc>
          <w:tcPr>
            <w:tcW w:w="3823" w:type="dxa"/>
            <w:vMerge w:val="restart"/>
            <w:tcBorders>
              <w:top w:val="nil"/>
              <w:left w:val="single" w:sz="4" w:space="0" w:color="auto"/>
              <w:bottom w:val="single" w:sz="4" w:space="0" w:color="000000"/>
              <w:right w:val="single" w:sz="4" w:space="0" w:color="auto"/>
            </w:tcBorders>
            <w:noWrap/>
            <w:vAlign w:val="center"/>
            <w:hideMark/>
          </w:tcPr>
          <w:p w14:paraId="3BDA8D0E" w14:textId="77777777" w:rsidR="00F95196" w:rsidRPr="00F95196" w:rsidRDefault="00F95196" w:rsidP="009E3AD8">
            <w:pPr>
              <w:spacing w:line="276" w:lineRule="auto"/>
              <w:jc w:val="center"/>
              <w:rPr>
                <w:rFonts w:ascii="Calibri Light" w:hAnsi="Calibri Light" w:cs="Calibri Light"/>
                <w:b/>
                <w:bCs/>
                <w:color w:val="000000"/>
                <w:sz w:val="22"/>
                <w:szCs w:val="22"/>
                <w:lang w:val="en-US"/>
              </w:rPr>
            </w:pPr>
            <w:proofErr w:type="spellStart"/>
            <w:r w:rsidRPr="00F95196">
              <w:rPr>
                <w:rFonts w:ascii="Calibri Light" w:hAnsi="Calibri Light" w:cs="Calibri Light"/>
                <w:b/>
                <w:bCs/>
                <w:color w:val="000000"/>
                <w:sz w:val="22"/>
                <w:szCs w:val="22"/>
                <w:lang w:val="en-US"/>
              </w:rPr>
              <w:t>Cheltuieli</w:t>
            </w:r>
            <w:proofErr w:type="spellEnd"/>
            <w:r w:rsidRPr="00F95196">
              <w:rPr>
                <w:rFonts w:ascii="Calibri Light" w:hAnsi="Calibri Light" w:cs="Calibri Light"/>
                <w:b/>
                <w:bCs/>
                <w:color w:val="000000"/>
                <w:sz w:val="22"/>
                <w:szCs w:val="22"/>
                <w:lang w:val="en-US"/>
              </w:rPr>
              <w:t xml:space="preserve"> de personal</w:t>
            </w:r>
          </w:p>
        </w:tc>
        <w:tc>
          <w:tcPr>
            <w:tcW w:w="458" w:type="dxa"/>
            <w:tcBorders>
              <w:top w:val="nil"/>
              <w:left w:val="nil"/>
              <w:bottom w:val="single" w:sz="4" w:space="0" w:color="auto"/>
              <w:right w:val="single" w:sz="4" w:space="0" w:color="auto"/>
            </w:tcBorders>
            <w:noWrap/>
            <w:vAlign w:val="bottom"/>
            <w:hideMark/>
          </w:tcPr>
          <w:p w14:paraId="4A623909" w14:textId="77777777" w:rsidR="00F95196" w:rsidRPr="00F95196" w:rsidRDefault="00F95196" w:rsidP="009E3AD8">
            <w:pPr>
              <w:spacing w:line="276" w:lineRule="auto"/>
              <w:rPr>
                <w:rFonts w:ascii="Calibri Light" w:hAnsi="Calibri Light" w:cs="Calibri Light"/>
                <w:b/>
                <w:bCs/>
                <w:color w:val="000000"/>
                <w:sz w:val="22"/>
                <w:szCs w:val="22"/>
                <w:lang w:val="en-US"/>
              </w:rPr>
            </w:pPr>
            <w:r w:rsidRPr="00F95196">
              <w:rPr>
                <w:rFonts w:ascii="Calibri Light" w:hAnsi="Calibri Light" w:cs="Calibri Light"/>
                <w:b/>
                <w:bCs/>
                <w:color w:val="000000"/>
                <w:sz w:val="22"/>
                <w:szCs w:val="22"/>
                <w:lang w:val="en-US"/>
              </w:rPr>
              <w:t>CA</w:t>
            </w:r>
          </w:p>
        </w:tc>
        <w:tc>
          <w:tcPr>
            <w:tcW w:w="642" w:type="dxa"/>
            <w:tcBorders>
              <w:top w:val="nil"/>
              <w:left w:val="nil"/>
              <w:bottom w:val="single" w:sz="4" w:space="0" w:color="auto"/>
              <w:right w:val="nil"/>
            </w:tcBorders>
          </w:tcPr>
          <w:p w14:paraId="3532FE23" w14:textId="77777777" w:rsidR="00F95196" w:rsidRPr="00F95196" w:rsidRDefault="00F95196" w:rsidP="009E3AD8">
            <w:pPr>
              <w:spacing w:line="276" w:lineRule="auto"/>
              <w:jc w:val="right"/>
              <w:rPr>
                <w:rFonts w:ascii="Calibri Light" w:hAnsi="Calibri Light" w:cs="Calibri Light"/>
                <w:color w:val="000000"/>
                <w:sz w:val="22"/>
                <w:szCs w:val="22"/>
                <w:lang w:val="en-US"/>
              </w:rPr>
            </w:pPr>
          </w:p>
        </w:tc>
        <w:tc>
          <w:tcPr>
            <w:tcW w:w="1451" w:type="dxa"/>
            <w:tcBorders>
              <w:top w:val="nil"/>
              <w:left w:val="nil"/>
              <w:bottom w:val="single" w:sz="4" w:space="0" w:color="auto"/>
              <w:right w:val="single" w:sz="4" w:space="0" w:color="auto"/>
            </w:tcBorders>
            <w:vAlign w:val="center"/>
            <w:hideMark/>
          </w:tcPr>
          <w:p w14:paraId="004C65D3"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237 595</w:t>
            </w:r>
          </w:p>
        </w:tc>
        <w:tc>
          <w:tcPr>
            <w:tcW w:w="1977" w:type="dxa"/>
            <w:tcBorders>
              <w:top w:val="nil"/>
              <w:left w:val="nil"/>
              <w:bottom w:val="single" w:sz="4" w:space="0" w:color="auto"/>
              <w:right w:val="single" w:sz="4" w:space="0" w:color="auto"/>
            </w:tcBorders>
            <w:vAlign w:val="center"/>
            <w:hideMark/>
          </w:tcPr>
          <w:p w14:paraId="0DEB12B7"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197 561</w:t>
            </w:r>
          </w:p>
        </w:tc>
        <w:tc>
          <w:tcPr>
            <w:tcW w:w="1843" w:type="dxa"/>
            <w:tcBorders>
              <w:top w:val="nil"/>
              <w:left w:val="nil"/>
              <w:bottom w:val="single" w:sz="4" w:space="0" w:color="auto"/>
              <w:right w:val="single" w:sz="4" w:space="0" w:color="auto"/>
            </w:tcBorders>
            <w:vAlign w:val="center"/>
            <w:hideMark/>
          </w:tcPr>
          <w:p w14:paraId="0E39BFC4"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289 307</w:t>
            </w:r>
          </w:p>
        </w:tc>
      </w:tr>
      <w:tr w:rsidR="00F95196" w:rsidRPr="00F95196" w14:paraId="290565B4" w14:textId="77777777" w:rsidTr="00BE6FF5">
        <w:trPr>
          <w:trHeight w:val="405"/>
        </w:trPr>
        <w:tc>
          <w:tcPr>
            <w:tcW w:w="3823" w:type="dxa"/>
            <w:vMerge/>
            <w:tcBorders>
              <w:top w:val="nil"/>
              <w:left w:val="single" w:sz="4" w:space="0" w:color="auto"/>
              <w:bottom w:val="single" w:sz="4" w:space="0" w:color="000000"/>
              <w:right w:val="single" w:sz="4" w:space="0" w:color="auto"/>
            </w:tcBorders>
            <w:vAlign w:val="center"/>
            <w:hideMark/>
          </w:tcPr>
          <w:p w14:paraId="06916CA0" w14:textId="77777777" w:rsidR="00F95196" w:rsidRPr="00F95196" w:rsidRDefault="00F95196" w:rsidP="009E3AD8">
            <w:pPr>
              <w:spacing w:line="276" w:lineRule="auto"/>
              <w:rPr>
                <w:rFonts w:ascii="Calibri Light" w:hAnsi="Calibri Light" w:cs="Calibri Light"/>
                <w:b/>
                <w:bCs/>
                <w:color w:val="000000"/>
                <w:sz w:val="22"/>
                <w:szCs w:val="22"/>
                <w:lang w:val="en-US"/>
              </w:rPr>
            </w:pPr>
          </w:p>
        </w:tc>
        <w:tc>
          <w:tcPr>
            <w:tcW w:w="458" w:type="dxa"/>
            <w:tcBorders>
              <w:top w:val="nil"/>
              <w:left w:val="nil"/>
              <w:bottom w:val="single" w:sz="4" w:space="0" w:color="auto"/>
              <w:right w:val="single" w:sz="4" w:space="0" w:color="auto"/>
            </w:tcBorders>
            <w:noWrap/>
            <w:vAlign w:val="bottom"/>
            <w:hideMark/>
          </w:tcPr>
          <w:p w14:paraId="1400F0F2" w14:textId="77777777" w:rsidR="00F95196" w:rsidRPr="00F95196" w:rsidRDefault="00F95196" w:rsidP="009E3AD8">
            <w:pPr>
              <w:spacing w:line="276" w:lineRule="auto"/>
              <w:rPr>
                <w:rFonts w:ascii="Calibri Light" w:hAnsi="Calibri Light" w:cs="Calibri Light"/>
                <w:b/>
                <w:bCs/>
                <w:color w:val="000000"/>
                <w:sz w:val="22"/>
                <w:szCs w:val="22"/>
                <w:lang w:val="en-US"/>
              </w:rPr>
            </w:pPr>
            <w:r w:rsidRPr="00F95196">
              <w:rPr>
                <w:rFonts w:ascii="Calibri Light" w:hAnsi="Calibri Light" w:cs="Calibri Light"/>
                <w:b/>
                <w:bCs/>
                <w:color w:val="000000"/>
                <w:sz w:val="22"/>
                <w:szCs w:val="22"/>
                <w:lang w:val="en-US"/>
              </w:rPr>
              <w:t>CB</w:t>
            </w:r>
          </w:p>
        </w:tc>
        <w:tc>
          <w:tcPr>
            <w:tcW w:w="642" w:type="dxa"/>
            <w:tcBorders>
              <w:top w:val="nil"/>
              <w:left w:val="nil"/>
              <w:bottom w:val="single" w:sz="4" w:space="0" w:color="auto"/>
              <w:right w:val="nil"/>
            </w:tcBorders>
          </w:tcPr>
          <w:p w14:paraId="03283DF2" w14:textId="77777777" w:rsidR="00F95196" w:rsidRPr="00F95196" w:rsidRDefault="00F95196" w:rsidP="009E3AD8">
            <w:pPr>
              <w:spacing w:line="276" w:lineRule="auto"/>
              <w:jc w:val="right"/>
              <w:rPr>
                <w:rFonts w:ascii="Calibri Light" w:hAnsi="Calibri Light" w:cs="Calibri Light"/>
                <w:color w:val="000000"/>
                <w:sz w:val="22"/>
                <w:szCs w:val="22"/>
                <w:lang w:val="en-US"/>
              </w:rPr>
            </w:pPr>
          </w:p>
        </w:tc>
        <w:tc>
          <w:tcPr>
            <w:tcW w:w="1451" w:type="dxa"/>
            <w:tcBorders>
              <w:top w:val="nil"/>
              <w:left w:val="nil"/>
              <w:bottom w:val="single" w:sz="4" w:space="0" w:color="auto"/>
              <w:right w:val="single" w:sz="4" w:space="0" w:color="auto"/>
            </w:tcBorders>
            <w:vAlign w:val="center"/>
            <w:hideMark/>
          </w:tcPr>
          <w:p w14:paraId="39DD3213"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237 595</w:t>
            </w:r>
          </w:p>
        </w:tc>
        <w:tc>
          <w:tcPr>
            <w:tcW w:w="1977" w:type="dxa"/>
            <w:tcBorders>
              <w:top w:val="nil"/>
              <w:left w:val="nil"/>
              <w:bottom w:val="single" w:sz="4" w:space="0" w:color="auto"/>
              <w:right w:val="single" w:sz="4" w:space="0" w:color="auto"/>
            </w:tcBorders>
            <w:vAlign w:val="center"/>
            <w:hideMark/>
          </w:tcPr>
          <w:p w14:paraId="75D6CF7A"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197 561</w:t>
            </w:r>
          </w:p>
        </w:tc>
        <w:tc>
          <w:tcPr>
            <w:tcW w:w="1843" w:type="dxa"/>
            <w:tcBorders>
              <w:top w:val="nil"/>
              <w:left w:val="nil"/>
              <w:bottom w:val="single" w:sz="4" w:space="0" w:color="auto"/>
              <w:right w:val="single" w:sz="4" w:space="0" w:color="auto"/>
            </w:tcBorders>
            <w:vAlign w:val="center"/>
            <w:hideMark/>
          </w:tcPr>
          <w:p w14:paraId="4CE28497" w14:textId="77777777" w:rsidR="00F95196" w:rsidRPr="00F95196" w:rsidRDefault="00F95196" w:rsidP="009E3AD8">
            <w:pPr>
              <w:spacing w:line="276" w:lineRule="auto"/>
              <w:jc w:val="right"/>
              <w:rPr>
                <w:rFonts w:ascii="Calibri Light" w:hAnsi="Calibri Light" w:cs="Calibri Light"/>
                <w:color w:val="000000"/>
                <w:sz w:val="22"/>
                <w:szCs w:val="22"/>
                <w:lang w:val="en-US"/>
              </w:rPr>
            </w:pPr>
            <w:r w:rsidRPr="00F95196">
              <w:rPr>
                <w:rFonts w:ascii="Calibri Light" w:hAnsi="Calibri Light" w:cs="Calibri Light"/>
                <w:color w:val="000000"/>
                <w:sz w:val="22"/>
                <w:szCs w:val="22"/>
                <w:lang w:val="en-US"/>
              </w:rPr>
              <w:t>289 307</w:t>
            </w:r>
          </w:p>
        </w:tc>
      </w:tr>
    </w:tbl>
    <w:p w14:paraId="6D9E3DC0" w14:textId="05B246EA" w:rsidR="00F95196" w:rsidRPr="00F95196" w:rsidRDefault="00F95196" w:rsidP="009E3AD8">
      <w:pPr>
        <w:spacing w:line="276" w:lineRule="auto"/>
        <w:ind w:firstLine="708"/>
        <w:jc w:val="both"/>
        <w:rPr>
          <w:rFonts w:ascii="Calibri" w:hAnsi="Calibri" w:cs="Calibri"/>
          <w:sz w:val="26"/>
          <w:szCs w:val="26"/>
        </w:rPr>
      </w:pPr>
      <w:r w:rsidRPr="00F95196">
        <w:rPr>
          <w:rFonts w:ascii="Calibri" w:hAnsi="Calibri" w:cs="Calibri"/>
          <w:sz w:val="26"/>
          <w:szCs w:val="26"/>
        </w:rPr>
        <w:t xml:space="preserve">Evoluția </w:t>
      </w:r>
      <w:r w:rsidRPr="00F95196">
        <w:rPr>
          <w:rFonts w:ascii="Calibri" w:hAnsi="Calibri" w:cs="Calibri"/>
          <w:color w:val="000000" w:themeColor="text1"/>
          <w:sz w:val="26"/>
          <w:szCs w:val="26"/>
        </w:rPr>
        <w:t>negativă</w:t>
      </w:r>
      <w:r w:rsidRPr="00F95196">
        <w:rPr>
          <w:rFonts w:ascii="Calibri" w:hAnsi="Calibri" w:cs="Calibri"/>
          <w:sz w:val="26"/>
          <w:szCs w:val="26"/>
        </w:rPr>
        <w:t xml:space="preserve"> a bugetului anului 2025 faţă de bugetul anului precedent a fost determinata de diminuările salariale impuse de noile prevederi legislative, diminuări produse atât la nivelul </w:t>
      </w:r>
      <w:r w:rsidR="00B443D6">
        <w:rPr>
          <w:rFonts w:ascii="Calibri" w:hAnsi="Calibri" w:cs="Calibri"/>
          <w:sz w:val="26"/>
          <w:szCs w:val="26"/>
        </w:rPr>
        <w:t xml:space="preserve">veniturilor </w:t>
      </w:r>
      <w:r w:rsidRPr="00F95196">
        <w:rPr>
          <w:rFonts w:ascii="Calibri" w:hAnsi="Calibri" w:cs="Calibri"/>
          <w:sz w:val="26"/>
          <w:szCs w:val="26"/>
        </w:rPr>
        <w:t>magistraților, cât și a celorlalte categorii de personal.</w:t>
      </w:r>
    </w:p>
    <w:p w14:paraId="6AB3DCBE" w14:textId="7617B603" w:rsidR="00F95196" w:rsidRPr="00F95196" w:rsidRDefault="00F95196" w:rsidP="009E3AD8">
      <w:pPr>
        <w:spacing w:line="276" w:lineRule="auto"/>
        <w:ind w:firstLine="708"/>
        <w:jc w:val="both"/>
        <w:rPr>
          <w:rFonts w:ascii="Calibri" w:hAnsi="Calibri" w:cs="Calibri"/>
          <w:sz w:val="26"/>
          <w:szCs w:val="26"/>
        </w:rPr>
      </w:pPr>
      <w:r w:rsidRPr="00F95196">
        <w:rPr>
          <w:rFonts w:ascii="Calibri" w:hAnsi="Calibri" w:cs="Calibri"/>
          <w:sz w:val="26"/>
          <w:szCs w:val="26"/>
        </w:rPr>
        <w:t xml:space="preserve">Activitatea în domeniul politicilor salariale s-a axat cu precădere </w:t>
      </w:r>
      <w:r w:rsidR="00B443D6">
        <w:rPr>
          <w:rFonts w:ascii="Calibri" w:hAnsi="Calibri" w:cs="Calibri"/>
          <w:sz w:val="26"/>
          <w:szCs w:val="26"/>
        </w:rPr>
        <w:t>pe</w:t>
      </w:r>
      <w:r w:rsidRPr="00F95196">
        <w:rPr>
          <w:rFonts w:ascii="Calibri" w:hAnsi="Calibri" w:cs="Calibri"/>
          <w:sz w:val="26"/>
          <w:szCs w:val="26"/>
        </w:rPr>
        <w:t xml:space="preserve"> realizarea obiectivului principal de implementare şi aplicare în mod corespunzător a actelor normative specifice de salarizare pentru personalul din sistemul justiţiei (judecători şi procurori, personal auxiliar de specialitate juridică, funcţionari publici şi personal contractual). </w:t>
      </w:r>
    </w:p>
    <w:p w14:paraId="400B6518" w14:textId="211C4BFC" w:rsidR="00F95196" w:rsidRPr="00F95196" w:rsidRDefault="00F95196" w:rsidP="009E3AD8">
      <w:pPr>
        <w:spacing w:line="276" w:lineRule="auto"/>
        <w:ind w:firstLine="708"/>
        <w:jc w:val="both"/>
        <w:rPr>
          <w:rFonts w:ascii="Calibri" w:hAnsi="Calibri" w:cs="Calibri"/>
          <w:b/>
          <w:sz w:val="26"/>
          <w:szCs w:val="26"/>
        </w:rPr>
      </w:pPr>
      <w:r w:rsidRPr="00F95196">
        <w:rPr>
          <w:noProof/>
        </w:rPr>
        <w:lastRenderedPageBreak/>
        <w:drawing>
          <wp:inline distT="0" distB="0" distL="0" distR="0" wp14:anchorId="6FF4308A" wp14:editId="417CEED1">
            <wp:extent cx="5638800" cy="2990850"/>
            <wp:effectExtent l="0" t="0" r="0" b="0"/>
            <wp:docPr id="954550402" name="Chart 1">
              <a:extLst xmlns:a="http://schemas.openxmlformats.org/drawingml/2006/main">
                <a:ext uri="{FF2B5EF4-FFF2-40B4-BE49-F238E27FC236}">
                  <a16:creationId xmlns:a16="http://schemas.microsoft.com/office/drawing/2014/main" id="{00000000-0008-0000-01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F95196">
        <w:rPr>
          <w:rFonts w:ascii="Calibri" w:hAnsi="Calibri" w:cs="Calibri"/>
          <w:sz w:val="26"/>
          <w:szCs w:val="26"/>
        </w:rPr>
        <w:tab/>
      </w:r>
      <w:r w:rsidRPr="00F95196">
        <w:rPr>
          <w:rFonts w:ascii="Calibri" w:hAnsi="Calibri" w:cs="Calibri"/>
          <w:b/>
          <w:sz w:val="26"/>
          <w:szCs w:val="26"/>
        </w:rPr>
        <w:t xml:space="preserve"> </w:t>
      </w:r>
    </w:p>
    <w:p w14:paraId="6E31DAA1" w14:textId="0A5A9E83" w:rsidR="00F95196" w:rsidRPr="00F95196" w:rsidRDefault="00F95196" w:rsidP="009E3AD8">
      <w:pPr>
        <w:spacing w:line="276" w:lineRule="auto"/>
        <w:ind w:left="7788" w:firstLine="708"/>
        <w:jc w:val="both"/>
        <w:rPr>
          <w:rFonts w:ascii="Calibri" w:hAnsi="Calibri" w:cs="Calibri"/>
          <w:b/>
          <w:sz w:val="26"/>
          <w:szCs w:val="26"/>
        </w:rPr>
      </w:pPr>
      <w:bookmarkStart w:id="130" w:name="_Hlk124085642"/>
      <w:r w:rsidRPr="00F95196">
        <w:rPr>
          <w:rFonts w:ascii="Calibri" w:hAnsi="Calibri" w:cs="Calibri"/>
          <w:b/>
          <w:sz w:val="26"/>
          <w:szCs w:val="26"/>
        </w:rPr>
        <w:t xml:space="preserve">    </w:t>
      </w:r>
      <w:r w:rsidR="00060958">
        <w:rPr>
          <w:rFonts w:ascii="Calibri" w:hAnsi="Calibri" w:cs="Calibri"/>
          <w:b/>
          <w:sz w:val="26"/>
          <w:szCs w:val="26"/>
        </w:rPr>
        <w:t xml:space="preserve">   </w:t>
      </w:r>
      <w:r w:rsidRPr="00F95196">
        <w:rPr>
          <w:rFonts w:ascii="Calibri" w:hAnsi="Calibri" w:cs="Calibri"/>
          <w:b/>
          <w:sz w:val="26"/>
          <w:szCs w:val="26"/>
        </w:rPr>
        <w:t xml:space="preserve">   mii lei</w:t>
      </w:r>
    </w:p>
    <w:tbl>
      <w:tblPr>
        <w:tblW w:w="9776" w:type="dxa"/>
        <w:tblLook w:val="04A0" w:firstRow="1" w:lastRow="0" w:firstColumn="1" w:lastColumn="0" w:noHBand="0" w:noVBand="1"/>
      </w:tblPr>
      <w:tblGrid>
        <w:gridCol w:w="3380"/>
        <w:gridCol w:w="700"/>
        <w:gridCol w:w="1444"/>
        <w:gridCol w:w="2126"/>
        <w:gridCol w:w="2126"/>
      </w:tblGrid>
      <w:tr w:rsidR="00F95196" w:rsidRPr="00F95196" w14:paraId="286ECB0B" w14:textId="77777777" w:rsidTr="00BE6FF5">
        <w:trPr>
          <w:trHeight w:val="300"/>
        </w:trPr>
        <w:tc>
          <w:tcPr>
            <w:tcW w:w="3380" w:type="dxa"/>
            <w:tcBorders>
              <w:top w:val="single" w:sz="4" w:space="0" w:color="auto"/>
              <w:left w:val="single" w:sz="4" w:space="0" w:color="auto"/>
              <w:bottom w:val="single" w:sz="4" w:space="0" w:color="auto"/>
              <w:right w:val="single" w:sz="4" w:space="0" w:color="auto"/>
            </w:tcBorders>
            <w:noWrap/>
            <w:vAlign w:val="bottom"/>
          </w:tcPr>
          <w:bookmarkEnd w:id="130"/>
          <w:p w14:paraId="099D388B" w14:textId="77777777" w:rsidR="00F95196" w:rsidRPr="00F95196" w:rsidRDefault="00F95196" w:rsidP="009E3AD8">
            <w:pPr>
              <w:spacing w:line="276" w:lineRule="auto"/>
              <w:rPr>
                <w:rFonts w:ascii="Calibri" w:hAnsi="Calibri" w:cs="Calibri"/>
                <w:color w:val="000000"/>
                <w:sz w:val="22"/>
                <w:szCs w:val="22"/>
                <w:lang w:val="en-US"/>
              </w:rPr>
            </w:pPr>
            <w:r w:rsidRPr="00F95196">
              <w:rPr>
                <w:rFonts w:ascii="Calibri Light" w:hAnsi="Calibri Light" w:cs="Calibri Light"/>
                <w:color w:val="000000"/>
                <w:sz w:val="22"/>
                <w:szCs w:val="22"/>
              </w:rPr>
              <w:t> </w:t>
            </w:r>
          </w:p>
        </w:tc>
        <w:tc>
          <w:tcPr>
            <w:tcW w:w="700" w:type="dxa"/>
            <w:tcBorders>
              <w:top w:val="single" w:sz="4" w:space="0" w:color="auto"/>
              <w:left w:val="nil"/>
              <w:bottom w:val="single" w:sz="4" w:space="0" w:color="auto"/>
              <w:right w:val="single" w:sz="4" w:space="0" w:color="auto"/>
            </w:tcBorders>
            <w:noWrap/>
            <w:vAlign w:val="bottom"/>
          </w:tcPr>
          <w:p w14:paraId="6F8EEF41" w14:textId="77777777" w:rsidR="00F95196" w:rsidRPr="00F95196" w:rsidRDefault="00F95196" w:rsidP="009E3AD8">
            <w:pPr>
              <w:spacing w:line="276" w:lineRule="auto"/>
              <w:rPr>
                <w:rFonts w:ascii="Calibri" w:hAnsi="Calibri" w:cs="Calibri"/>
                <w:color w:val="000000"/>
                <w:sz w:val="22"/>
                <w:szCs w:val="22"/>
                <w:lang w:val="en-US"/>
              </w:rPr>
            </w:pPr>
            <w:r w:rsidRPr="00F95196">
              <w:rPr>
                <w:rFonts w:ascii="Calibri Light" w:hAnsi="Calibri Light" w:cs="Calibri Light"/>
                <w:color w:val="000000"/>
                <w:sz w:val="22"/>
                <w:szCs w:val="22"/>
              </w:rPr>
              <w:t> </w:t>
            </w:r>
          </w:p>
        </w:tc>
        <w:tc>
          <w:tcPr>
            <w:tcW w:w="1444" w:type="dxa"/>
            <w:tcBorders>
              <w:top w:val="single" w:sz="4" w:space="0" w:color="auto"/>
              <w:left w:val="nil"/>
              <w:bottom w:val="single" w:sz="4" w:space="0" w:color="auto"/>
              <w:right w:val="single" w:sz="4" w:space="0" w:color="auto"/>
            </w:tcBorders>
            <w:noWrap/>
            <w:vAlign w:val="bottom"/>
          </w:tcPr>
          <w:p w14:paraId="597D8ABF" w14:textId="77777777" w:rsidR="00F95196" w:rsidRPr="00F95196" w:rsidRDefault="00F95196" w:rsidP="009E3AD8">
            <w:pPr>
              <w:spacing w:line="276" w:lineRule="auto"/>
              <w:jc w:val="right"/>
              <w:rPr>
                <w:rFonts w:ascii="Times New Roman" w:hAnsi="Times New Roman"/>
                <w:b/>
                <w:bCs/>
                <w:color w:val="000000"/>
                <w:sz w:val="22"/>
                <w:szCs w:val="22"/>
                <w:lang w:val="en-US"/>
              </w:rPr>
            </w:pPr>
            <w:r w:rsidRPr="00F95196">
              <w:rPr>
                <w:rFonts w:ascii="Calibri Light" w:hAnsi="Calibri Light" w:cs="Calibri Light"/>
                <w:b/>
                <w:bCs/>
                <w:color w:val="000000"/>
                <w:sz w:val="22"/>
                <w:szCs w:val="22"/>
              </w:rPr>
              <w:t>2024</w:t>
            </w:r>
          </w:p>
        </w:tc>
        <w:tc>
          <w:tcPr>
            <w:tcW w:w="2126" w:type="dxa"/>
            <w:tcBorders>
              <w:top w:val="single" w:sz="4" w:space="0" w:color="auto"/>
              <w:left w:val="nil"/>
              <w:bottom w:val="single" w:sz="4" w:space="0" w:color="auto"/>
              <w:right w:val="single" w:sz="4" w:space="0" w:color="auto"/>
            </w:tcBorders>
            <w:noWrap/>
            <w:vAlign w:val="bottom"/>
          </w:tcPr>
          <w:p w14:paraId="40409E39" w14:textId="77777777" w:rsidR="00F95196" w:rsidRPr="00F95196" w:rsidRDefault="00F95196" w:rsidP="009E3AD8">
            <w:pPr>
              <w:spacing w:line="276" w:lineRule="auto"/>
              <w:jc w:val="right"/>
              <w:rPr>
                <w:rFonts w:ascii="Times New Roman" w:hAnsi="Times New Roman"/>
                <w:b/>
                <w:bCs/>
                <w:color w:val="000000"/>
                <w:sz w:val="22"/>
                <w:szCs w:val="22"/>
                <w:lang w:val="en-US"/>
              </w:rPr>
            </w:pPr>
            <w:r w:rsidRPr="00F95196">
              <w:rPr>
                <w:rFonts w:ascii="Calibri Light" w:hAnsi="Calibri Light" w:cs="Calibri Light"/>
                <w:b/>
                <w:bCs/>
                <w:color w:val="000000"/>
                <w:sz w:val="22"/>
                <w:szCs w:val="22"/>
              </w:rPr>
              <w:t>2025</w:t>
            </w:r>
          </w:p>
        </w:tc>
        <w:tc>
          <w:tcPr>
            <w:tcW w:w="2126" w:type="dxa"/>
            <w:tcBorders>
              <w:top w:val="single" w:sz="4" w:space="0" w:color="auto"/>
              <w:left w:val="nil"/>
              <w:bottom w:val="single" w:sz="4" w:space="0" w:color="auto"/>
              <w:right w:val="single" w:sz="4" w:space="0" w:color="auto"/>
            </w:tcBorders>
            <w:noWrap/>
            <w:vAlign w:val="bottom"/>
          </w:tcPr>
          <w:p w14:paraId="0A02CC93" w14:textId="77777777" w:rsidR="00F95196" w:rsidRPr="00F95196" w:rsidRDefault="00F95196" w:rsidP="009E3AD8">
            <w:pPr>
              <w:spacing w:line="276" w:lineRule="auto"/>
              <w:jc w:val="right"/>
              <w:rPr>
                <w:rFonts w:ascii="Times New Roman" w:hAnsi="Times New Roman"/>
                <w:b/>
                <w:bCs/>
                <w:color w:val="000000"/>
                <w:sz w:val="22"/>
                <w:szCs w:val="22"/>
                <w:lang w:val="en-US"/>
              </w:rPr>
            </w:pPr>
            <w:r w:rsidRPr="00F95196">
              <w:rPr>
                <w:rFonts w:ascii="Calibri Light" w:hAnsi="Calibri Light" w:cs="Calibri Light"/>
                <w:b/>
                <w:bCs/>
                <w:color w:val="000000"/>
                <w:sz w:val="22"/>
                <w:szCs w:val="22"/>
              </w:rPr>
              <w:t>2026</w:t>
            </w:r>
          </w:p>
        </w:tc>
      </w:tr>
      <w:tr w:rsidR="00F95196" w:rsidRPr="00F95196" w14:paraId="25533BD1" w14:textId="77777777" w:rsidTr="00BE6FF5">
        <w:trPr>
          <w:trHeight w:val="300"/>
        </w:trPr>
        <w:tc>
          <w:tcPr>
            <w:tcW w:w="3380" w:type="dxa"/>
            <w:vMerge w:val="restart"/>
            <w:tcBorders>
              <w:top w:val="nil"/>
              <w:left w:val="single" w:sz="4" w:space="0" w:color="auto"/>
              <w:bottom w:val="single" w:sz="4" w:space="0" w:color="000000"/>
              <w:right w:val="single" w:sz="4" w:space="0" w:color="auto"/>
            </w:tcBorders>
            <w:noWrap/>
            <w:vAlign w:val="center"/>
          </w:tcPr>
          <w:p w14:paraId="3D701BD8" w14:textId="77777777" w:rsidR="00F95196" w:rsidRPr="00F95196" w:rsidRDefault="00F95196" w:rsidP="009E3AD8">
            <w:pPr>
              <w:spacing w:line="276" w:lineRule="auto"/>
              <w:jc w:val="center"/>
              <w:rPr>
                <w:rFonts w:ascii="Times New Roman" w:hAnsi="Times New Roman"/>
                <w:b/>
                <w:bCs/>
                <w:color w:val="000000"/>
                <w:sz w:val="22"/>
                <w:szCs w:val="22"/>
                <w:lang w:val="en-US"/>
              </w:rPr>
            </w:pPr>
            <w:r w:rsidRPr="00F95196">
              <w:rPr>
                <w:rFonts w:ascii="Calibri Light" w:hAnsi="Calibri Light" w:cs="Calibri Light"/>
                <w:b/>
                <w:bCs/>
                <w:color w:val="000000"/>
                <w:sz w:val="22"/>
                <w:szCs w:val="22"/>
              </w:rPr>
              <w:t>Total</w:t>
            </w:r>
          </w:p>
        </w:tc>
        <w:tc>
          <w:tcPr>
            <w:tcW w:w="700" w:type="dxa"/>
            <w:tcBorders>
              <w:top w:val="nil"/>
              <w:left w:val="nil"/>
              <w:bottom w:val="single" w:sz="4" w:space="0" w:color="auto"/>
              <w:right w:val="single" w:sz="4" w:space="0" w:color="auto"/>
            </w:tcBorders>
            <w:noWrap/>
            <w:vAlign w:val="bottom"/>
          </w:tcPr>
          <w:p w14:paraId="10E905D0" w14:textId="77777777" w:rsidR="00F95196" w:rsidRPr="00F95196" w:rsidRDefault="00F95196" w:rsidP="009E3AD8">
            <w:pPr>
              <w:spacing w:line="276" w:lineRule="auto"/>
              <w:rPr>
                <w:rFonts w:ascii="Times New Roman" w:hAnsi="Times New Roman"/>
                <w:b/>
                <w:bCs/>
                <w:color w:val="000000"/>
                <w:sz w:val="22"/>
                <w:szCs w:val="22"/>
                <w:lang w:val="en-US"/>
              </w:rPr>
            </w:pPr>
            <w:r w:rsidRPr="00F95196">
              <w:rPr>
                <w:rFonts w:ascii="Calibri Light" w:hAnsi="Calibri Light" w:cs="Calibri Light"/>
                <w:b/>
                <w:bCs/>
                <w:color w:val="000000"/>
                <w:sz w:val="22"/>
                <w:szCs w:val="22"/>
              </w:rPr>
              <w:t>CA</w:t>
            </w:r>
          </w:p>
        </w:tc>
        <w:tc>
          <w:tcPr>
            <w:tcW w:w="1444" w:type="dxa"/>
            <w:tcBorders>
              <w:top w:val="nil"/>
              <w:left w:val="nil"/>
              <w:bottom w:val="single" w:sz="4" w:space="0" w:color="auto"/>
              <w:right w:val="single" w:sz="4" w:space="0" w:color="auto"/>
            </w:tcBorders>
            <w:noWrap/>
            <w:vAlign w:val="center"/>
          </w:tcPr>
          <w:p w14:paraId="5690B5F5" w14:textId="77777777" w:rsidR="00F95196" w:rsidRPr="00F95196" w:rsidRDefault="00F95196" w:rsidP="009E3AD8">
            <w:pPr>
              <w:spacing w:line="276" w:lineRule="auto"/>
              <w:jc w:val="right"/>
              <w:rPr>
                <w:rFonts w:ascii="Times New Roman" w:hAnsi="Times New Roman"/>
                <w:color w:val="000000"/>
                <w:sz w:val="22"/>
                <w:szCs w:val="22"/>
                <w:lang w:val="en-US"/>
              </w:rPr>
            </w:pPr>
            <w:r w:rsidRPr="00F95196">
              <w:rPr>
                <w:rFonts w:ascii="Calibri Light" w:hAnsi="Calibri Light" w:cs="Calibri Light"/>
                <w:color w:val="000000"/>
                <w:sz w:val="22"/>
                <w:szCs w:val="22"/>
              </w:rPr>
              <w:t>218 178</w:t>
            </w:r>
          </w:p>
        </w:tc>
        <w:tc>
          <w:tcPr>
            <w:tcW w:w="2126" w:type="dxa"/>
            <w:tcBorders>
              <w:top w:val="nil"/>
              <w:left w:val="nil"/>
              <w:bottom w:val="single" w:sz="4" w:space="0" w:color="auto"/>
              <w:right w:val="single" w:sz="4" w:space="0" w:color="auto"/>
            </w:tcBorders>
            <w:noWrap/>
            <w:vAlign w:val="center"/>
          </w:tcPr>
          <w:p w14:paraId="08A15717" w14:textId="77777777" w:rsidR="00F95196" w:rsidRPr="00F95196" w:rsidRDefault="00F95196" w:rsidP="009E3AD8">
            <w:pPr>
              <w:spacing w:line="276" w:lineRule="auto"/>
              <w:jc w:val="right"/>
              <w:rPr>
                <w:rFonts w:ascii="Times New Roman" w:hAnsi="Times New Roman"/>
                <w:color w:val="000000"/>
                <w:sz w:val="22"/>
                <w:szCs w:val="22"/>
                <w:lang w:val="en-US"/>
              </w:rPr>
            </w:pPr>
            <w:r w:rsidRPr="00F95196">
              <w:rPr>
                <w:rFonts w:ascii="Calibri Light" w:hAnsi="Calibri Light" w:cs="Calibri Light"/>
                <w:color w:val="000000"/>
                <w:sz w:val="22"/>
                <w:szCs w:val="22"/>
              </w:rPr>
              <w:t>281 040</w:t>
            </w:r>
          </w:p>
        </w:tc>
        <w:tc>
          <w:tcPr>
            <w:tcW w:w="2126" w:type="dxa"/>
            <w:tcBorders>
              <w:top w:val="nil"/>
              <w:left w:val="nil"/>
              <w:bottom w:val="single" w:sz="4" w:space="0" w:color="auto"/>
              <w:right w:val="single" w:sz="4" w:space="0" w:color="auto"/>
            </w:tcBorders>
            <w:vAlign w:val="center"/>
          </w:tcPr>
          <w:p w14:paraId="3096D417" w14:textId="77777777" w:rsidR="00F95196" w:rsidRPr="00F95196" w:rsidRDefault="00F95196" w:rsidP="009E3AD8">
            <w:pPr>
              <w:spacing w:line="276" w:lineRule="auto"/>
              <w:jc w:val="right"/>
              <w:rPr>
                <w:rFonts w:ascii="Times New Roman" w:hAnsi="Times New Roman"/>
                <w:color w:val="000000"/>
                <w:sz w:val="22"/>
                <w:szCs w:val="22"/>
                <w:lang w:val="en-US"/>
              </w:rPr>
            </w:pPr>
            <w:r w:rsidRPr="00F95196">
              <w:rPr>
                <w:rFonts w:ascii="Calibri Light" w:hAnsi="Calibri Light" w:cs="Calibri Light"/>
                <w:color w:val="000000"/>
                <w:sz w:val="22"/>
                <w:szCs w:val="22"/>
              </w:rPr>
              <w:t>421 331</w:t>
            </w:r>
          </w:p>
        </w:tc>
      </w:tr>
      <w:tr w:rsidR="00F95196" w:rsidRPr="00F95196" w14:paraId="3E0C531E" w14:textId="77777777" w:rsidTr="00BE6FF5">
        <w:trPr>
          <w:trHeight w:val="300"/>
        </w:trPr>
        <w:tc>
          <w:tcPr>
            <w:tcW w:w="3380" w:type="dxa"/>
            <w:vMerge/>
            <w:tcBorders>
              <w:top w:val="nil"/>
              <w:left w:val="single" w:sz="4" w:space="0" w:color="auto"/>
              <w:bottom w:val="single" w:sz="4" w:space="0" w:color="000000"/>
              <w:right w:val="single" w:sz="4" w:space="0" w:color="auto"/>
            </w:tcBorders>
            <w:vAlign w:val="center"/>
          </w:tcPr>
          <w:p w14:paraId="052A8304" w14:textId="77777777" w:rsidR="00F95196" w:rsidRPr="00F95196" w:rsidRDefault="00F95196" w:rsidP="009E3AD8">
            <w:pPr>
              <w:spacing w:line="276" w:lineRule="auto"/>
              <w:rPr>
                <w:rFonts w:ascii="Times New Roman" w:hAnsi="Times New Roman"/>
                <w:b/>
                <w:bCs/>
                <w:color w:val="000000"/>
                <w:sz w:val="22"/>
                <w:szCs w:val="22"/>
                <w:lang w:val="en-US"/>
              </w:rPr>
            </w:pPr>
          </w:p>
        </w:tc>
        <w:tc>
          <w:tcPr>
            <w:tcW w:w="700" w:type="dxa"/>
            <w:tcBorders>
              <w:top w:val="nil"/>
              <w:left w:val="nil"/>
              <w:bottom w:val="single" w:sz="4" w:space="0" w:color="auto"/>
              <w:right w:val="single" w:sz="4" w:space="0" w:color="auto"/>
            </w:tcBorders>
            <w:noWrap/>
            <w:vAlign w:val="bottom"/>
          </w:tcPr>
          <w:p w14:paraId="4AF0EBDF" w14:textId="77777777" w:rsidR="00F95196" w:rsidRPr="00F95196" w:rsidRDefault="00F95196" w:rsidP="009E3AD8">
            <w:pPr>
              <w:spacing w:line="276" w:lineRule="auto"/>
              <w:rPr>
                <w:rFonts w:ascii="Times New Roman" w:hAnsi="Times New Roman"/>
                <w:b/>
                <w:bCs/>
                <w:color w:val="000000"/>
                <w:sz w:val="22"/>
                <w:szCs w:val="22"/>
                <w:lang w:val="en-US"/>
              </w:rPr>
            </w:pPr>
            <w:r w:rsidRPr="00F95196">
              <w:rPr>
                <w:rFonts w:ascii="Calibri Light" w:hAnsi="Calibri Light" w:cs="Calibri Light"/>
                <w:b/>
                <w:bCs/>
                <w:color w:val="000000"/>
                <w:sz w:val="22"/>
                <w:szCs w:val="22"/>
              </w:rPr>
              <w:t>CB</w:t>
            </w:r>
          </w:p>
        </w:tc>
        <w:tc>
          <w:tcPr>
            <w:tcW w:w="1444" w:type="dxa"/>
            <w:tcBorders>
              <w:top w:val="nil"/>
              <w:left w:val="nil"/>
              <w:bottom w:val="single" w:sz="4" w:space="0" w:color="auto"/>
              <w:right w:val="single" w:sz="4" w:space="0" w:color="auto"/>
            </w:tcBorders>
            <w:noWrap/>
            <w:vAlign w:val="center"/>
          </w:tcPr>
          <w:p w14:paraId="1795A56D" w14:textId="77777777" w:rsidR="00F95196" w:rsidRPr="00F95196" w:rsidRDefault="00F95196" w:rsidP="009E3AD8">
            <w:pPr>
              <w:spacing w:line="276" w:lineRule="auto"/>
              <w:jc w:val="right"/>
              <w:rPr>
                <w:rFonts w:ascii="Times New Roman" w:hAnsi="Times New Roman"/>
                <w:color w:val="000000"/>
                <w:sz w:val="22"/>
                <w:szCs w:val="22"/>
                <w:lang w:val="en-US"/>
              </w:rPr>
            </w:pPr>
            <w:r w:rsidRPr="00F95196">
              <w:rPr>
                <w:rFonts w:ascii="Calibri Light" w:hAnsi="Calibri Light" w:cs="Calibri Light"/>
                <w:color w:val="000000"/>
                <w:sz w:val="22"/>
                <w:szCs w:val="22"/>
              </w:rPr>
              <w:t>182 774</w:t>
            </w:r>
          </w:p>
        </w:tc>
        <w:tc>
          <w:tcPr>
            <w:tcW w:w="2126" w:type="dxa"/>
            <w:tcBorders>
              <w:top w:val="nil"/>
              <w:left w:val="nil"/>
              <w:bottom w:val="single" w:sz="4" w:space="0" w:color="auto"/>
              <w:right w:val="single" w:sz="4" w:space="0" w:color="auto"/>
            </w:tcBorders>
            <w:noWrap/>
            <w:vAlign w:val="center"/>
          </w:tcPr>
          <w:p w14:paraId="62F81126" w14:textId="77777777" w:rsidR="00F95196" w:rsidRPr="00F95196" w:rsidRDefault="00F95196" w:rsidP="009E3AD8">
            <w:pPr>
              <w:spacing w:line="276" w:lineRule="auto"/>
              <w:jc w:val="right"/>
              <w:rPr>
                <w:rFonts w:ascii="Times New Roman" w:hAnsi="Times New Roman"/>
                <w:color w:val="000000"/>
                <w:sz w:val="22"/>
                <w:szCs w:val="22"/>
                <w:lang w:val="en-US"/>
              </w:rPr>
            </w:pPr>
            <w:r w:rsidRPr="00F95196">
              <w:rPr>
                <w:rFonts w:ascii="Calibri Light" w:hAnsi="Calibri Light" w:cs="Calibri Light"/>
                <w:color w:val="000000"/>
                <w:sz w:val="22"/>
                <w:szCs w:val="22"/>
              </w:rPr>
              <w:t>276 186</w:t>
            </w:r>
          </w:p>
        </w:tc>
        <w:tc>
          <w:tcPr>
            <w:tcW w:w="2126" w:type="dxa"/>
            <w:tcBorders>
              <w:top w:val="nil"/>
              <w:left w:val="nil"/>
              <w:bottom w:val="single" w:sz="4" w:space="0" w:color="auto"/>
              <w:right w:val="single" w:sz="4" w:space="0" w:color="auto"/>
            </w:tcBorders>
            <w:vAlign w:val="center"/>
          </w:tcPr>
          <w:p w14:paraId="61B6D4BD" w14:textId="77777777" w:rsidR="00F95196" w:rsidRPr="00F95196" w:rsidRDefault="00F95196" w:rsidP="009E3AD8">
            <w:pPr>
              <w:spacing w:line="276" w:lineRule="auto"/>
              <w:jc w:val="right"/>
              <w:rPr>
                <w:rFonts w:ascii="Times New Roman" w:hAnsi="Times New Roman"/>
                <w:color w:val="000000"/>
                <w:sz w:val="22"/>
                <w:szCs w:val="22"/>
                <w:lang w:val="en-US"/>
              </w:rPr>
            </w:pPr>
            <w:r w:rsidRPr="00F95196">
              <w:rPr>
                <w:rFonts w:ascii="Calibri Light" w:hAnsi="Calibri Light" w:cs="Calibri Light"/>
                <w:color w:val="000000"/>
                <w:sz w:val="22"/>
                <w:szCs w:val="22"/>
              </w:rPr>
              <w:t>413 705</w:t>
            </w:r>
          </w:p>
        </w:tc>
      </w:tr>
      <w:tr w:rsidR="00F95196" w:rsidRPr="00F95196" w14:paraId="77B09C1F" w14:textId="77777777" w:rsidTr="00BE6FF5">
        <w:trPr>
          <w:trHeight w:val="300"/>
        </w:trPr>
        <w:tc>
          <w:tcPr>
            <w:tcW w:w="3380" w:type="dxa"/>
            <w:vMerge w:val="restart"/>
            <w:tcBorders>
              <w:top w:val="nil"/>
              <w:left w:val="single" w:sz="4" w:space="0" w:color="auto"/>
              <w:bottom w:val="single" w:sz="4" w:space="0" w:color="000000"/>
              <w:right w:val="single" w:sz="4" w:space="0" w:color="auto"/>
            </w:tcBorders>
            <w:noWrap/>
            <w:vAlign w:val="center"/>
          </w:tcPr>
          <w:p w14:paraId="79DD746C" w14:textId="77777777" w:rsidR="00F95196" w:rsidRPr="00F95196" w:rsidRDefault="00F95196" w:rsidP="009E3AD8">
            <w:pPr>
              <w:spacing w:line="276" w:lineRule="auto"/>
              <w:jc w:val="center"/>
              <w:rPr>
                <w:rFonts w:ascii="Times New Roman" w:hAnsi="Times New Roman"/>
                <w:b/>
                <w:bCs/>
                <w:color w:val="000000"/>
                <w:sz w:val="22"/>
                <w:szCs w:val="22"/>
                <w:lang w:val="en-US"/>
              </w:rPr>
            </w:pPr>
            <w:r w:rsidRPr="00F95196">
              <w:rPr>
                <w:rFonts w:ascii="Calibri Light" w:hAnsi="Calibri Light" w:cs="Calibri Light"/>
                <w:b/>
                <w:bCs/>
                <w:color w:val="000000"/>
                <w:sz w:val="22"/>
                <w:szCs w:val="22"/>
              </w:rPr>
              <w:t>Bunuri și servicii</w:t>
            </w:r>
          </w:p>
        </w:tc>
        <w:tc>
          <w:tcPr>
            <w:tcW w:w="700" w:type="dxa"/>
            <w:tcBorders>
              <w:top w:val="nil"/>
              <w:left w:val="nil"/>
              <w:bottom w:val="single" w:sz="4" w:space="0" w:color="auto"/>
              <w:right w:val="single" w:sz="4" w:space="0" w:color="auto"/>
            </w:tcBorders>
            <w:noWrap/>
            <w:vAlign w:val="bottom"/>
          </w:tcPr>
          <w:p w14:paraId="3FC83ADC" w14:textId="77777777" w:rsidR="00F95196" w:rsidRPr="00F95196" w:rsidRDefault="00F95196" w:rsidP="009E3AD8">
            <w:pPr>
              <w:spacing w:line="276" w:lineRule="auto"/>
              <w:rPr>
                <w:rFonts w:ascii="Times New Roman" w:hAnsi="Times New Roman"/>
                <w:b/>
                <w:bCs/>
                <w:color w:val="000000"/>
                <w:sz w:val="22"/>
                <w:szCs w:val="22"/>
                <w:lang w:val="en-US"/>
              </w:rPr>
            </w:pPr>
            <w:r w:rsidRPr="00F95196">
              <w:rPr>
                <w:rFonts w:ascii="Calibri Light" w:hAnsi="Calibri Light" w:cs="Calibri Light"/>
                <w:b/>
                <w:bCs/>
                <w:color w:val="000000"/>
                <w:sz w:val="22"/>
                <w:szCs w:val="22"/>
              </w:rPr>
              <w:t>CA</w:t>
            </w:r>
          </w:p>
        </w:tc>
        <w:tc>
          <w:tcPr>
            <w:tcW w:w="1444" w:type="dxa"/>
            <w:tcBorders>
              <w:top w:val="nil"/>
              <w:left w:val="nil"/>
              <w:bottom w:val="single" w:sz="4" w:space="0" w:color="auto"/>
              <w:right w:val="single" w:sz="4" w:space="0" w:color="auto"/>
            </w:tcBorders>
            <w:vAlign w:val="center"/>
          </w:tcPr>
          <w:p w14:paraId="7F86EBD9" w14:textId="77777777" w:rsidR="00F95196" w:rsidRPr="00F95196" w:rsidRDefault="00F95196" w:rsidP="009E3AD8">
            <w:pPr>
              <w:spacing w:line="276" w:lineRule="auto"/>
              <w:jc w:val="right"/>
              <w:rPr>
                <w:rFonts w:ascii="Times New Roman" w:hAnsi="Times New Roman"/>
                <w:color w:val="000000"/>
                <w:sz w:val="22"/>
                <w:szCs w:val="22"/>
                <w:lang w:val="en-US"/>
              </w:rPr>
            </w:pPr>
            <w:r w:rsidRPr="00F95196">
              <w:rPr>
                <w:rFonts w:ascii="Calibri Light" w:hAnsi="Calibri Light" w:cs="Calibri Light"/>
                <w:color w:val="000000"/>
                <w:sz w:val="22"/>
                <w:szCs w:val="22"/>
              </w:rPr>
              <w:t>10 647</w:t>
            </w:r>
          </w:p>
        </w:tc>
        <w:tc>
          <w:tcPr>
            <w:tcW w:w="2126" w:type="dxa"/>
            <w:tcBorders>
              <w:top w:val="nil"/>
              <w:left w:val="nil"/>
              <w:bottom w:val="single" w:sz="4" w:space="0" w:color="auto"/>
              <w:right w:val="single" w:sz="4" w:space="0" w:color="auto"/>
            </w:tcBorders>
            <w:vAlign w:val="center"/>
          </w:tcPr>
          <w:p w14:paraId="7612F38B" w14:textId="77777777" w:rsidR="00F95196" w:rsidRPr="00F95196" w:rsidRDefault="00F95196" w:rsidP="009E3AD8">
            <w:pPr>
              <w:spacing w:line="276" w:lineRule="auto"/>
              <w:jc w:val="right"/>
              <w:rPr>
                <w:rFonts w:ascii="Times New Roman" w:hAnsi="Times New Roman"/>
                <w:color w:val="000000"/>
                <w:sz w:val="22"/>
                <w:szCs w:val="22"/>
                <w:lang w:val="en-US"/>
              </w:rPr>
            </w:pPr>
            <w:r w:rsidRPr="00F95196">
              <w:rPr>
                <w:rFonts w:ascii="Calibri Light" w:hAnsi="Calibri Light" w:cs="Calibri Light"/>
                <w:color w:val="000000"/>
                <w:sz w:val="22"/>
                <w:szCs w:val="22"/>
              </w:rPr>
              <w:t>17 458</w:t>
            </w:r>
          </w:p>
        </w:tc>
        <w:tc>
          <w:tcPr>
            <w:tcW w:w="2126" w:type="dxa"/>
            <w:tcBorders>
              <w:top w:val="nil"/>
              <w:left w:val="nil"/>
              <w:bottom w:val="single" w:sz="4" w:space="0" w:color="auto"/>
              <w:right w:val="single" w:sz="4" w:space="0" w:color="auto"/>
            </w:tcBorders>
            <w:vAlign w:val="center"/>
          </w:tcPr>
          <w:p w14:paraId="50160452" w14:textId="77777777" w:rsidR="00F95196" w:rsidRPr="00F95196" w:rsidRDefault="00F95196" w:rsidP="009E3AD8">
            <w:pPr>
              <w:spacing w:line="276" w:lineRule="auto"/>
              <w:jc w:val="right"/>
              <w:rPr>
                <w:rFonts w:ascii="Times New Roman" w:hAnsi="Times New Roman"/>
                <w:color w:val="000000"/>
                <w:sz w:val="22"/>
                <w:szCs w:val="22"/>
                <w:lang w:val="en-US"/>
              </w:rPr>
            </w:pPr>
            <w:r w:rsidRPr="00F95196">
              <w:rPr>
                <w:rFonts w:ascii="Calibri Light" w:hAnsi="Calibri Light" w:cs="Calibri Light"/>
                <w:color w:val="000000"/>
                <w:sz w:val="22"/>
                <w:szCs w:val="22"/>
              </w:rPr>
              <w:t>44 148</w:t>
            </w:r>
          </w:p>
        </w:tc>
      </w:tr>
      <w:tr w:rsidR="00F95196" w:rsidRPr="00F95196" w14:paraId="500B3ED8" w14:textId="77777777" w:rsidTr="00BE6FF5">
        <w:trPr>
          <w:trHeight w:val="300"/>
        </w:trPr>
        <w:tc>
          <w:tcPr>
            <w:tcW w:w="3380" w:type="dxa"/>
            <w:vMerge/>
            <w:tcBorders>
              <w:top w:val="nil"/>
              <w:left w:val="single" w:sz="4" w:space="0" w:color="auto"/>
              <w:bottom w:val="single" w:sz="4" w:space="0" w:color="000000"/>
              <w:right w:val="single" w:sz="4" w:space="0" w:color="auto"/>
            </w:tcBorders>
            <w:vAlign w:val="center"/>
          </w:tcPr>
          <w:p w14:paraId="4D624566" w14:textId="77777777" w:rsidR="00F95196" w:rsidRPr="00F95196" w:rsidRDefault="00F95196" w:rsidP="009E3AD8">
            <w:pPr>
              <w:spacing w:line="276" w:lineRule="auto"/>
              <w:rPr>
                <w:rFonts w:ascii="Times New Roman" w:hAnsi="Times New Roman"/>
                <w:b/>
                <w:bCs/>
                <w:color w:val="000000"/>
                <w:sz w:val="22"/>
                <w:szCs w:val="22"/>
                <w:lang w:val="en-US"/>
              </w:rPr>
            </w:pPr>
          </w:p>
        </w:tc>
        <w:tc>
          <w:tcPr>
            <w:tcW w:w="700" w:type="dxa"/>
            <w:tcBorders>
              <w:top w:val="nil"/>
              <w:left w:val="nil"/>
              <w:bottom w:val="single" w:sz="4" w:space="0" w:color="auto"/>
              <w:right w:val="single" w:sz="4" w:space="0" w:color="auto"/>
            </w:tcBorders>
            <w:noWrap/>
            <w:vAlign w:val="bottom"/>
          </w:tcPr>
          <w:p w14:paraId="4E0D48E0" w14:textId="77777777" w:rsidR="00F95196" w:rsidRPr="00F95196" w:rsidRDefault="00F95196" w:rsidP="009E3AD8">
            <w:pPr>
              <w:spacing w:line="276" w:lineRule="auto"/>
              <w:rPr>
                <w:rFonts w:ascii="Times New Roman" w:hAnsi="Times New Roman"/>
                <w:b/>
                <w:bCs/>
                <w:color w:val="000000"/>
                <w:sz w:val="22"/>
                <w:szCs w:val="22"/>
                <w:lang w:val="en-US"/>
              </w:rPr>
            </w:pPr>
            <w:r w:rsidRPr="00F95196">
              <w:rPr>
                <w:rFonts w:ascii="Calibri Light" w:hAnsi="Calibri Light" w:cs="Calibri Light"/>
                <w:b/>
                <w:bCs/>
                <w:color w:val="000000"/>
                <w:sz w:val="22"/>
                <w:szCs w:val="22"/>
              </w:rPr>
              <w:t>CB</w:t>
            </w:r>
          </w:p>
        </w:tc>
        <w:tc>
          <w:tcPr>
            <w:tcW w:w="1444" w:type="dxa"/>
            <w:tcBorders>
              <w:top w:val="nil"/>
              <w:left w:val="nil"/>
              <w:bottom w:val="single" w:sz="4" w:space="0" w:color="auto"/>
              <w:right w:val="single" w:sz="4" w:space="0" w:color="auto"/>
            </w:tcBorders>
            <w:vAlign w:val="center"/>
          </w:tcPr>
          <w:p w14:paraId="6EB185A6" w14:textId="77777777" w:rsidR="00F95196" w:rsidRPr="00F95196" w:rsidRDefault="00F95196" w:rsidP="009E3AD8">
            <w:pPr>
              <w:spacing w:line="276" w:lineRule="auto"/>
              <w:jc w:val="right"/>
              <w:rPr>
                <w:rFonts w:ascii="Times New Roman" w:hAnsi="Times New Roman"/>
                <w:color w:val="000000"/>
                <w:sz w:val="22"/>
                <w:szCs w:val="22"/>
                <w:lang w:val="en-US"/>
              </w:rPr>
            </w:pPr>
            <w:r w:rsidRPr="00F95196">
              <w:rPr>
                <w:rFonts w:ascii="Calibri Light" w:hAnsi="Calibri Light" w:cs="Calibri Light"/>
                <w:color w:val="000000"/>
                <w:sz w:val="22"/>
                <w:szCs w:val="22"/>
              </w:rPr>
              <w:t>10 647</w:t>
            </w:r>
          </w:p>
        </w:tc>
        <w:tc>
          <w:tcPr>
            <w:tcW w:w="2126" w:type="dxa"/>
            <w:tcBorders>
              <w:top w:val="nil"/>
              <w:left w:val="nil"/>
              <w:bottom w:val="single" w:sz="4" w:space="0" w:color="auto"/>
              <w:right w:val="single" w:sz="4" w:space="0" w:color="auto"/>
            </w:tcBorders>
            <w:vAlign w:val="center"/>
          </w:tcPr>
          <w:p w14:paraId="2B612E10" w14:textId="77777777" w:rsidR="00F95196" w:rsidRPr="00F95196" w:rsidRDefault="00F95196" w:rsidP="009E3AD8">
            <w:pPr>
              <w:spacing w:line="276" w:lineRule="auto"/>
              <w:jc w:val="right"/>
              <w:rPr>
                <w:rFonts w:ascii="Times New Roman" w:hAnsi="Times New Roman"/>
                <w:color w:val="000000"/>
                <w:sz w:val="22"/>
                <w:szCs w:val="22"/>
                <w:lang w:val="en-US"/>
              </w:rPr>
            </w:pPr>
            <w:r w:rsidRPr="00F95196">
              <w:rPr>
                <w:rFonts w:ascii="Calibri Light" w:hAnsi="Calibri Light" w:cs="Calibri Light"/>
                <w:color w:val="000000"/>
                <w:sz w:val="22"/>
                <w:szCs w:val="22"/>
              </w:rPr>
              <w:t>17 458</w:t>
            </w:r>
          </w:p>
        </w:tc>
        <w:tc>
          <w:tcPr>
            <w:tcW w:w="2126" w:type="dxa"/>
            <w:tcBorders>
              <w:top w:val="nil"/>
              <w:left w:val="nil"/>
              <w:bottom w:val="single" w:sz="4" w:space="0" w:color="auto"/>
              <w:right w:val="single" w:sz="4" w:space="0" w:color="auto"/>
            </w:tcBorders>
            <w:vAlign w:val="center"/>
          </w:tcPr>
          <w:p w14:paraId="4A30DFEC" w14:textId="77777777" w:rsidR="00F95196" w:rsidRPr="00F95196" w:rsidRDefault="00F95196" w:rsidP="009E3AD8">
            <w:pPr>
              <w:spacing w:line="276" w:lineRule="auto"/>
              <w:jc w:val="right"/>
              <w:rPr>
                <w:rFonts w:ascii="Times New Roman" w:hAnsi="Times New Roman"/>
                <w:color w:val="000000"/>
                <w:sz w:val="22"/>
                <w:szCs w:val="22"/>
                <w:lang w:val="en-US"/>
              </w:rPr>
            </w:pPr>
            <w:r w:rsidRPr="00F95196">
              <w:rPr>
                <w:rFonts w:ascii="Calibri Light" w:hAnsi="Calibri Light" w:cs="Calibri Light"/>
                <w:color w:val="000000"/>
                <w:sz w:val="22"/>
                <w:szCs w:val="22"/>
              </w:rPr>
              <w:t>44 148</w:t>
            </w:r>
          </w:p>
        </w:tc>
      </w:tr>
    </w:tbl>
    <w:p w14:paraId="0CA481F8" w14:textId="1DBC7348" w:rsidR="00060958" w:rsidRDefault="00F95196" w:rsidP="00C50015">
      <w:pPr>
        <w:spacing w:line="276" w:lineRule="auto"/>
        <w:ind w:firstLine="708"/>
        <w:jc w:val="both"/>
        <w:rPr>
          <w:rFonts w:ascii="Calibri" w:hAnsi="Calibri" w:cs="Calibri"/>
          <w:sz w:val="26"/>
          <w:szCs w:val="26"/>
        </w:rPr>
      </w:pPr>
      <w:r w:rsidRPr="00F95196">
        <w:rPr>
          <w:rFonts w:ascii="Calibri" w:hAnsi="Calibri" w:cs="Calibri"/>
          <w:sz w:val="26"/>
          <w:szCs w:val="26"/>
        </w:rPr>
        <w:t xml:space="preserve">O pondere importantă în </w:t>
      </w:r>
      <w:r w:rsidR="00761955" w:rsidRPr="00A35EF2">
        <w:rPr>
          <w:rFonts w:ascii="Calibri" w:hAnsi="Calibri" w:cs="Calibri"/>
          <w:sz w:val="26"/>
          <w:szCs w:val="26"/>
        </w:rPr>
        <w:t>„</w:t>
      </w:r>
      <w:r w:rsidRPr="00F95196">
        <w:rPr>
          <w:rFonts w:ascii="Calibri" w:hAnsi="Calibri" w:cs="Calibri"/>
          <w:sz w:val="26"/>
          <w:szCs w:val="26"/>
        </w:rPr>
        <w:t>Titlul bunuri și servicii” o au chiriile pentru spaţiile necesare funcţionării în condiţii optime a Consiliului Superior al Magistraturii, care nu dispune până în prezent de un sediu propriu</w:t>
      </w:r>
      <w:r w:rsidR="00B443D6">
        <w:rPr>
          <w:rFonts w:ascii="Calibri" w:hAnsi="Calibri" w:cs="Calibri"/>
          <w:sz w:val="26"/>
          <w:szCs w:val="26"/>
        </w:rPr>
        <w:t>, deşi alocarea unui sediu corespunzător a fost solicitată în mai multe rânduri de-a lungul timpului.</w:t>
      </w:r>
      <w:r w:rsidR="003E0730">
        <w:rPr>
          <w:rFonts w:ascii="Calibri" w:hAnsi="Calibri" w:cs="Calibri"/>
          <w:sz w:val="26"/>
          <w:szCs w:val="26"/>
        </w:rPr>
        <w:t xml:space="preserve">                                                                                                                                       </w:t>
      </w:r>
    </w:p>
    <w:p w14:paraId="1680F968" w14:textId="326A9827" w:rsidR="00F95196" w:rsidRPr="00060958" w:rsidRDefault="00060958" w:rsidP="009E3AD8">
      <w:pPr>
        <w:spacing w:line="276" w:lineRule="auto"/>
        <w:ind w:firstLine="708"/>
        <w:jc w:val="center"/>
        <w:rPr>
          <w:rFonts w:ascii="Calibri" w:hAnsi="Calibri" w:cs="Calibri"/>
          <w:b/>
          <w:bCs/>
          <w:sz w:val="26"/>
          <w:szCs w:val="26"/>
        </w:rPr>
      </w:pPr>
      <w:r>
        <w:rPr>
          <w:rFonts w:ascii="Calibri" w:hAnsi="Calibri" w:cs="Calibri"/>
          <w:sz w:val="26"/>
          <w:szCs w:val="26"/>
        </w:rPr>
        <w:t xml:space="preserve">                                                                                                                                      </w:t>
      </w:r>
      <w:r w:rsidR="003E0730">
        <w:rPr>
          <w:rFonts w:ascii="Calibri" w:hAnsi="Calibri" w:cs="Calibri"/>
          <w:sz w:val="26"/>
          <w:szCs w:val="26"/>
        </w:rPr>
        <w:t xml:space="preserve">        </w:t>
      </w:r>
      <w:r w:rsidR="00F95196" w:rsidRPr="00060958">
        <w:rPr>
          <w:rFonts w:ascii="Calibri" w:hAnsi="Calibri" w:cs="Calibri"/>
          <w:b/>
          <w:bCs/>
          <w:sz w:val="26"/>
          <w:szCs w:val="26"/>
        </w:rPr>
        <w:t>mii lei</w:t>
      </w:r>
    </w:p>
    <w:p w14:paraId="6CECD93B" w14:textId="5C71DE92" w:rsidR="00F95196" w:rsidRPr="00F95196" w:rsidRDefault="00F95196" w:rsidP="009E3AD8">
      <w:pPr>
        <w:spacing w:line="276" w:lineRule="auto"/>
        <w:jc w:val="both"/>
        <w:rPr>
          <w:rFonts w:ascii="Calibri" w:hAnsi="Calibri" w:cs="Calibri"/>
          <w:sz w:val="26"/>
          <w:szCs w:val="26"/>
        </w:rPr>
      </w:pPr>
      <w:r w:rsidRPr="00AA27EF">
        <w:rPr>
          <w:noProof/>
          <w:color w:val="000000" w:themeColor="text1"/>
        </w:rPr>
        <w:drawing>
          <wp:inline distT="0" distB="0" distL="0" distR="0" wp14:anchorId="7530F0F4" wp14:editId="58FBF39F">
            <wp:extent cx="6372225" cy="3629025"/>
            <wp:effectExtent l="0" t="0" r="9525" b="9525"/>
            <wp:docPr id="729318941" name="Chart 1">
              <a:extLst xmlns:a="http://schemas.openxmlformats.org/drawingml/2006/main">
                <a:ext uri="{FF2B5EF4-FFF2-40B4-BE49-F238E27FC236}">
                  <a16:creationId xmlns:a16="http://schemas.microsoft.com/office/drawing/2014/main" id="{00000000-0008-0000-01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F95196">
        <w:rPr>
          <w:noProof/>
        </w:rPr>
        <w:t xml:space="preserve"> </w:t>
      </w:r>
    </w:p>
    <w:p w14:paraId="55568D17" w14:textId="06C7DF6A" w:rsidR="00F95196" w:rsidRPr="00F95196" w:rsidRDefault="00BD2180" w:rsidP="009E3AD8">
      <w:pPr>
        <w:spacing w:line="276" w:lineRule="auto"/>
        <w:ind w:left="7788" w:firstLine="708"/>
        <w:jc w:val="both"/>
        <w:rPr>
          <w:rFonts w:ascii="Calibri" w:hAnsi="Calibri" w:cs="Calibri"/>
          <w:b/>
          <w:sz w:val="26"/>
          <w:szCs w:val="26"/>
        </w:rPr>
      </w:pPr>
      <w:r>
        <w:rPr>
          <w:rFonts w:ascii="Calibri" w:hAnsi="Calibri" w:cs="Calibri"/>
          <w:b/>
          <w:sz w:val="26"/>
          <w:szCs w:val="26"/>
        </w:rPr>
        <w:t xml:space="preserve">      </w:t>
      </w:r>
      <w:r w:rsidR="00F95196" w:rsidRPr="00F95196">
        <w:rPr>
          <w:rFonts w:ascii="Calibri" w:hAnsi="Calibri" w:cs="Calibri"/>
          <w:b/>
          <w:sz w:val="26"/>
          <w:szCs w:val="26"/>
        </w:rPr>
        <w:t xml:space="preserve">       mii lei</w:t>
      </w:r>
    </w:p>
    <w:tbl>
      <w:tblPr>
        <w:tblW w:w="9918" w:type="dxa"/>
        <w:tblLook w:val="04A0" w:firstRow="1" w:lastRow="0" w:firstColumn="1" w:lastColumn="0" w:noHBand="0" w:noVBand="1"/>
      </w:tblPr>
      <w:tblGrid>
        <w:gridCol w:w="3380"/>
        <w:gridCol w:w="700"/>
        <w:gridCol w:w="1444"/>
        <w:gridCol w:w="1984"/>
        <w:gridCol w:w="2410"/>
      </w:tblGrid>
      <w:tr w:rsidR="00F95196" w:rsidRPr="00F95196" w14:paraId="1EC8E366" w14:textId="77777777" w:rsidTr="00BE6FF5">
        <w:trPr>
          <w:trHeight w:val="300"/>
        </w:trPr>
        <w:tc>
          <w:tcPr>
            <w:tcW w:w="3380" w:type="dxa"/>
            <w:tcBorders>
              <w:top w:val="single" w:sz="4" w:space="0" w:color="auto"/>
              <w:left w:val="single" w:sz="4" w:space="0" w:color="auto"/>
              <w:bottom w:val="single" w:sz="4" w:space="0" w:color="auto"/>
              <w:right w:val="single" w:sz="4" w:space="0" w:color="auto"/>
            </w:tcBorders>
            <w:noWrap/>
            <w:vAlign w:val="bottom"/>
          </w:tcPr>
          <w:p w14:paraId="746F917B" w14:textId="77777777" w:rsidR="00F95196" w:rsidRPr="00F95196" w:rsidRDefault="00F95196" w:rsidP="009E3AD8">
            <w:pPr>
              <w:spacing w:line="276" w:lineRule="auto"/>
              <w:rPr>
                <w:rFonts w:ascii="Times New Roman" w:hAnsi="Times New Roman"/>
                <w:color w:val="000000"/>
                <w:sz w:val="22"/>
                <w:szCs w:val="22"/>
                <w:lang w:val="en-US"/>
              </w:rPr>
            </w:pPr>
            <w:r w:rsidRPr="00F95196">
              <w:rPr>
                <w:rFonts w:ascii="Calibri Light" w:hAnsi="Calibri Light" w:cs="Calibri Light"/>
                <w:color w:val="000000"/>
                <w:sz w:val="22"/>
                <w:szCs w:val="22"/>
              </w:rPr>
              <w:t> </w:t>
            </w:r>
          </w:p>
        </w:tc>
        <w:tc>
          <w:tcPr>
            <w:tcW w:w="700" w:type="dxa"/>
            <w:tcBorders>
              <w:top w:val="single" w:sz="4" w:space="0" w:color="auto"/>
              <w:left w:val="nil"/>
              <w:bottom w:val="single" w:sz="4" w:space="0" w:color="auto"/>
              <w:right w:val="single" w:sz="4" w:space="0" w:color="auto"/>
            </w:tcBorders>
            <w:noWrap/>
            <w:vAlign w:val="bottom"/>
          </w:tcPr>
          <w:p w14:paraId="772D0BA0" w14:textId="77777777" w:rsidR="00F95196" w:rsidRPr="00F95196" w:rsidRDefault="00F95196" w:rsidP="009E3AD8">
            <w:pPr>
              <w:spacing w:line="276" w:lineRule="auto"/>
              <w:rPr>
                <w:rFonts w:ascii="Times New Roman" w:hAnsi="Times New Roman"/>
                <w:color w:val="000000"/>
                <w:sz w:val="22"/>
                <w:szCs w:val="22"/>
                <w:lang w:val="en-US"/>
              </w:rPr>
            </w:pPr>
            <w:r w:rsidRPr="00F95196">
              <w:rPr>
                <w:rFonts w:ascii="Calibri Light" w:hAnsi="Calibri Light" w:cs="Calibri Light"/>
                <w:color w:val="000000"/>
                <w:sz w:val="22"/>
                <w:szCs w:val="22"/>
              </w:rPr>
              <w:t> </w:t>
            </w:r>
          </w:p>
        </w:tc>
        <w:tc>
          <w:tcPr>
            <w:tcW w:w="1444" w:type="dxa"/>
            <w:tcBorders>
              <w:top w:val="single" w:sz="4" w:space="0" w:color="auto"/>
              <w:left w:val="nil"/>
              <w:bottom w:val="single" w:sz="4" w:space="0" w:color="auto"/>
              <w:right w:val="single" w:sz="4" w:space="0" w:color="auto"/>
            </w:tcBorders>
            <w:noWrap/>
            <w:vAlign w:val="bottom"/>
          </w:tcPr>
          <w:p w14:paraId="1623E15A" w14:textId="77777777" w:rsidR="00F95196" w:rsidRPr="00F95196" w:rsidRDefault="00F95196" w:rsidP="009E3AD8">
            <w:pPr>
              <w:spacing w:line="276" w:lineRule="auto"/>
              <w:jc w:val="right"/>
              <w:rPr>
                <w:rFonts w:ascii="Times New Roman" w:hAnsi="Times New Roman"/>
                <w:b/>
                <w:bCs/>
                <w:color w:val="000000"/>
                <w:sz w:val="22"/>
                <w:szCs w:val="22"/>
                <w:lang w:val="en-US"/>
              </w:rPr>
            </w:pPr>
            <w:r w:rsidRPr="00F95196">
              <w:rPr>
                <w:rFonts w:ascii="Calibri Light" w:hAnsi="Calibri Light" w:cs="Calibri Light"/>
                <w:b/>
                <w:bCs/>
                <w:color w:val="000000"/>
                <w:sz w:val="22"/>
                <w:szCs w:val="22"/>
              </w:rPr>
              <w:t>2024</w:t>
            </w:r>
          </w:p>
        </w:tc>
        <w:tc>
          <w:tcPr>
            <w:tcW w:w="1984" w:type="dxa"/>
            <w:tcBorders>
              <w:top w:val="single" w:sz="4" w:space="0" w:color="auto"/>
              <w:left w:val="nil"/>
              <w:bottom w:val="single" w:sz="4" w:space="0" w:color="auto"/>
              <w:right w:val="single" w:sz="4" w:space="0" w:color="auto"/>
            </w:tcBorders>
            <w:noWrap/>
            <w:vAlign w:val="bottom"/>
          </w:tcPr>
          <w:p w14:paraId="798906A5" w14:textId="77777777" w:rsidR="00F95196" w:rsidRPr="00F95196" w:rsidRDefault="00F95196" w:rsidP="009E3AD8">
            <w:pPr>
              <w:spacing w:line="276" w:lineRule="auto"/>
              <w:jc w:val="right"/>
              <w:rPr>
                <w:rFonts w:ascii="Times New Roman" w:hAnsi="Times New Roman"/>
                <w:b/>
                <w:bCs/>
                <w:color w:val="000000"/>
                <w:sz w:val="22"/>
                <w:szCs w:val="22"/>
                <w:lang w:val="en-US"/>
              </w:rPr>
            </w:pPr>
            <w:r w:rsidRPr="00F95196">
              <w:rPr>
                <w:rFonts w:ascii="Calibri Light" w:hAnsi="Calibri Light" w:cs="Calibri Light"/>
                <w:b/>
                <w:bCs/>
                <w:color w:val="000000"/>
                <w:sz w:val="22"/>
                <w:szCs w:val="22"/>
              </w:rPr>
              <w:t>2025</w:t>
            </w:r>
          </w:p>
        </w:tc>
        <w:tc>
          <w:tcPr>
            <w:tcW w:w="2410" w:type="dxa"/>
            <w:tcBorders>
              <w:top w:val="single" w:sz="4" w:space="0" w:color="auto"/>
              <w:left w:val="nil"/>
              <w:bottom w:val="single" w:sz="4" w:space="0" w:color="auto"/>
              <w:right w:val="single" w:sz="4" w:space="0" w:color="auto"/>
            </w:tcBorders>
            <w:noWrap/>
            <w:vAlign w:val="bottom"/>
          </w:tcPr>
          <w:p w14:paraId="18D0D6B0" w14:textId="77777777" w:rsidR="00F95196" w:rsidRPr="00F95196" w:rsidRDefault="00F95196" w:rsidP="009E3AD8">
            <w:pPr>
              <w:spacing w:line="276" w:lineRule="auto"/>
              <w:jc w:val="right"/>
              <w:rPr>
                <w:rFonts w:ascii="Times New Roman" w:hAnsi="Times New Roman"/>
                <w:b/>
                <w:bCs/>
                <w:color w:val="000000"/>
                <w:sz w:val="22"/>
                <w:szCs w:val="22"/>
                <w:lang w:val="en-US"/>
              </w:rPr>
            </w:pPr>
            <w:r w:rsidRPr="00F95196">
              <w:rPr>
                <w:rFonts w:ascii="Calibri Light" w:hAnsi="Calibri Light" w:cs="Calibri Light"/>
                <w:b/>
                <w:bCs/>
                <w:color w:val="000000"/>
                <w:sz w:val="22"/>
                <w:szCs w:val="22"/>
              </w:rPr>
              <w:t>2026</w:t>
            </w:r>
          </w:p>
        </w:tc>
      </w:tr>
      <w:tr w:rsidR="00F95196" w:rsidRPr="00F95196" w14:paraId="7F1EA089" w14:textId="77777777" w:rsidTr="00BE6FF5">
        <w:trPr>
          <w:trHeight w:val="300"/>
        </w:trPr>
        <w:tc>
          <w:tcPr>
            <w:tcW w:w="3380" w:type="dxa"/>
            <w:vMerge w:val="restart"/>
            <w:tcBorders>
              <w:top w:val="nil"/>
              <w:left w:val="single" w:sz="4" w:space="0" w:color="auto"/>
              <w:bottom w:val="single" w:sz="4" w:space="0" w:color="000000"/>
              <w:right w:val="single" w:sz="4" w:space="0" w:color="auto"/>
            </w:tcBorders>
            <w:noWrap/>
            <w:vAlign w:val="center"/>
          </w:tcPr>
          <w:p w14:paraId="1BC88225" w14:textId="77777777" w:rsidR="00F95196" w:rsidRPr="00F95196" w:rsidRDefault="00F95196" w:rsidP="009E3AD8">
            <w:pPr>
              <w:spacing w:line="276" w:lineRule="auto"/>
              <w:jc w:val="center"/>
              <w:rPr>
                <w:rFonts w:ascii="Times New Roman" w:hAnsi="Times New Roman"/>
                <w:b/>
                <w:bCs/>
                <w:color w:val="000000"/>
                <w:sz w:val="22"/>
                <w:szCs w:val="22"/>
                <w:lang w:val="en-US"/>
              </w:rPr>
            </w:pPr>
            <w:r w:rsidRPr="00F95196">
              <w:rPr>
                <w:rFonts w:ascii="Calibri Light" w:hAnsi="Calibri Light" w:cs="Calibri Light"/>
                <w:b/>
                <w:bCs/>
                <w:color w:val="000000"/>
                <w:sz w:val="22"/>
                <w:szCs w:val="22"/>
              </w:rPr>
              <w:t>Total</w:t>
            </w:r>
          </w:p>
        </w:tc>
        <w:tc>
          <w:tcPr>
            <w:tcW w:w="700" w:type="dxa"/>
            <w:tcBorders>
              <w:top w:val="nil"/>
              <w:left w:val="nil"/>
              <w:bottom w:val="single" w:sz="4" w:space="0" w:color="auto"/>
              <w:right w:val="single" w:sz="4" w:space="0" w:color="auto"/>
            </w:tcBorders>
            <w:noWrap/>
            <w:vAlign w:val="bottom"/>
          </w:tcPr>
          <w:p w14:paraId="763580DB" w14:textId="77777777" w:rsidR="00F95196" w:rsidRPr="00F95196" w:rsidRDefault="00F95196" w:rsidP="009E3AD8">
            <w:pPr>
              <w:spacing w:line="276" w:lineRule="auto"/>
              <w:rPr>
                <w:rFonts w:ascii="Times New Roman" w:hAnsi="Times New Roman"/>
                <w:b/>
                <w:bCs/>
                <w:color w:val="000000"/>
                <w:sz w:val="22"/>
                <w:szCs w:val="22"/>
                <w:lang w:val="en-US"/>
              </w:rPr>
            </w:pPr>
            <w:r w:rsidRPr="00F95196">
              <w:rPr>
                <w:rFonts w:ascii="Calibri Light" w:hAnsi="Calibri Light" w:cs="Calibri Light"/>
                <w:b/>
                <w:bCs/>
                <w:color w:val="000000"/>
                <w:sz w:val="22"/>
                <w:szCs w:val="22"/>
              </w:rPr>
              <w:t>CA</w:t>
            </w:r>
          </w:p>
        </w:tc>
        <w:tc>
          <w:tcPr>
            <w:tcW w:w="1444" w:type="dxa"/>
            <w:tcBorders>
              <w:top w:val="nil"/>
              <w:left w:val="nil"/>
              <w:bottom w:val="single" w:sz="4" w:space="0" w:color="auto"/>
              <w:right w:val="single" w:sz="4" w:space="0" w:color="auto"/>
            </w:tcBorders>
            <w:noWrap/>
            <w:vAlign w:val="center"/>
          </w:tcPr>
          <w:p w14:paraId="7D9D5355" w14:textId="77777777" w:rsidR="00F95196" w:rsidRPr="00F95196" w:rsidRDefault="00F95196" w:rsidP="009E3AD8">
            <w:pPr>
              <w:spacing w:line="276" w:lineRule="auto"/>
              <w:jc w:val="right"/>
              <w:rPr>
                <w:rFonts w:ascii="Times New Roman" w:hAnsi="Times New Roman"/>
                <w:color w:val="000000"/>
                <w:sz w:val="22"/>
                <w:szCs w:val="22"/>
                <w:lang w:val="en-US"/>
              </w:rPr>
            </w:pPr>
            <w:r w:rsidRPr="00F95196">
              <w:rPr>
                <w:rFonts w:ascii="Calibri Light" w:hAnsi="Calibri Light" w:cs="Calibri Light"/>
                <w:color w:val="000000"/>
                <w:sz w:val="22"/>
                <w:szCs w:val="22"/>
              </w:rPr>
              <w:t>218 178</w:t>
            </w:r>
          </w:p>
        </w:tc>
        <w:tc>
          <w:tcPr>
            <w:tcW w:w="1984" w:type="dxa"/>
            <w:tcBorders>
              <w:top w:val="nil"/>
              <w:left w:val="nil"/>
              <w:bottom w:val="single" w:sz="4" w:space="0" w:color="auto"/>
              <w:right w:val="single" w:sz="4" w:space="0" w:color="auto"/>
            </w:tcBorders>
            <w:noWrap/>
            <w:vAlign w:val="center"/>
          </w:tcPr>
          <w:p w14:paraId="1792D4CC" w14:textId="77777777" w:rsidR="00F95196" w:rsidRPr="00F95196" w:rsidRDefault="00F95196" w:rsidP="009E3AD8">
            <w:pPr>
              <w:spacing w:line="276" w:lineRule="auto"/>
              <w:jc w:val="right"/>
              <w:rPr>
                <w:rFonts w:ascii="Times New Roman" w:hAnsi="Times New Roman"/>
                <w:color w:val="000000"/>
                <w:sz w:val="22"/>
                <w:szCs w:val="22"/>
                <w:lang w:val="en-US"/>
              </w:rPr>
            </w:pPr>
            <w:r w:rsidRPr="00F95196">
              <w:rPr>
                <w:rFonts w:ascii="Calibri Light" w:hAnsi="Calibri Light" w:cs="Calibri Light"/>
                <w:color w:val="000000"/>
                <w:sz w:val="22"/>
                <w:szCs w:val="22"/>
              </w:rPr>
              <w:t>281 040</w:t>
            </w:r>
          </w:p>
        </w:tc>
        <w:tc>
          <w:tcPr>
            <w:tcW w:w="2410" w:type="dxa"/>
            <w:tcBorders>
              <w:top w:val="nil"/>
              <w:left w:val="nil"/>
              <w:bottom w:val="single" w:sz="4" w:space="0" w:color="auto"/>
              <w:right w:val="single" w:sz="4" w:space="0" w:color="auto"/>
            </w:tcBorders>
            <w:noWrap/>
            <w:vAlign w:val="center"/>
          </w:tcPr>
          <w:p w14:paraId="76FA65C1" w14:textId="77777777" w:rsidR="00F95196" w:rsidRPr="00F95196" w:rsidRDefault="00F95196" w:rsidP="009E3AD8">
            <w:pPr>
              <w:spacing w:line="276" w:lineRule="auto"/>
              <w:jc w:val="right"/>
              <w:rPr>
                <w:rFonts w:ascii="Times New Roman" w:hAnsi="Times New Roman"/>
                <w:color w:val="000000"/>
                <w:sz w:val="22"/>
                <w:szCs w:val="22"/>
                <w:lang w:val="en-US"/>
              </w:rPr>
            </w:pPr>
            <w:r w:rsidRPr="00F95196">
              <w:rPr>
                <w:rFonts w:ascii="Calibri Light" w:hAnsi="Calibri Light" w:cs="Calibri Light"/>
                <w:color w:val="000000"/>
                <w:sz w:val="22"/>
                <w:szCs w:val="22"/>
              </w:rPr>
              <w:t>421 331</w:t>
            </w:r>
          </w:p>
        </w:tc>
      </w:tr>
      <w:tr w:rsidR="00F95196" w:rsidRPr="00F95196" w14:paraId="00A0D8FC" w14:textId="77777777" w:rsidTr="00BE6FF5">
        <w:trPr>
          <w:trHeight w:val="300"/>
        </w:trPr>
        <w:tc>
          <w:tcPr>
            <w:tcW w:w="3380" w:type="dxa"/>
            <w:vMerge/>
            <w:tcBorders>
              <w:top w:val="nil"/>
              <w:left w:val="single" w:sz="4" w:space="0" w:color="auto"/>
              <w:bottom w:val="single" w:sz="4" w:space="0" w:color="000000"/>
              <w:right w:val="single" w:sz="4" w:space="0" w:color="auto"/>
            </w:tcBorders>
            <w:vAlign w:val="center"/>
          </w:tcPr>
          <w:p w14:paraId="550198AF" w14:textId="77777777" w:rsidR="00F95196" w:rsidRPr="00F95196" w:rsidRDefault="00F95196" w:rsidP="009E3AD8">
            <w:pPr>
              <w:spacing w:line="276" w:lineRule="auto"/>
              <w:rPr>
                <w:rFonts w:ascii="Times New Roman" w:hAnsi="Times New Roman"/>
                <w:b/>
                <w:bCs/>
                <w:color w:val="000000"/>
                <w:sz w:val="22"/>
                <w:szCs w:val="22"/>
                <w:lang w:val="en-US"/>
              </w:rPr>
            </w:pPr>
          </w:p>
        </w:tc>
        <w:tc>
          <w:tcPr>
            <w:tcW w:w="700" w:type="dxa"/>
            <w:tcBorders>
              <w:top w:val="nil"/>
              <w:left w:val="nil"/>
              <w:bottom w:val="single" w:sz="4" w:space="0" w:color="auto"/>
              <w:right w:val="single" w:sz="4" w:space="0" w:color="auto"/>
            </w:tcBorders>
            <w:noWrap/>
            <w:vAlign w:val="bottom"/>
          </w:tcPr>
          <w:p w14:paraId="394B6796" w14:textId="77777777" w:rsidR="00F95196" w:rsidRPr="00F95196" w:rsidRDefault="00F95196" w:rsidP="009E3AD8">
            <w:pPr>
              <w:spacing w:line="276" w:lineRule="auto"/>
              <w:rPr>
                <w:rFonts w:ascii="Times New Roman" w:hAnsi="Times New Roman"/>
                <w:b/>
                <w:bCs/>
                <w:color w:val="000000"/>
                <w:sz w:val="22"/>
                <w:szCs w:val="22"/>
                <w:lang w:val="en-US"/>
              </w:rPr>
            </w:pPr>
            <w:r w:rsidRPr="00F95196">
              <w:rPr>
                <w:rFonts w:ascii="Calibri Light" w:hAnsi="Calibri Light" w:cs="Calibri Light"/>
                <w:b/>
                <w:bCs/>
                <w:color w:val="000000"/>
                <w:sz w:val="22"/>
                <w:szCs w:val="22"/>
              </w:rPr>
              <w:t>CB</w:t>
            </w:r>
          </w:p>
        </w:tc>
        <w:tc>
          <w:tcPr>
            <w:tcW w:w="1444" w:type="dxa"/>
            <w:tcBorders>
              <w:top w:val="nil"/>
              <w:left w:val="nil"/>
              <w:bottom w:val="single" w:sz="4" w:space="0" w:color="auto"/>
              <w:right w:val="single" w:sz="4" w:space="0" w:color="auto"/>
            </w:tcBorders>
            <w:noWrap/>
            <w:vAlign w:val="center"/>
          </w:tcPr>
          <w:p w14:paraId="1CD1C28E" w14:textId="77777777" w:rsidR="00F95196" w:rsidRPr="00F95196" w:rsidRDefault="00F95196" w:rsidP="009E3AD8">
            <w:pPr>
              <w:spacing w:line="276" w:lineRule="auto"/>
              <w:jc w:val="right"/>
              <w:rPr>
                <w:rFonts w:ascii="Times New Roman" w:hAnsi="Times New Roman"/>
                <w:color w:val="000000"/>
                <w:sz w:val="22"/>
                <w:szCs w:val="22"/>
                <w:lang w:val="en-US"/>
              </w:rPr>
            </w:pPr>
            <w:r w:rsidRPr="00F95196">
              <w:rPr>
                <w:rFonts w:ascii="Calibri Light" w:hAnsi="Calibri Light" w:cs="Calibri Light"/>
                <w:color w:val="000000"/>
                <w:sz w:val="22"/>
                <w:szCs w:val="22"/>
              </w:rPr>
              <w:t>182 774</w:t>
            </w:r>
          </w:p>
        </w:tc>
        <w:tc>
          <w:tcPr>
            <w:tcW w:w="1984" w:type="dxa"/>
            <w:tcBorders>
              <w:top w:val="nil"/>
              <w:left w:val="nil"/>
              <w:bottom w:val="single" w:sz="4" w:space="0" w:color="auto"/>
              <w:right w:val="single" w:sz="4" w:space="0" w:color="auto"/>
            </w:tcBorders>
            <w:noWrap/>
            <w:vAlign w:val="center"/>
          </w:tcPr>
          <w:p w14:paraId="36218BFE" w14:textId="77777777" w:rsidR="00F95196" w:rsidRPr="00F95196" w:rsidRDefault="00F95196" w:rsidP="009E3AD8">
            <w:pPr>
              <w:spacing w:line="276" w:lineRule="auto"/>
              <w:jc w:val="right"/>
              <w:rPr>
                <w:rFonts w:ascii="Times New Roman" w:hAnsi="Times New Roman"/>
                <w:color w:val="000000"/>
                <w:sz w:val="22"/>
                <w:szCs w:val="22"/>
                <w:lang w:val="en-US"/>
              </w:rPr>
            </w:pPr>
            <w:r w:rsidRPr="00F95196">
              <w:rPr>
                <w:rFonts w:ascii="Calibri Light" w:hAnsi="Calibri Light" w:cs="Calibri Light"/>
                <w:color w:val="000000"/>
                <w:sz w:val="22"/>
                <w:szCs w:val="22"/>
              </w:rPr>
              <w:t>276 186</w:t>
            </w:r>
          </w:p>
        </w:tc>
        <w:tc>
          <w:tcPr>
            <w:tcW w:w="2410" w:type="dxa"/>
            <w:tcBorders>
              <w:top w:val="nil"/>
              <w:left w:val="nil"/>
              <w:bottom w:val="single" w:sz="4" w:space="0" w:color="auto"/>
              <w:right w:val="single" w:sz="4" w:space="0" w:color="auto"/>
            </w:tcBorders>
            <w:noWrap/>
            <w:vAlign w:val="center"/>
          </w:tcPr>
          <w:p w14:paraId="400450E9" w14:textId="77777777" w:rsidR="00F95196" w:rsidRPr="00F95196" w:rsidRDefault="00F95196" w:rsidP="009E3AD8">
            <w:pPr>
              <w:spacing w:line="276" w:lineRule="auto"/>
              <w:jc w:val="right"/>
              <w:rPr>
                <w:rFonts w:ascii="Times New Roman" w:hAnsi="Times New Roman"/>
                <w:color w:val="000000"/>
                <w:sz w:val="22"/>
                <w:szCs w:val="22"/>
                <w:lang w:val="en-US"/>
              </w:rPr>
            </w:pPr>
            <w:r w:rsidRPr="00F95196">
              <w:rPr>
                <w:rFonts w:ascii="Calibri Light" w:hAnsi="Calibri Light" w:cs="Calibri Light"/>
                <w:color w:val="000000"/>
                <w:sz w:val="22"/>
                <w:szCs w:val="22"/>
              </w:rPr>
              <w:t>413 705</w:t>
            </w:r>
          </w:p>
        </w:tc>
      </w:tr>
      <w:tr w:rsidR="00F95196" w:rsidRPr="00F95196" w14:paraId="6E1180A5" w14:textId="77777777" w:rsidTr="00BE6FF5">
        <w:trPr>
          <w:trHeight w:val="765"/>
        </w:trPr>
        <w:tc>
          <w:tcPr>
            <w:tcW w:w="3380" w:type="dxa"/>
            <w:tcBorders>
              <w:top w:val="nil"/>
              <w:left w:val="single" w:sz="4" w:space="0" w:color="auto"/>
              <w:bottom w:val="single" w:sz="4" w:space="0" w:color="auto"/>
              <w:right w:val="single" w:sz="4" w:space="0" w:color="auto"/>
            </w:tcBorders>
            <w:vAlign w:val="center"/>
          </w:tcPr>
          <w:p w14:paraId="35B0E2F6" w14:textId="77777777" w:rsidR="00F95196" w:rsidRPr="00F95196" w:rsidRDefault="00F95196" w:rsidP="009E3AD8">
            <w:pPr>
              <w:spacing w:line="276" w:lineRule="auto"/>
              <w:rPr>
                <w:rFonts w:ascii="Times New Roman" w:hAnsi="Times New Roman"/>
                <w:b/>
                <w:bCs/>
                <w:color w:val="000000"/>
                <w:sz w:val="22"/>
                <w:szCs w:val="22"/>
                <w:lang w:val="en-US"/>
              </w:rPr>
            </w:pPr>
            <w:r w:rsidRPr="00F95196">
              <w:rPr>
                <w:rFonts w:ascii="Calibri Light" w:hAnsi="Calibri Light" w:cs="Calibri Light"/>
                <w:b/>
                <w:bCs/>
                <w:color w:val="000000"/>
                <w:sz w:val="22"/>
                <w:szCs w:val="22"/>
              </w:rPr>
              <w:lastRenderedPageBreak/>
              <w:t>Alte cheltuieli</w:t>
            </w:r>
          </w:p>
        </w:tc>
        <w:tc>
          <w:tcPr>
            <w:tcW w:w="700" w:type="dxa"/>
            <w:tcBorders>
              <w:top w:val="nil"/>
              <w:left w:val="nil"/>
              <w:bottom w:val="single" w:sz="4" w:space="0" w:color="auto"/>
              <w:right w:val="single" w:sz="4" w:space="0" w:color="auto"/>
            </w:tcBorders>
            <w:noWrap/>
            <w:vAlign w:val="bottom"/>
          </w:tcPr>
          <w:p w14:paraId="5DFFBFAC" w14:textId="77777777" w:rsidR="00F95196" w:rsidRPr="00F95196" w:rsidRDefault="00F95196" w:rsidP="009E3AD8">
            <w:pPr>
              <w:spacing w:line="276" w:lineRule="auto"/>
              <w:rPr>
                <w:rFonts w:ascii="Times New Roman" w:hAnsi="Times New Roman"/>
                <w:b/>
                <w:bCs/>
                <w:color w:val="000000"/>
                <w:sz w:val="22"/>
                <w:szCs w:val="22"/>
                <w:lang w:val="en-US"/>
              </w:rPr>
            </w:pPr>
            <w:r w:rsidRPr="00F95196">
              <w:rPr>
                <w:rFonts w:ascii="Calibri Light" w:hAnsi="Calibri Light" w:cs="Calibri Light"/>
                <w:b/>
                <w:bCs/>
                <w:color w:val="000000"/>
                <w:sz w:val="22"/>
                <w:szCs w:val="22"/>
              </w:rPr>
              <w:t>CA</w:t>
            </w:r>
          </w:p>
        </w:tc>
        <w:tc>
          <w:tcPr>
            <w:tcW w:w="1444" w:type="dxa"/>
            <w:tcBorders>
              <w:top w:val="nil"/>
              <w:left w:val="nil"/>
              <w:bottom w:val="single" w:sz="4" w:space="0" w:color="auto"/>
              <w:right w:val="single" w:sz="4" w:space="0" w:color="auto"/>
            </w:tcBorders>
            <w:vAlign w:val="center"/>
          </w:tcPr>
          <w:p w14:paraId="376919A7" w14:textId="77777777" w:rsidR="00F95196" w:rsidRPr="00F95196" w:rsidRDefault="00F95196" w:rsidP="009E3AD8">
            <w:pPr>
              <w:spacing w:line="276" w:lineRule="auto"/>
              <w:jc w:val="right"/>
              <w:rPr>
                <w:rFonts w:ascii="Times New Roman" w:hAnsi="Times New Roman"/>
                <w:color w:val="000000"/>
                <w:sz w:val="22"/>
                <w:szCs w:val="22"/>
                <w:lang w:val="en-US"/>
              </w:rPr>
            </w:pPr>
            <w:r w:rsidRPr="00F95196">
              <w:rPr>
                <w:rFonts w:ascii="Calibri Light" w:hAnsi="Calibri Light" w:cs="Calibri Light"/>
                <w:color w:val="000000"/>
                <w:sz w:val="22"/>
                <w:szCs w:val="22"/>
              </w:rPr>
              <w:t>54 947</w:t>
            </w:r>
          </w:p>
        </w:tc>
        <w:tc>
          <w:tcPr>
            <w:tcW w:w="1984" w:type="dxa"/>
            <w:tcBorders>
              <w:top w:val="nil"/>
              <w:left w:val="nil"/>
              <w:bottom w:val="single" w:sz="4" w:space="0" w:color="auto"/>
              <w:right w:val="single" w:sz="4" w:space="0" w:color="auto"/>
            </w:tcBorders>
            <w:vAlign w:val="center"/>
          </w:tcPr>
          <w:p w14:paraId="5609F249" w14:textId="77777777" w:rsidR="00F95196" w:rsidRPr="00F95196" w:rsidRDefault="00F95196" w:rsidP="009E3AD8">
            <w:pPr>
              <w:spacing w:line="276" w:lineRule="auto"/>
              <w:jc w:val="right"/>
              <w:rPr>
                <w:rFonts w:ascii="Times New Roman" w:hAnsi="Times New Roman"/>
                <w:color w:val="000000"/>
                <w:sz w:val="22"/>
                <w:szCs w:val="22"/>
                <w:lang w:val="en-US"/>
              </w:rPr>
            </w:pPr>
            <w:r w:rsidRPr="00F95196">
              <w:rPr>
                <w:rFonts w:ascii="Calibri Light" w:hAnsi="Calibri Light" w:cs="Calibri Light"/>
                <w:color w:val="000000"/>
                <w:sz w:val="22"/>
                <w:szCs w:val="22"/>
              </w:rPr>
              <w:t>55 700</w:t>
            </w:r>
          </w:p>
        </w:tc>
        <w:tc>
          <w:tcPr>
            <w:tcW w:w="2410" w:type="dxa"/>
            <w:tcBorders>
              <w:top w:val="nil"/>
              <w:left w:val="nil"/>
              <w:bottom w:val="single" w:sz="4" w:space="0" w:color="auto"/>
              <w:right w:val="single" w:sz="4" w:space="0" w:color="auto"/>
            </w:tcBorders>
            <w:vAlign w:val="center"/>
          </w:tcPr>
          <w:p w14:paraId="56A0B375" w14:textId="77777777" w:rsidR="00F95196" w:rsidRPr="00F95196" w:rsidRDefault="00F95196" w:rsidP="009E3AD8">
            <w:pPr>
              <w:spacing w:line="276" w:lineRule="auto"/>
              <w:jc w:val="right"/>
              <w:rPr>
                <w:rFonts w:ascii="Times New Roman" w:hAnsi="Times New Roman"/>
                <w:color w:val="000000"/>
                <w:sz w:val="22"/>
                <w:szCs w:val="22"/>
                <w:lang w:val="en-US"/>
              </w:rPr>
            </w:pPr>
            <w:r w:rsidRPr="00F95196">
              <w:rPr>
                <w:rFonts w:ascii="Calibri Light" w:hAnsi="Calibri Light" w:cs="Calibri Light"/>
                <w:color w:val="000000"/>
                <w:sz w:val="22"/>
                <w:szCs w:val="22"/>
              </w:rPr>
              <w:t>70 661</w:t>
            </w:r>
          </w:p>
        </w:tc>
      </w:tr>
      <w:tr w:rsidR="00F95196" w:rsidRPr="00F95196" w14:paraId="78AC193E" w14:textId="77777777" w:rsidTr="00BE6FF5">
        <w:trPr>
          <w:trHeight w:val="465"/>
        </w:trPr>
        <w:tc>
          <w:tcPr>
            <w:tcW w:w="3380" w:type="dxa"/>
            <w:tcBorders>
              <w:top w:val="nil"/>
              <w:left w:val="single" w:sz="4" w:space="0" w:color="auto"/>
              <w:bottom w:val="single" w:sz="4" w:space="0" w:color="auto"/>
              <w:right w:val="single" w:sz="4" w:space="0" w:color="auto"/>
            </w:tcBorders>
            <w:vAlign w:val="center"/>
          </w:tcPr>
          <w:p w14:paraId="30811E6C" w14:textId="77777777" w:rsidR="00F95196" w:rsidRPr="00F95196" w:rsidRDefault="00F95196" w:rsidP="009E3AD8">
            <w:pPr>
              <w:spacing w:line="276" w:lineRule="auto"/>
              <w:rPr>
                <w:rFonts w:ascii="Times New Roman" w:hAnsi="Times New Roman"/>
                <w:b/>
                <w:bCs/>
                <w:color w:val="000000"/>
                <w:sz w:val="22"/>
                <w:szCs w:val="22"/>
                <w:lang w:val="en-US"/>
              </w:rPr>
            </w:pPr>
            <w:r w:rsidRPr="00F95196">
              <w:rPr>
                <w:rFonts w:ascii="Calibri Light" w:hAnsi="Calibri Light" w:cs="Calibri Light"/>
                <w:b/>
                <w:bCs/>
                <w:color w:val="000000"/>
                <w:sz w:val="22"/>
                <w:szCs w:val="22"/>
              </w:rPr>
              <w:t> </w:t>
            </w:r>
          </w:p>
        </w:tc>
        <w:tc>
          <w:tcPr>
            <w:tcW w:w="700" w:type="dxa"/>
            <w:tcBorders>
              <w:top w:val="nil"/>
              <w:left w:val="nil"/>
              <w:bottom w:val="single" w:sz="4" w:space="0" w:color="auto"/>
              <w:right w:val="single" w:sz="4" w:space="0" w:color="auto"/>
            </w:tcBorders>
            <w:noWrap/>
            <w:vAlign w:val="bottom"/>
          </w:tcPr>
          <w:p w14:paraId="6478DF09" w14:textId="77777777" w:rsidR="00F95196" w:rsidRPr="00F95196" w:rsidRDefault="00F95196" w:rsidP="009E3AD8">
            <w:pPr>
              <w:spacing w:line="276" w:lineRule="auto"/>
              <w:rPr>
                <w:rFonts w:ascii="Times New Roman" w:hAnsi="Times New Roman"/>
                <w:b/>
                <w:bCs/>
                <w:color w:val="000000"/>
                <w:sz w:val="22"/>
                <w:szCs w:val="22"/>
                <w:lang w:val="en-US"/>
              </w:rPr>
            </w:pPr>
            <w:r w:rsidRPr="00F95196">
              <w:rPr>
                <w:rFonts w:ascii="Calibri Light" w:hAnsi="Calibri Light" w:cs="Calibri Light"/>
                <w:b/>
                <w:bCs/>
                <w:color w:val="000000"/>
                <w:sz w:val="22"/>
                <w:szCs w:val="22"/>
              </w:rPr>
              <w:t>CB</w:t>
            </w:r>
          </w:p>
        </w:tc>
        <w:tc>
          <w:tcPr>
            <w:tcW w:w="1444" w:type="dxa"/>
            <w:tcBorders>
              <w:top w:val="nil"/>
              <w:left w:val="nil"/>
              <w:bottom w:val="single" w:sz="4" w:space="0" w:color="auto"/>
              <w:right w:val="single" w:sz="4" w:space="0" w:color="auto"/>
            </w:tcBorders>
            <w:vAlign w:val="center"/>
          </w:tcPr>
          <w:p w14:paraId="0C115941" w14:textId="77777777" w:rsidR="00F95196" w:rsidRPr="00F95196" w:rsidRDefault="00F95196" w:rsidP="009E3AD8">
            <w:pPr>
              <w:spacing w:line="276" w:lineRule="auto"/>
              <w:jc w:val="right"/>
              <w:rPr>
                <w:rFonts w:ascii="Times New Roman" w:hAnsi="Times New Roman"/>
                <w:color w:val="000000"/>
                <w:sz w:val="22"/>
                <w:szCs w:val="22"/>
                <w:lang w:val="en-US"/>
              </w:rPr>
            </w:pPr>
            <w:r w:rsidRPr="00F95196">
              <w:rPr>
                <w:rFonts w:ascii="Calibri Light" w:hAnsi="Calibri Light" w:cs="Calibri Light"/>
                <w:color w:val="000000"/>
                <w:sz w:val="22"/>
                <w:szCs w:val="22"/>
              </w:rPr>
              <w:t>54 947</w:t>
            </w:r>
          </w:p>
        </w:tc>
        <w:tc>
          <w:tcPr>
            <w:tcW w:w="1984" w:type="dxa"/>
            <w:tcBorders>
              <w:top w:val="nil"/>
              <w:left w:val="nil"/>
              <w:bottom w:val="single" w:sz="4" w:space="0" w:color="auto"/>
              <w:right w:val="single" w:sz="4" w:space="0" w:color="auto"/>
            </w:tcBorders>
            <w:vAlign w:val="center"/>
          </w:tcPr>
          <w:p w14:paraId="1099C531" w14:textId="77777777" w:rsidR="00F95196" w:rsidRPr="00F95196" w:rsidRDefault="00F95196" w:rsidP="009E3AD8">
            <w:pPr>
              <w:spacing w:line="276" w:lineRule="auto"/>
              <w:jc w:val="right"/>
              <w:rPr>
                <w:rFonts w:ascii="Times New Roman" w:hAnsi="Times New Roman"/>
                <w:color w:val="000000"/>
                <w:sz w:val="22"/>
                <w:szCs w:val="22"/>
                <w:lang w:val="en-US"/>
              </w:rPr>
            </w:pPr>
            <w:r w:rsidRPr="00F95196">
              <w:rPr>
                <w:rFonts w:ascii="Calibri Light" w:hAnsi="Calibri Light" w:cs="Calibri Light"/>
                <w:color w:val="000000"/>
                <w:sz w:val="22"/>
                <w:szCs w:val="22"/>
              </w:rPr>
              <w:t>55 700</w:t>
            </w:r>
          </w:p>
        </w:tc>
        <w:tc>
          <w:tcPr>
            <w:tcW w:w="2410" w:type="dxa"/>
            <w:tcBorders>
              <w:top w:val="nil"/>
              <w:left w:val="nil"/>
              <w:bottom w:val="single" w:sz="4" w:space="0" w:color="auto"/>
              <w:right w:val="single" w:sz="4" w:space="0" w:color="auto"/>
            </w:tcBorders>
            <w:vAlign w:val="center"/>
          </w:tcPr>
          <w:p w14:paraId="762EB394" w14:textId="77777777" w:rsidR="00F95196" w:rsidRPr="00F95196" w:rsidRDefault="00F95196" w:rsidP="009E3AD8">
            <w:pPr>
              <w:spacing w:line="276" w:lineRule="auto"/>
              <w:jc w:val="right"/>
              <w:rPr>
                <w:rFonts w:ascii="Times New Roman" w:hAnsi="Times New Roman"/>
                <w:color w:val="000000"/>
                <w:sz w:val="22"/>
                <w:szCs w:val="22"/>
                <w:lang w:val="en-US"/>
              </w:rPr>
            </w:pPr>
            <w:r w:rsidRPr="00F95196">
              <w:rPr>
                <w:rFonts w:ascii="Calibri Light" w:hAnsi="Calibri Light" w:cs="Calibri Light"/>
                <w:color w:val="000000"/>
                <w:sz w:val="22"/>
                <w:szCs w:val="22"/>
              </w:rPr>
              <w:t>70 661</w:t>
            </w:r>
          </w:p>
        </w:tc>
      </w:tr>
    </w:tbl>
    <w:p w14:paraId="336B0FFE" w14:textId="7787F281" w:rsidR="00F95196" w:rsidRPr="00F95196" w:rsidRDefault="00F95196" w:rsidP="009E3AD8">
      <w:pPr>
        <w:spacing w:line="276" w:lineRule="auto"/>
        <w:ind w:firstLine="708"/>
        <w:jc w:val="both"/>
        <w:rPr>
          <w:rFonts w:ascii="Calibri" w:hAnsi="Calibri" w:cs="Calibri"/>
          <w:sz w:val="26"/>
          <w:szCs w:val="26"/>
        </w:rPr>
      </w:pPr>
      <w:r w:rsidRPr="00F95196">
        <w:rPr>
          <w:rFonts w:ascii="Calibri" w:hAnsi="Calibri" w:cs="Calibri"/>
          <w:sz w:val="26"/>
          <w:szCs w:val="26"/>
        </w:rPr>
        <w:t>Bursele auditorilor de justiție instruiți de către Institutul Național al Magistraturii și indemnizațiile de cursanți din bugetul Scolii Naționale de Grefieri, ce se regăsesc în „Titlul alte cheltuieli”, reprezintă un procent important în bugetul Consiliului Superior al Magistraturii.</w:t>
      </w:r>
    </w:p>
    <w:p w14:paraId="2659A89B" w14:textId="7606A229" w:rsidR="00F95196" w:rsidRPr="00F95196" w:rsidRDefault="00F95196" w:rsidP="009E3AD8">
      <w:pPr>
        <w:keepNext/>
        <w:tabs>
          <w:tab w:val="left" w:pos="709"/>
          <w:tab w:val="left" w:pos="851"/>
        </w:tabs>
        <w:spacing w:line="276" w:lineRule="auto"/>
        <w:jc w:val="both"/>
        <w:outlineLvl w:val="1"/>
        <w:rPr>
          <w:rFonts w:ascii="Calibri" w:hAnsi="Calibri" w:cs="Calibri"/>
          <w:b/>
          <w:sz w:val="26"/>
          <w:szCs w:val="26"/>
        </w:rPr>
      </w:pPr>
      <w:r w:rsidRPr="00F95196">
        <w:rPr>
          <w:rFonts w:ascii="Calibri" w:hAnsi="Calibri" w:cs="Calibri"/>
          <w:b/>
          <w:sz w:val="26"/>
          <w:szCs w:val="26"/>
        </w:rPr>
        <w:t xml:space="preserve"> </w:t>
      </w:r>
      <w:bookmarkStart w:id="131" w:name="_Toc462750071"/>
      <w:r w:rsidR="00D93D5E">
        <w:rPr>
          <w:rFonts w:ascii="Calibri" w:hAnsi="Calibri" w:cs="Calibri"/>
          <w:b/>
          <w:sz w:val="26"/>
          <w:szCs w:val="26"/>
        </w:rPr>
        <w:tab/>
      </w:r>
      <w:bookmarkStart w:id="132" w:name="_Toc219287973"/>
      <w:r w:rsidRPr="00F95196">
        <w:rPr>
          <w:rFonts w:ascii="Calibri" w:hAnsi="Calibri" w:cs="Calibri"/>
          <w:b/>
          <w:sz w:val="26"/>
          <w:szCs w:val="26"/>
        </w:rPr>
        <w:t>V.3.</w:t>
      </w:r>
      <w:r w:rsidR="00A33DCC">
        <w:rPr>
          <w:rFonts w:ascii="Calibri" w:hAnsi="Calibri" w:cs="Calibri"/>
          <w:b/>
          <w:sz w:val="26"/>
          <w:szCs w:val="26"/>
        </w:rPr>
        <w:t xml:space="preserve"> </w:t>
      </w:r>
      <w:r w:rsidRPr="00F95196">
        <w:rPr>
          <w:rFonts w:ascii="Calibri" w:hAnsi="Calibri" w:cs="Calibri"/>
          <w:b/>
          <w:sz w:val="26"/>
          <w:szCs w:val="26"/>
        </w:rPr>
        <w:t>Ponderea bugetelor Institutului Naţional al Magistraturii, Şcolii Naţionale de Grefieri, Inspecției Judiciare şi Consiliului Superior al Magistraturii – aparatul propriu în bugetul total al Consiliului Superior al Magistraturii</w:t>
      </w:r>
      <w:bookmarkEnd w:id="131"/>
      <w:bookmarkEnd w:id="132"/>
    </w:p>
    <w:p w14:paraId="72DB65CA" w14:textId="77777777" w:rsidR="00F95196" w:rsidRPr="00F95196" w:rsidRDefault="00F95196" w:rsidP="00281400">
      <w:pPr>
        <w:numPr>
          <w:ilvl w:val="0"/>
          <w:numId w:val="8"/>
        </w:numPr>
        <w:spacing w:line="276" w:lineRule="auto"/>
        <w:contextualSpacing/>
        <w:jc w:val="both"/>
        <w:rPr>
          <w:rFonts w:ascii="Calibri" w:hAnsi="Calibri" w:cs="Calibri"/>
          <w:sz w:val="26"/>
          <w:szCs w:val="26"/>
        </w:rPr>
      </w:pPr>
      <w:r w:rsidRPr="00F95196">
        <w:rPr>
          <w:rFonts w:ascii="Calibri" w:hAnsi="Calibri" w:cs="Calibri"/>
          <w:sz w:val="26"/>
          <w:szCs w:val="26"/>
        </w:rPr>
        <w:t xml:space="preserve">gs Buget C.S.M.ap.pr.2021 CA, CB = </w:t>
      </w:r>
      <m:oMath>
        <m:f>
          <m:fPr>
            <m:ctrlPr>
              <w:rPr>
                <w:rFonts w:ascii="Cambria Math" w:hAnsi="Cambria Math" w:cs="Calibri"/>
                <w:sz w:val="26"/>
                <w:szCs w:val="26"/>
              </w:rPr>
            </m:ctrlPr>
          </m:fPr>
          <m:num>
            <m:r>
              <m:rPr>
                <m:sty m:val="p"/>
              </m:rPr>
              <w:rPr>
                <w:rFonts w:ascii="Cambria Math" w:hAnsi="Cambria Math" w:cs="Calibri"/>
                <w:sz w:val="26"/>
                <w:szCs w:val="26"/>
              </w:rPr>
              <m:t xml:space="preserve">Buget C.S.M.ap. pr. 2021 </m:t>
            </m:r>
          </m:num>
          <m:den>
            <m:r>
              <w:rPr>
                <w:rFonts w:ascii="Cambria Math" w:hAnsi="Cambria Math" w:cs="Calibri"/>
                <w:sz w:val="26"/>
                <w:szCs w:val="26"/>
              </w:rPr>
              <m:t>Buget total 2021</m:t>
            </m:r>
          </m:den>
        </m:f>
        <m:r>
          <w:rPr>
            <w:rFonts w:ascii="Cambria Math" w:hAnsi="Cambria Math" w:cs="Calibri"/>
            <w:sz w:val="26"/>
            <w:szCs w:val="26"/>
          </w:rPr>
          <m:t>x 100</m:t>
        </m:r>
      </m:oMath>
      <w:r w:rsidRPr="00F95196">
        <w:rPr>
          <w:rFonts w:ascii="Calibri" w:hAnsi="Calibri" w:cs="Calibri"/>
          <w:sz w:val="26"/>
          <w:szCs w:val="26"/>
        </w:rPr>
        <w:t xml:space="preserve"> </w:t>
      </w:r>
    </w:p>
    <w:p w14:paraId="65DCFAA1" w14:textId="77777777" w:rsidR="00F95196" w:rsidRPr="00F95196" w:rsidRDefault="00F95196" w:rsidP="009E3AD8">
      <w:pPr>
        <w:spacing w:line="276" w:lineRule="auto"/>
        <w:ind w:left="720"/>
        <w:contextualSpacing/>
        <w:jc w:val="both"/>
        <w:rPr>
          <w:rFonts w:ascii="Calibri" w:hAnsi="Calibri" w:cs="Calibri"/>
          <w:sz w:val="26"/>
          <w:szCs w:val="26"/>
        </w:rPr>
      </w:pPr>
    </w:p>
    <w:p w14:paraId="6987E341" w14:textId="77777777" w:rsidR="00F95196" w:rsidRPr="00F95196" w:rsidRDefault="00F95196" w:rsidP="00281400">
      <w:pPr>
        <w:numPr>
          <w:ilvl w:val="0"/>
          <w:numId w:val="8"/>
        </w:numPr>
        <w:spacing w:line="276" w:lineRule="auto"/>
        <w:contextualSpacing/>
        <w:jc w:val="both"/>
        <w:rPr>
          <w:rFonts w:ascii="Calibri" w:hAnsi="Calibri" w:cs="Calibri"/>
          <w:sz w:val="26"/>
          <w:szCs w:val="26"/>
        </w:rPr>
      </w:pPr>
      <w:r w:rsidRPr="00F95196">
        <w:rPr>
          <w:rFonts w:ascii="Calibri" w:hAnsi="Calibri" w:cs="Calibri"/>
          <w:sz w:val="26"/>
          <w:szCs w:val="26"/>
        </w:rPr>
        <w:t xml:space="preserve">gs Buget I.N.M.2021 CA, CB = </w:t>
      </w:r>
      <m:oMath>
        <m:f>
          <m:fPr>
            <m:ctrlPr>
              <w:rPr>
                <w:rFonts w:ascii="Cambria Math" w:hAnsi="Cambria Math" w:cs="Calibri"/>
                <w:sz w:val="26"/>
                <w:szCs w:val="26"/>
              </w:rPr>
            </m:ctrlPr>
          </m:fPr>
          <m:num>
            <m:r>
              <m:rPr>
                <m:sty m:val="p"/>
              </m:rPr>
              <w:rPr>
                <w:rFonts w:ascii="Cambria Math" w:hAnsi="Cambria Math" w:cs="Calibri"/>
                <w:sz w:val="26"/>
                <w:szCs w:val="26"/>
              </w:rPr>
              <m:t xml:space="preserve">Buget I.N.M. 2021 </m:t>
            </m:r>
          </m:num>
          <m:den>
            <m:r>
              <w:rPr>
                <w:rFonts w:ascii="Cambria Math" w:hAnsi="Cambria Math" w:cs="Calibri"/>
                <w:sz w:val="26"/>
                <w:szCs w:val="26"/>
              </w:rPr>
              <m:t>Buget total 2021</m:t>
            </m:r>
          </m:den>
        </m:f>
        <m:r>
          <w:rPr>
            <w:rFonts w:ascii="Cambria Math" w:hAnsi="Cambria Math" w:cs="Calibri"/>
            <w:sz w:val="26"/>
            <w:szCs w:val="26"/>
          </w:rPr>
          <m:t>x 100</m:t>
        </m:r>
      </m:oMath>
      <w:r w:rsidRPr="00F95196">
        <w:rPr>
          <w:rFonts w:ascii="Calibri" w:hAnsi="Calibri" w:cs="Calibri"/>
          <w:sz w:val="26"/>
          <w:szCs w:val="26"/>
        </w:rPr>
        <w:t xml:space="preserve"> </w:t>
      </w:r>
    </w:p>
    <w:p w14:paraId="1D261C9E" w14:textId="77777777" w:rsidR="00F95196" w:rsidRPr="00F95196" w:rsidRDefault="00F95196" w:rsidP="009E3AD8">
      <w:pPr>
        <w:spacing w:line="276" w:lineRule="auto"/>
        <w:ind w:left="720"/>
        <w:contextualSpacing/>
        <w:jc w:val="both"/>
        <w:rPr>
          <w:rFonts w:ascii="Calibri" w:hAnsi="Calibri" w:cs="Calibri"/>
          <w:sz w:val="26"/>
          <w:szCs w:val="26"/>
        </w:rPr>
      </w:pPr>
    </w:p>
    <w:p w14:paraId="5A24915E" w14:textId="77777777" w:rsidR="00F95196" w:rsidRPr="00F95196" w:rsidRDefault="00F95196" w:rsidP="00281400">
      <w:pPr>
        <w:numPr>
          <w:ilvl w:val="0"/>
          <w:numId w:val="8"/>
        </w:numPr>
        <w:spacing w:line="276" w:lineRule="auto"/>
        <w:contextualSpacing/>
        <w:jc w:val="both"/>
        <w:rPr>
          <w:rFonts w:ascii="Calibri" w:hAnsi="Calibri" w:cs="Calibri"/>
          <w:sz w:val="26"/>
          <w:szCs w:val="26"/>
        </w:rPr>
      </w:pPr>
      <w:r w:rsidRPr="00F95196">
        <w:rPr>
          <w:rFonts w:ascii="Calibri" w:hAnsi="Calibri" w:cs="Calibri"/>
          <w:sz w:val="26"/>
          <w:szCs w:val="26"/>
        </w:rPr>
        <w:t xml:space="preserve">gs Buget S.N.G.2021 CA, CB = </w:t>
      </w:r>
      <m:oMath>
        <m:f>
          <m:fPr>
            <m:ctrlPr>
              <w:rPr>
                <w:rFonts w:ascii="Cambria Math" w:hAnsi="Cambria Math" w:cs="Calibri"/>
                <w:sz w:val="26"/>
                <w:szCs w:val="26"/>
              </w:rPr>
            </m:ctrlPr>
          </m:fPr>
          <m:num>
            <m:r>
              <m:rPr>
                <m:sty m:val="p"/>
              </m:rPr>
              <w:rPr>
                <w:rFonts w:ascii="Cambria Math" w:hAnsi="Cambria Math" w:cs="Calibri"/>
                <w:sz w:val="26"/>
                <w:szCs w:val="26"/>
              </w:rPr>
              <m:t xml:space="preserve">Buget S.N.G.2021 </m:t>
            </m:r>
          </m:num>
          <m:den>
            <m:r>
              <w:rPr>
                <w:rFonts w:ascii="Cambria Math" w:hAnsi="Cambria Math" w:cs="Calibri"/>
                <w:sz w:val="26"/>
                <w:szCs w:val="26"/>
              </w:rPr>
              <m:t>Buget total 2021</m:t>
            </m:r>
          </m:den>
        </m:f>
        <m:r>
          <w:rPr>
            <w:rFonts w:ascii="Cambria Math" w:hAnsi="Cambria Math" w:cs="Calibri"/>
            <w:sz w:val="26"/>
            <w:szCs w:val="26"/>
          </w:rPr>
          <m:t>x 100</m:t>
        </m:r>
      </m:oMath>
      <w:r w:rsidRPr="00F95196">
        <w:rPr>
          <w:rFonts w:ascii="Calibri" w:hAnsi="Calibri" w:cs="Calibri"/>
          <w:sz w:val="26"/>
          <w:szCs w:val="26"/>
        </w:rPr>
        <w:t xml:space="preserve"> </w:t>
      </w:r>
    </w:p>
    <w:p w14:paraId="47E9B74A" w14:textId="77777777" w:rsidR="00F95196" w:rsidRPr="00F95196" w:rsidRDefault="00F95196" w:rsidP="009E3AD8">
      <w:pPr>
        <w:spacing w:line="276" w:lineRule="auto"/>
        <w:ind w:left="720"/>
        <w:contextualSpacing/>
        <w:rPr>
          <w:rFonts w:ascii="Calibri" w:hAnsi="Calibri" w:cs="Calibri"/>
          <w:sz w:val="26"/>
          <w:szCs w:val="26"/>
        </w:rPr>
      </w:pPr>
    </w:p>
    <w:p w14:paraId="6C295A30" w14:textId="77777777" w:rsidR="00F95196" w:rsidRPr="00F95196" w:rsidRDefault="00F95196" w:rsidP="00281400">
      <w:pPr>
        <w:numPr>
          <w:ilvl w:val="0"/>
          <w:numId w:val="8"/>
        </w:numPr>
        <w:spacing w:line="276" w:lineRule="auto"/>
        <w:contextualSpacing/>
        <w:jc w:val="both"/>
        <w:rPr>
          <w:rFonts w:ascii="Calibri" w:hAnsi="Calibri" w:cs="Calibri"/>
          <w:sz w:val="26"/>
          <w:szCs w:val="26"/>
        </w:rPr>
      </w:pPr>
      <w:r w:rsidRPr="00F95196">
        <w:rPr>
          <w:rFonts w:ascii="Calibri" w:hAnsi="Calibri" w:cs="Calibri"/>
          <w:sz w:val="26"/>
          <w:szCs w:val="26"/>
        </w:rPr>
        <w:t xml:space="preserve">gs Buget C.S.M.ap.pr.2022 CA, CB = </w:t>
      </w:r>
      <m:oMath>
        <m:f>
          <m:fPr>
            <m:ctrlPr>
              <w:rPr>
                <w:rFonts w:ascii="Cambria Math" w:hAnsi="Cambria Math" w:cs="Calibri"/>
                <w:sz w:val="26"/>
                <w:szCs w:val="26"/>
              </w:rPr>
            </m:ctrlPr>
          </m:fPr>
          <m:num>
            <m:r>
              <m:rPr>
                <m:sty m:val="p"/>
              </m:rPr>
              <w:rPr>
                <w:rFonts w:ascii="Cambria Math" w:hAnsi="Cambria Math" w:cs="Calibri"/>
                <w:sz w:val="26"/>
                <w:szCs w:val="26"/>
              </w:rPr>
              <m:t>Buget C.S.M.ap. pr. 2022</m:t>
            </m:r>
          </m:num>
          <m:den>
            <m:r>
              <w:rPr>
                <w:rFonts w:ascii="Cambria Math" w:hAnsi="Cambria Math" w:cs="Calibri"/>
                <w:sz w:val="26"/>
                <w:szCs w:val="26"/>
              </w:rPr>
              <m:t>Buget total 2022</m:t>
            </m:r>
          </m:den>
        </m:f>
        <m:r>
          <w:rPr>
            <w:rFonts w:ascii="Cambria Math" w:hAnsi="Cambria Math" w:cs="Calibri"/>
            <w:sz w:val="26"/>
            <w:szCs w:val="26"/>
          </w:rPr>
          <m:t>x 100</m:t>
        </m:r>
      </m:oMath>
      <w:r w:rsidRPr="00F95196">
        <w:rPr>
          <w:rFonts w:ascii="Calibri" w:hAnsi="Calibri" w:cs="Calibri"/>
          <w:sz w:val="26"/>
          <w:szCs w:val="26"/>
        </w:rPr>
        <w:t xml:space="preserve"> </w:t>
      </w:r>
    </w:p>
    <w:p w14:paraId="0975C825" w14:textId="77777777" w:rsidR="00F95196" w:rsidRPr="00F95196" w:rsidRDefault="00F95196" w:rsidP="009E3AD8">
      <w:pPr>
        <w:spacing w:line="276" w:lineRule="auto"/>
        <w:ind w:left="720"/>
        <w:contextualSpacing/>
        <w:rPr>
          <w:rFonts w:ascii="Calibri" w:hAnsi="Calibri" w:cs="Calibri"/>
          <w:sz w:val="26"/>
          <w:szCs w:val="26"/>
        </w:rPr>
      </w:pPr>
    </w:p>
    <w:p w14:paraId="068BEBB7" w14:textId="77777777" w:rsidR="00F95196" w:rsidRPr="00F95196" w:rsidRDefault="00F95196" w:rsidP="00281400">
      <w:pPr>
        <w:numPr>
          <w:ilvl w:val="0"/>
          <w:numId w:val="8"/>
        </w:numPr>
        <w:spacing w:line="276" w:lineRule="auto"/>
        <w:contextualSpacing/>
        <w:jc w:val="both"/>
        <w:rPr>
          <w:rFonts w:ascii="Calibri" w:hAnsi="Calibri" w:cs="Calibri"/>
          <w:sz w:val="26"/>
          <w:szCs w:val="26"/>
        </w:rPr>
      </w:pPr>
      <w:r w:rsidRPr="00F95196">
        <w:rPr>
          <w:rFonts w:ascii="Calibri" w:hAnsi="Calibri" w:cs="Calibri"/>
          <w:sz w:val="26"/>
          <w:szCs w:val="26"/>
        </w:rPr>
        <w:t xml:space="preserve">gs Buget I.N.M.2022 CA, CB = </w:t>
      </w:r>
      <m:oMath>
        <m:f>
          <m:fPr>
            <m:ctrlPr>
              <w:rPr>
                <w:rFonts w:ascii="Cambria Math" w:hAnsi="Cambria Math" w:cs="Calibri"/>
                <w:sz w:val="26"/>
                <w:szCs w:val="26"/>
              </w:rPr>
            </m:ctrlPr>
          </m:fPr>
          <m:num>
            <m:r>
              <m:rPr>
                <m:sty m:val="p"/>
              </m:rPr>
              <w:rPr>
                <w:rFonts w:ascii="Cambria Math" w:hAnsi="Cambria Math" w:cs="Calibri"/>
                <w:sz w:val="26"/>
                <w:szCs w:val="26"/>
              </w:rPr>
              <m:t xml:space="preserve">Buget I.N.M. 2022 </m:t>
            </m:r>
          </m:num>
          <m:den>
            <m:r>
              <w:rPr>
                <w:rFonts w:ascii="Cambria Math" w:hAnsi="Cambria Math" w:cs="Calibri"/>
                <w:sz w:val="26"/>
                <w:szCs w:val="26"/>
              </w:rPr>
              <m:t>Buget total 2022</m:t>
            </m:r>
          </m:den>
        </m:f>
        <m:r>
          <w:rPr>
            <w:rFonts w:ascii="Cambria Math" w:hAnsi="Cambria Math" w:cs="Calibri"/>
            <w:sz w:val="26"/>
            <w:szCs w:val="26"/>
          </w:rPr>
          <m:t>x 100</m:t>
        </m:r>
      </m:oMath>
      <w:r w:rsidRPr="00F95196">
        <w:rPr>
          <w:rFonts w:ascii="Calibri" w:hAnsi="Calibri" w:cs="Calibri"/>
          <w:sz w:val="26"/>
          <w:szCs w:val="26"/>
        </w:rPr>
        <w:t xml:space="preserve"> </w:t>
      </w:r>
    </w:p>
    <w:p w14:paraId="40DE8EC4" w14:textId="77777777" w:rsidR="00F95196" w:rsidRPr="00F95196" w:rsidRDefault="00F95196" w:rsidP="009E3AD8">
      <w:pPr>
        <w:spacing w:line="276" w:lineRule="auto"/>
        <w:jc w:val="both"/>
        <w:rPr>
          <w:rFonts w:ascii="Calibri" w:hAnsi="Calibri" w:cs="Calibri"/>
          <w:sz w:val="26"/>
          <w:szCs w:val="26"/>
        </w:rPr>
      </w:pPr>
    </w:p>
    <w:p w14:paraId="3517D364" w14:textId="77777777" w:rsidR="00F95196" w:rsidRPr="00F95196" w:rsidRDefault="00F95196" w:rsidP="00281400">
      <w:pPr>
        <w:numPr>
          <w:ilvl w:val="0"/>
          <w:numId w:val="8"/>
        </w:numPr>
        <w:spacing w:line="276" w:lineRule="auto"/>
        <w:contextualSpacing/>
        <w:jc w:val="both"/>
        <w:rPr>
          <w:rFonts w:ascii="Calibri" w:hAnsi="Calibri" w:cs="Calibri"/>
          <w:sz w:val="26"/>
          <w:szCs w:val="26"/>
        </w:rPr>
      </w:pPr>
      <w:r w:rsidRPr="00F95196">
        <w:rPr>
          <w:rFonts w:ascii="Calibri" w:hAnsi="Calibri" w:cs="Calibri"/>
          <w:sz w:val="26"/>
          <w:szCs w:val="26"/>
        </w:rPr>
        <w:t xml:space="preserve">gs Buget S.N.G.2022 CA, CB = </w:t>
      </w:r>
      <m:oMath>
        <m:f>
          <m:fPr>
            <m:ctrlPr>
              <w:rPr>
                <w:rFonts w:ascii="Cambria Math" w:hAnsi="Cambria Math" w:cs="Calibri"/>
                <w:sz w:val="26"/>
                <w:szCs w:val="26"/>
              </w:rPr>
            </m:ctrlPr>
          </m:fPr>
          <m:num>
            <m:r>
              <m:rPr>
                <m:sty m:val="p"/>
              </m:rPr>
              <w:rPr>
                <w:rFonts w:ascii="Cambria Math" w:hAnsi="Cambria Math" w:cs="Calibri"/>
                <w:sz w:val="26"/>
                <w:szCs w:val="26"/>
              </w:rPr>
              <m:t>Buget S.N.G.2022</m:t>
            </m:r>
          </m:num>
          <m:den>
            <m:r>
              <w:rPr>
                <w:rFonts w:ascii="Cambria Math" w:hAnsi="Cambria Math" w:cs="Calibri"/>
                <w:sz w:val="26"/>
                <w:szCs w:val="26"/>
              </w:rPr>
              <m:t>Buget total 2022</m:t>
            </m:r>
          </m:den>
        </m:f>
        <m:r>
          <w:rPr>
            <w:rFonts w:ascii="Cambria Math" w:hAnsi="Cambria Math" w:cs="Calibri"/>
            <w:sz w:val="26"/>
            <w:szCs w:val="26"/>
          </w:rPr>
          <m:t>x 100</m:t>
        </m:r>
      </m:oMath>
      <w:r w:rsidRPr="00F95196">
        <w:rPr>
          <w:rFonts w:ascii="Calibri" w:hAnsi="Calibri" w:cs="Calibri"/>
          <w:sz w:val="26"/>
          <w:szCs w:val="26"/>
        </w:rPr>
        <w:t xml:space="preserve"> </w:t>
      </w:r>
    </w:p>
    <w:p w14:paraId="6E15632A" w14:textId="77777777" w:rsidR="00F95196" w:rsidRPr="00F95196" w:rsidRDefault="00F95196" w:rsidP="009E3AD8">
      <w:pPr>
        <w:spacing w:line="276" w:lineRule="auto"/>
        <w:jc w:val="both"/>
        <w:rPr>
          <w:rFonts w:ascii="Calibri" w:hAnsi="Calibri" w:cs="Calibri"/>
          <w:sz w:val="26"/>
          <w:szCs w:val="26"/>
        </w:rPr>
      </w:pPr>
    </w:p>
    <w:p w14:paraId="458A392B" w14:textId="77777777" w:rsidR="00F95196" w:rsidRPr="00F95196" w:rsidRDefault="00F95196" w:rsidP="00281400">
      <w:pPr>
        <w:numPr>
          <w:ilvl w:val="0"/>
          <w:numId w:val="8"/>
        </w:numPr>
        <w:spacing w:line="276" w:lineRule="auto"/>
        <w:contextualSpacing/>
        <w:jc w:val="both"/>
        <w:rPr>
          <w:rFonts w:ascii="Calibri" w:hAnsi="Calibri" w:cs="Calibri"/>
          <w:sz w:val="26"/>
          <w:szCs w:val="26"/>
        </w:rPr>
      </w:pPr>
      <w:r w:rsidRPr="00F95196">
        <w:rPr>
          <w:rFonts w:ascii="Calibri" w:hAnsi="Calibri" w:cs="Calibri"/>
          <w:sz w:val="26"/>
          <w:szCs w:val="26"/>
        </w:rPr>
        <w:t>gs Buget C.S.M.ap.pr.2023 CA, CB=</w:t>
      </w:r>
      <m:oMath>
        <m:f>
          <m:fPr>
            <m:ctrlPr>
              <w:rPr>
                <w:rFonts w:ascii="Cambria Math" w:hAnsi="Cambria Math" w:cs="Calibri"/>
                <w:sz w:val="26"/>
                <w:szCs w:val="26"/>
              </w:rPr>
            </m:ctrlPr>
          </m:fPr>
          <m:num>
            <m:r>
              <m:rPr>
                <m:sty m:val="p"/>
              </m:rPr>
              <w:rPr>
                <w:rFonts w:ascii="Cambria Math" w:hAnsi="Cambria Math" w:cs="Calibri"/>
                <w:sz w:val="26"/>
                <w:szCs w:val="26"/>
              </w:rPr>
              <m:t xml:space="preserve">Buget C.S.M.ap. pr. 2023 </m:t>
            </m:r>
          </m:num>
          <m:den>
            <m:r>
              <w:rPr>
                <w:rFonts w:ascii="Cambria Math" w:hAnsi="Cambria Math" w:cs="Calibri"/>
                <w:sz w:val="26"/>
                <w:szCs w:val="26"/>
              </w:rPr>
              <m:t>Buget total 2023</m:t>
            </m:r>
          </m:den>
        </m:f>
        <m:r>
          <w:rPr>
            <w:rFonts w:ascii="Cambria Math" w:hAnsi="Cambria Math" w:cs="Calibri"/>
            <w:sz w:val="26"/>
            <w:szCs w:val="26"/>
          </w:rPr>
          <m:t>x 100</m:t>
        </m:r>
      </m:oMath>
      <w:r w:rsidRPr="00F95196">
        <w:rPr>
          <w:rFonts w:ascii="Calibri" w:hAnsi="Calibri" w:cs="Calibri"/>
          <w:sz w:val="26"/>
          <w:szCs w:val="26"/>
        </w:rPr>
        <w:t xml:space="preserve"> </w:t>
      </w:r>
    </w:p>
    <w:p w14:paraId="62C00AA6" w14:textId="77777777" w:rsidR="00F95196" w:rsidRPr="00F95196" w:rsidRDefault="00F95196" w:rsidP="009E3AD8">
      <w:pPr>
        <w:spacing w:line="276" w:lineRule="auto"/>
        <w:jc w:val="both"/>
        <w:rPr>
          <w:rFonts w:ascii="Calibri" w:hAnsi="Calibri" w:cs="Calibri"/>
          <w:sz w:val="26"/>
          <w:szCs w:val="26"/>
        </w:rPr>
      </w:pPr>
    </w:p>
    <w:p w14:paraId="7C656EF3" w14:textId="77777777" w:rsidR="00F95196" w:rsidRPr="00F95196" w:rsidRDefault="00F95196" w:rsidP="00281400">
      <w:pPr>
        <w:numPr>
          <w:ilvl w:val="0"/>
          <w:numId w:val="8"/>
        </w:numPr>
        <w:spacing w:line="276" w:lineRule="auto"/>
        <w:contextualSpacing/>
        <w:jc w:val="both"/>
        <w:rPr>
          <w:rFonts w:ascii="Calibri" w:hAnsi="Calibri" w:cs="Calibri"/>
          <w:sz w:val="26"/>
          <w:szCs w:val="26"/>
        </w:rPr>
      </w:pPr>
      <w:r w:rsidRPr="00F95196">
        <w:rPr>
          <w:rFonts w:ascii="Calibri" w:hAnsi="Calibri" w:cs="Calibri"/>
          <w:sz w:val="26"/>
          <w:szCs w:val="26"/>
        </w:rPr>
        <w:t xml:space="preserve">gs Buget I.N.M.2023 CA, CB = </w:t>
      </w:r>
      <m:oMath>
        <m:f>
          <m:fPr>
            <m:ctrlPr>
              <w:rPr>
                <w:rFonts w:ascii="Cambria Math" w:hAnsi="Cambria Math" w:cs="Calibri"/>
                <w:sz w:val="26"/>
                <w:szCs w:val="26"/>
              </w:rPr>
            </m:ctrlPr>
          </m:fPr>
          <m:num>
            <m:r>
              <m:rPr>
                <m:sty m:val="p"/>
              </m:rPr>
              <w:rPr>
                <w:rFonts w:ascii="Cambria Math" w:hAnsi="Cambria Math" w:cs="Calibri"/>
                <w:sz w:val="26"/>
                <w:szCs w:val="26"/>
              </w:rPr>
              <m:t>Buget I.N.M. 2023</m:t>
            </m:r>
          </m:num>
          <m:den>
            <m:r>
              <w:rPr>
                <w:rFonts w:ascii="Cambria Math" w:hAnsi="Cambria Math" w:cs="Calibri"/>
                <w:sz w:val="26"/>
                <w:szCs w:val="26"/>
              </w:rPr>
              <m:t>Buget total 2023</m:t>
            </m:r>
          </m:den>
        </m:f>
        <m:r>
          <w:rPr>
            <w:rFonts w:ascii="Cambria Math" w:hAnsi="Cambria Math" w:cs="Calibri"/>
            <w:sz w:val="26"/>
            <w:szCs w:val="26"/>
          </w:rPr>
          <m:t>x 100</m:t>
        </m:r>
      </m:oMath>
      <w:r w:rsidRPr="00F95196">
        <w:rPr>
          <w:rFonts w:ascii="Calibri" w:hAnsi="Calibri" w:cs="Calibri"/>
          <w:sz w:val="26"/>
          <w:szCs w:val="26"/>
        </w:rPr>
        <w:t xml:space="preserve"> </w:t>
      </w:r>
    </w:p>
    <w:p w14:paraId="5A5E48A7" w14:textId="77777777" w:rsidR="00F95196" w:rsidRPr="00F95196" w:rsidRDefault="00F95196" w:rsidP="009E3AD8">
      <w:pPr>
        <w:spacing w:line="276" w:lineRule="auto"/>
        <w:jc w:val="both"/>
        <w:rPr>
          <w:rFonts w:ascii="Calibri" w:hAnsi="Calibri" w:cs="Calibri"/>
          <w:sz w:val="26"/>
          <w:szCs w:val="26"/>
        </w:rPr>
      </w:pPr>
    </w:p>
    <w:p w14:paraId="6E16098E" w14:textId="77777777" w:rsidR="00F95196" w:rsidRPr="00F95196" w:rsidRDefault="00F95196" w:rsidP="00281400">
      <w:pPr>
        <w:numPr>
          <w:ilvl w:val="0"/>
          <w:numId w:val="8"/>
        </w:numPr>
        <w:spacing w:line="276" w:lineRule="auto"/>
        <w:contextualSpacing/>
        <w:jc w:val="both"/>
        <w:rPr>
          <w:rFonts w:ascii="Calibri" w:hAnsi="Calibri" w:cs="Calibri"/>
          <w:sz w:val="26"/>
          <w:szCs w:val="26"/>
        </w:rPr>
      </w:pPr>
      <w:r w:rsidRPr="00F95196">
        <w:rPr>
          <w:rFonts w:ascii="Calibri" w:hAnsi="Calibri" w:cs="Calibri"/>
          <w:sz w:val="26"/>
          <w:szCs w:val="26"/>
        </w:rPr>
        <w:t xml:space="preserve">gs Buget S.N.G.2023 CA, CB = </w:t>
      </w:r>
      <m:oMath>
        <m:f>
          <m:fPr>
            <m:ctrlPr>
              <w:rPr>
                <w:rFonts w:ascii="Cambria Math" w:hAnsi="Cambria Math" w:cs="Calibri"/>
                <w:sz w:val="26"/>
                <w:szCs w:val="26"/>
              </w:rPr>
            </m:ctrlPr>
          </m:fPr>
          <m:num>
            <m:r>
              <m:rPr>
                <m:sty m:val="p"/>
              </m:rPr>
              <w:rPr>
                <w:rFonts w:ascii="Cambria Math" w:hAnsi="Cambria Math" w:cs="Calibri"/>
                <w:sz w:val="26"/>
                <w:szCs w:val="26"/>
              </w:rPr>
              <m:t>Buget S.N.G.2023</m:t>
            </m:r>
          </m:num>
          <m:den>
            <m:r>
              <w:rPr>
                <w:rFonts w:ascii="Cambria Math" w:hAnsi="Cambria Math" w:cs="Calibri"/>
                <w:sz w:val="26"/>
                <w:szCs w:val="26"/>
              </w:rPr>
              <m:t>Buget total 2023</m:t>
            </m:r>
          </m:den>
        </m:f>
        <m:r>
          <w:rPr>
            <w:rFonts w:ascii="Cambria Math" w:hAnsi="Cambria Math" w:cs="Calibri"/>
            <w:sz w:val="26"/>
            <w:szCs w:val="26"/>
          </w:rPr>
          <m:t>x 100</m:t>
        </m:r>
      </m:oMath>
      <w:r w:rsidRPr="00F95196">
        <w:rPr>
          <w:rFonts w:ascii="Calibri" w:hAnsi="Calibri" w:cs="Calibri"/>
          <w:sz w:val="26"/>
          <w:szCs w:val="26"/>
        </w:rPr>
        <w:t xml:space="preserve"> </w:t>
      </w:r>
    </w:p>
    <w:p w14:paraId="5E797316" w14:textId="77777777" w:rsidR="00F95196" w:rsidRPr="00F95196" w:rsidRDefault="00F95196" w:rsidP="009E3AD8">
      <w:pPr>
        <w:spacing w:line="276" w:lineRule="auto"/>
        <w:jc w:val="both"/>
        <w:rPr>
          <w:rFonts w:ascii="Calibri" w:hAnsi="Calibri" w:cs="Calibri"/>
          <w:sz w:val="26"/>
          <w:szCs w:val="26"/>
        </w:rPr>
      </w:pPr>
    </w:p>
    <w:p w14:paraId="7440FF69" w14:textId="77777777" w:rsidR="00F95196" w:rsidRPr="00F95196" w:rsidRDefault="00F95196" w:rsidP="009E3AD8">
      <w:pPr>
        <w:spacing w:line="276" w:lineRule="auto"/>
        <w:jc w:val="both"/>
        <w:rPr>
          <w:rFonts w:ascii="Calibri" w:hAnsi="Calibri" w:cs="Calibri"/>
          <w:sz w:val="26"/>
          <w:szCs w:val="26"/>
        </w:rPr>
      </w:pPr>
      <w:r w:rsidRPr="00F95196">
        <w:rPr>
          <w:rFonts w:ascii="Calibri" w:hAnsi="Calibri" w:cs="Calibri"/>
          <w:sz w:val="26"/>
          <w:szCs w:val="26"/>
        </w:rPr>
        <w:t xml:space="preserve">    gs = ponderea indicatorului ales pentru analiză</w:t>
      </w:r>
    </w:p>
    <w:p w14:paraId="7C9358F9" w14:textId="54BE0469" w:rsidR="00F95196" w:rsidRPr="00060958" w:rsidRDefault="00F95196" w:rsidP="00AA27EF">
      <w:pPr>
        <w:spacing w:line="276" w:lineRule="auto"/>
        <w:jc w:val="right"/>
        <w:rPr>
          <w:rFonts w:ascii="Calibri" w:hAnsi="Calibri" w:cs="Calibri"/>
          <w:b/>
          <w:bCs/>
          <w:sz w:val="26"/>
          <w:szCs w:val="26"/>
        </w:rPr>
      </w:pPr>
      <w:r w:rsidRPr="00F95196">
        <w:rPr>
          <w:rFonts w:ascii="Calibri" w:hAnsi="Calibri" w:cs="Calibri"/>
          <w:sz w:val="26"/>
          <w:szCs w:val="26"/>
        </w:rPr>
        <w:tab/>
      </w:r>
      <w:r w:rsidRPr="00F95196">
        <w:rPr>
          <w:rFonts w:ascii="Calibri" w:hAnsi="Calibri" w:cs="Calibri"/>
          <w:sz w:val="26"/>
          <w:szCs w:val="26"/>
        </w:rPr>
        <w:tab/>
      </w:r>
      <w:r w:rsidRPr="00F95196">
        <w:rPr>
          <w:rFonts w:ascii="Calibri" w:hAnsi="Calibri" w:cs="Calibri"/>
          <w:sz w:val="26"/>
          <w:szCs w:val="26"/>
        </w:rPr>
        <w:tab/>
      </w:r>
      <w:r w:rsidRPr="00F95196">
        <w:rPr>
          <w:rFonts w:ascii="Calibri" w:hAnsi="Calibri" w:cs="Calibri"/>
          <w:sz w:val="26"/>
          <w:szCs w:val="26"/>
        </w:rPr>
        <w:tab/>
      </w:r>
      <w:r w:rsidRPr="00F95196">
        <w:rPr>
          <w:rFonts w:ascii="Calibri" w:hAnsi="Calibri" w:cs="Calibri"/>
          <w:sz w:val="26"/>
          <w:szCs w:val="26"/>
        </w:rPr>
        <w:tab/>
      </w:r>
      <w:r w:rsidRPr="00F95196">
        <w:rPr>
          <w:rFonts w:ascii="Calibri" w:hAnsi="Calibri" w:cs="Calibri"/>
          <w:sz w:val="26"/>
          <w:szCs w:val="26"/>
        </w:rPr>
        <w:tab/>
      </w:r>
      <w:r w:rsidRPr="00F95196">
        <w:rPr>
          <w:rFonts w:ascii="Calibri" w:hAnsi="Calibri" w:cs="Calibri"/>
          <w:sz w:val="26"/>
          <w:szCs w:val="26"/>
        </w:rPr>
        <w:tab/>
      </w:r>
      <w:r w:rsidRPr="00F95196">
        <w:rPr>
          <w:rFonts w:ascii="Calibri" w:hAnsi="Calibri" w:cs="Calibri"/>
          <w:sz w:val="26"/>
          <w:szCs w:val="26"/>
        </w:rPr>
        <w:tab/>
      </w:r>
      <w:r w:rsidRPr="00F95196">
        <w:rPr>
          <w:rFonts w:ascii="Calibri" w:hAnsi="Calibri" w:cs="Calibri"/>
          <w:sz w:val="26"/>
          <w:szCs w:val="26"/>
        </w:rPr>
        <w:tab/>
      </w:r>
      <w:r w:rsidRPr="00F95196">
        <w:rPr>
          <w:rFonts w:ascii="Calibri" w:hAnsi="Calibri" w:cs="Calibri"/>
          <w:sz w:val="26"/>
          <w:szCs w:val="26"/>
        </w:rPr>
        <w:tab/>
      </w:r>
      <w:r w:rsidR="00060958">
        <w:rPr>
          <w:rFonts w:ascii="Calibri" w:hAnsi="Calibri" w:cs="Calibri"/>
          <w:sz w:val="26"/>
          <w:szCs w:val="26"/>
        </w:rPr>
        <w:t xml:space="preserve">                        </w:t>
      </w:r>
      <w:r w:rsidRPr="00F95196">
        <w:rPr>
          <w:rFonts w:ascii="Calibri" w:hAnsi="Calibri" w:cs="Calibri"/>
          <w:sz w:val="26"/>
          <w:szCs w:val="26"/>
        </w:rPr>
        <w:tab/>
      </w:r>
      <w:r w:rsidR="00BD2180">
        <w:rPr>
          <w:rFonts w:ascii="Calibri" w:hAnsi="Calibri" w:cs="Calibri"/>
          <w:sz w:val="26"/>
          <w:szCs w:val="26"/>
        </w:rPr>
        <w:t xml:space="preserve">   </w:t>
      </w:r>
      <w:r w:rsidRPr="00F95196">
        <w:rPr>
          <w:rFonts w:ascii="Calibri" w:hAnsi="Calibri" w:cs="Calibri"/>
          <w:sz w:val="26"/>
          <w:szCs w:val="26"/>
        </w:rPr>
        <w:tab/>
      </w:r>
      <w:r w:rsidR="00AA27EF">
        <w:rPr>
          <w:rFonts w:ascii="Calibri" w:hAnsi="Calibri" w:cs="Calibri"/>
          <w:sz w:val="26"/>
          <w:szCs w:val="26"/>
        </w:rPr>
        <w:t xml:space="preserve"> </w:t>
      </w:r>
      <w:r w:rsidRPr="00060958">
        <w:rPr>
          <w:rFonts w:ascii="Calibri" w:hAnsi="Calibri" w:cs="Calibri"/>
          <w:b/>
          <w:bCs/>
          <w:sz w:val="26"/>
          <w:szCs w:val="26"/>
        </w:rPr>
        <w:t>mii lei</w:t>
      </w:r>
    </w:p>
    <w:tbl>
      <w:tblPr>
        <w:tblW w:w="10820" w:type="dxa"/>
        <w:tblLook w:val="04A0" w:firstRow="1" w:lastRow="0" w:firstColumn="1" w:lastColumn="0" w:noHBand="0" w:noVBand="1"/>
      </w:tblPr>
      <w:tblGrid>
        <w:gridCol w:w="522"/>
        <w:gridCol w:w="2347"/>
        <w:gridCol w:w="1056"/>
        <w:gridCol w:w="1231"/>
        <w:gridCol w:w="1172"/>
        <w:gridCol w:w="1212"/>
        <w:gridCol w:w="1113"/>
        <w:gridCol w:w="1212"/>
        <w:gridCol w:w="955"/>
      </w:tblGrid>
      <w:tr w:rsidR="00F95196" w:rsidRPr="00F95196" w14:paraId="3A953959" w14:textId="77777777" w:rsidTr="00BE6FF5">
        <w:trPr>
          <w:trHeight w:val="735"/>
        </w:trPr>
        <w:tc>
          <w:tcPr>
            <w:tcW w:w="46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3BC95626" w14:textId="77777777" w:rsidR="00F95196" w:rsidRPr="00F95196" w:rsidRDefault="00F95196" w:rsidP="009E3AD8">
            <w:pPr>
              <w:spacing w:line="276" w:lineRule="auto"/>
              <w:jc w:val="center"/>
              <w:rPr>
                <w:rFonts w:ascii="Calibri" w:hAnsi="Calibri" w:cs="Calibri"/>
                <w:b/>
                <w:bCs/>
                <w:color w:val="000000"/>
                <w:sz w:val="22"/>
                <w:szCs w:val="22"/>
                <w:lang w:val="en-US"/>
              </w:rPr>
            </w:pPr>
            <w:r w:rsidRPr="00F95196">
              <w:rPr>
                <w:rFonts w:ascii="Calibri" w:hAnsi="Calibri" w:cs="Calibri"/>
                <w:b/>
                <w:bCs/>
                <w:color w:val="000000"/>
                <w:sz w:val="22"/>
                <w:szCs w:val="22"/>
                <w:lang w:val="en-US"/>
              </w:rPr>
              <w:t xml:space="preserve">Nr. </w:t>
            </w:r>
            <w:proofErr w:type="spellStart"/>
            <w:r w:rsidRPr="00F95196">
              <w:rPr>
                <w:rFonts w:ascii="Calibri" w:hAnsi="Calibri" w:cs="Calibri"/>
                <w:b/>
                <w:bCs/>
                <w:color w:val="000000"/>
                <w:sz w:val="22"/>
                <w:szCs w:val="22"/>
                <w:lang w:val="en-US"/>
              </w:rPr>
              <w:t>crt</w:t>
            </w:r>
            <w:proofErr w:type="spellEnd"/>
            <w:r w:rsidRPr="00F95196">
              <w:rPr>
                <w:rFonts w:ascii="Calibri" w:hAnsi="Calibri" w:cs="Calibri"/>
                <w:b/>
                <w:bCs/>
                <w:color w:val="000000"/>
                <w:sz w:val="22"/>
                <w:szCs w:val="22"/>
                <w:lang w:val="en-US"/>
              </w:rPr>
              <w:t>.</w:t>
            </w:r>
          </w:p>
        </w:tc>
        <w:tc>
          <w:tcPr>
            <w:tcW w:w="236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35FAB5DD" w14:textId="77777777" w:rsidR="00F95196" w:rsidRPr="00F95196" w:rsidRDefault="00F95196" w:rsidP="009E3AD8">
            <w:pPr>
              <w:spacing w:line="276" w:lineRule="auto"/>
              <w:rPr>
                <w:rFonts w:ascii="Calibri" w:hAnsi="Calibri" w:cs="Calibri"/>
                <w:b/>
                <w:bCs/>
                <w:color w:val="000000"/>
                <w:sz w:val="22"/>
                <w:szCs w:val="22"/>
                <w:lang w:val="en-US"/>
              </w:rPr>
            </w:pPr>
            <w:proofErr w:type="spellStart"/>
            <w:r w:rsidRPr="00F95196">
              <w:rPr>
                <w:rFonts w:ascii="Calibri" w:hAnsi="Calibri" w:cs="Calibri"/>
                <w:b/>
                <w:bCs/>
                <w:color w:val="000000"/>
                <w:sz w:val="22"/>
                <w:szCs w:val="22"/>
                <w:lang w:val="en-US"/>
              </w:rPr>
              <w:t>Denumire</w:t>
            </w:r>
            <w:proofErr w:type="spellEnd"/>
            <w:r w:rsidRPr="00F95196">
              <w:rPr>
                <w:rFonts w:ascii="Calibri" w:hAnsi="Calibri" w:cs="Calibri"/>
                <w:b/>
                <w:bCs/>
                <w:color w:val="000000"/>
                <w:sz w:val="22"/>
                <w:szCs w:val="22"/>
                <w:lang w:val="en-US"/>
              </w:rPr>
              <w:t xml:space="preserve"> indicator</w:t>
            </w:r>
          </w:p>
        </w:tc>
        <w:tc>
          <w:tcPr>
            <w:tcW w:w="1060" w:type="dxa"/>
            <w:tcBorders>
              <w:top w:val="single" w:sz="4" w:space="0" w:color="auto"/>
              <w:left w:val="nil"/>
              <w:bottom w:val="nil"/>
              <w:right w:val="nil"/>
            </w:tcBorders>
            <w:shd w:val="clear" w:color="000000" w:fill="D9D9D9"/>
            <w:vAlign w:val="center"/>
            <w:hideMark/>
          </w:tcPr>
          <w:p w14:paraId="6E1FB2C1" w14:textId="77777777" w:rsidR="00F95196" w:rsidRPr="00F95196" w:rsidRDefault="00F95196" w:rsidP="009E3AD8">
            <w:pPr>
              <w:spacing w:line="276" w:lineRule="auto"/>
              <w:jc w:val="center"/>
              <w:rPr>
                <w:rFonts w:ascii="Calibri" w:hAnsi="Calibri" w:cs="Calibri"/>
                <w:b/>
                <w:bCs/>
                <w:color w:val="000000"/>
                <w:sz w:val="22"/>
                <w:szCs w:val="22"/>
                <w:lang w:val="en-US"/>
              </w:rPr>
            </w:pPr>
            <w:r w:rsidRPr="00F95196">
              <w:rPr>
                <w:rFonts w:ascii="Calibri" w:hAnsi="Calibri" w:cs="Calibri"/>
                <w:b/>
                <w:bCs/>
                <w:color w:val="000000"/>
                <w:sz w:val="22"/>
                <w:szCs w:val="22"/>
                <w:lang w:val="en-US"/>
              </w:rPr>
              <w:t>Tip Credit</w:t>
            </w:r>
          </w:p>
        </w:tc>
        <w:tc>
          <w:tcPr>
            <w:tcW w:w="2420"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51197D4A" w14:textId="77777777" w:rsidR="00F95196" w:rsidRPr="00F95196" w:rsidRDefault="00F95196" w:rsidP="009E3AD8">
            <w:pPr>
              <w:spacing w:line="276" w:lineRule="auto"/>
              <w:jc w:val="center"/>
              <w:rPr>
                <w:rFonts w:ascii="Calibri" w:hAnsi="Calibri" w:cs="Calibri"/>
                <w:b/>
                <w:bCs/>
                <w:color w:val="000000"/>
                <w:sz w:val="22"/>
                <w:szCs w:val="22"/>
                <w:lang w:val="en-US"/>
              </w:rPr>
            </w:pPr>
            <w:r w:rsidRPr="00F95196">
              <w:rPr>
                <w:rFonts w:ascii="Calibri" w:hAnsi="Calibri" w:cs="Calibri"/>
                <w:b/>
                <w:bCs/>
                <w:color w:val="000000"/>
                <w:sz w:val="22"/>
                <w:szCs w:val="22"/>
                <w:lang w:val="en-US"/>
              </w:rPr>
              <w:t>2024</w:t>
            </w:r>
          </w:p>
        </w:tc>
        <w:tc>
          <w:tcPr>
            <w:tcW w:w="2340" w:type="dxa"/>
            <w:gridSpan w:val="2"/>
            <w:tcBorders>
              <w:top w:val="single" w:sz="4" w:space="0" w:color="auto"/>
              <w:left w:val="nil"/>
              <w:bottom w:val="single" w:sz="4" w:space="0" w:color="auto"/>
              <w:right w:val="single" w:sz="4" w:space="0" w:color="000000"/>
            </w:tcBorders>
            <w:shd w:val="clear" w:color="000000" w:fill="D9D9D9"/>
            <w:vAlign w:val="center"/>
            <w:hideMark/>
          </w:tcPr>
          <w:p w14:paraId="59E85E5E" w14:textId="77777777" w:rsidR="00F95196" w:rsidRPr="00F95196" w:rsidRDefault="00F95196" w:rsidP="009E3AD8">
            <w:pPr>
              <w:spacing w:line="276" w:lineRule="auto"/>
              <w:jc w:val="center"/>
              <w:rPr>
                <w:rFonts w:ascii="Calibri" w:hAnsi="Calibri" w:cs="Calibri"/>
                <w:b/>
                <w:bCs/>
                <w:color w:val="000000"/>
                <w:sz w:val="22"/>
                <w:szCs w:val="22"/>
                <w:lang w:val="en-US"/>
              </w:rPr>
            </w:pPr>
            <w:r w:rsidRPr="00F95196">
              <w:rPr>
                <w:rFonts w:ascii="Calibri" w:hAnsi="Calibri" w:cs="Calibri"/>
                <w:b/>
                <w:bCs/>
                <w:color w:val="000000"/>
                <w:sz w:val="22"/>
                <w:szCs w:val="22"/>
                <w:lang w:val="en-US"/>
              </w:rPr>
              <w:t>2025</w:t>
            </w:r>
          </w:p>
        </w:tc>
        <w:tc>
          <w:tcPr>
            <w:tcW w:w="2180" w:type="dxa"/>
            <w:gridSpan w:val="2"/>
            <w:tcBorders>
              <w:top w:val="single" w:sz="4" w:space="0" w:color="auto"/>
              <w:left w:val="nil"/>
              <w:bottom w:val="single" w:sz="4" w:space="0" w:color="auto"/>
              <w:right w:val="single" w:sz="4" w:space="0" w:color="000000"/>
            </w:tcBorders>
            <w:shd w:val="clear" w:color="000000" w:fill="D9D9D9"/>
            <w:vAlign w:val="center"/>
            <w:hideMark/>
          </w:tcPr>
          <w:p w14:paraId="427917DC" w14:textId="77777777" w:rsidR="00F95196" w:rsidRPr="00F95196" w:rsidRDefault="00F95196" w:rsidP="009E3AD8">
            <w:pPr>
              <w:spacing w:line="276" w:lineRule="auto"/>
              <w:jc w:val="center"/>
              <w:rPr>
                <w:rFonts w:ascii="Calibri" w:hAnsi="Calibri" w:cs="Calibri"/>
                <w:b/>
                <w:bCs/>
                <w:color w:val="000000"/>
                <w:sz w:val="22"/>
                <w:szCs w:val="22"/>
                <w:lang w:val="en-US"/>
              </w:rPr>
            </w:pPr>
            <w:r w:rsidRPr="00F95196">
              <w:rPr>
                <w:rFonts w:ascii="Calibri" w:hAnsi="Calibri" w:cs="Calibri"/>
                <w:b/>
                <w:bCs/>
                <w:color w:val="000000"/>
                <w:sz w:val="22"/>
                <w:szCs w:val="22"/>
                <w:lang w:val="en-US"/>
              </w:rPr>
              <w:t>2026</w:t>
            </w:r>
          </w:p>
        </w:tc>
      </w:tr>
      <w:tr w:rsidR="00F95196" w:rsidRPr="00F95196" w14:paraId="2FCA28DA" w14:textId="77777777" w:rsidTr="00BE6FF5">
        <w:trPr>
          <w:trHeight w:val="300"/>
        </w:trPr>
        <w:tc>
          <w:tcPr>
            <w:tcW w:w="460" w:type="dxa"/>
            <w:vMerge/>
            <w:tcBorders>
              <w:top w:val="single" w:sz="4" w:space="0" w:color="auto"/>
              <w:left w:val="single" w:sz="4" w:space="0" w:color="auto"/>
              <w:bottom w:val="single" w:sz="4" w:space="0" w:color="000000"/>
              <w:right w:val="single" w:sz="4" w:space="0" w:color="auto"/>
            </w:tcBorders>
            <w:vAlign w:val="center"/>
            <w:hideMark/>
          </w:tcPr>
          <w:p w14:paraId="09C5F0CA" w14:textId="77777777" w:rsidR="00F95196" w:rsidRPr="00F95196" w:rsidRDefault="00F95196" w:rsidP="009E3AD8">
            <w:pPr>
              <w:spacing w:line="276" w:lineRule="auto"/>
              <w:rPr>
                <w:rFonts w:ascii="Calibri" w:hAnsi="Calibri" w:cs="Calibri"/>
                <w:b/>
                <w:bCs/>
                <w:color w:val="000000"/>
                <w:sz w:val="22"/>
                <w:szCs w:val="22"/>
                <w:lang w:val="en-US"/>
              </w:rPr>
            </w:pPr>
          </w:p>
        </w:tc>
        <w:tc>
          <w:tcPr>
            <w:tcW w:w="2360" w:type="dxa"/>
            <w:vMerge/>
            <w:tcBorders>
              <w:top w:val="single" w:sz="4" w:space="0" w:color="auto"/>
              <w:left w:val="single" w:sz="4" w:space="0" w:color="auto"/>
              <w:bottom w:val="single" w:sz="4" w:space="0" w:color="000000"/>
              <w:right w:val="single" w:sz="4" w:space="0" w:color="auto"/>
            </w:tcBorders>
            <w:vAlign w:val="center"/>
            <w:hideMark/>
          </w:tcPr>
          <w:p w14:paraId="09B3269D" w14:textId="77777777" w:rsidR="00F95196" w:rsidRPr="00F95196" w:rsidRDefault="00F95196" w:rsidP="009E3AD8">
            <w:pPr>
              <w:spacing w:line="276" w:lineRule="auto"/>
              <w:rPr>
                <w:rFonts w:ascii="Calibri" w:hAnsi="Calibri" w:cs="Calibri"/>
                <w:b/>
                <w:bCs/>
                <w:color w:val="000000"/>
                <w:sz w:val="22"/>
                <w:szCs w:val="22"/>
                <w:lang w:val="en-US"/>
              </w:rPr>
            </w:pPr>
          </w:p>
        </w:tc>
        <w:tc>
          <w:tcPr>
            <w:tcW w:w="1060" w:type="dxa"/>
            <w:tcBorders>
              <w:top w:val="nil"/>
              <w:left w:val="nil"/>
              <w:bottom w:val="single" w:sz="4" w:space="0" w:color="auto"/>
              <w:right w:val="single" w:sz="4" w:space="0" w:color="auto"/>
            </w:tcBorders>
            <w:shd w:val="clear" w:color="000000" w:fill="D9D9D9"/>
            <w:vAlign w:val="center"/>
            <w:hideMark/>
          </w:tcPr>
          <w:p w14:paraId="38DD1579" w14:textId="77777777" w:rsidR="00F95196" w:rsidRPr="00F95196" w:rsidRDefault="00F95196" w:rsidP="009E3AD8">
            <w:pPr>
              <w:spacing w:line="276" w:lineRule="auto"/>
              <w:jc w:val="center"/>
              <w:rPr>
                <w:rFonts w:ascii="Calibri" w:hAnsi="Calibri" w:cs="Calibri"/>
                <w:color w:val="000000"/>
                <w:sz w:val="22"/>
                <w:szCs w:val="22"/>
                <w:lang w:val="en-US"/>
              </w:rPr>
            </w:pPr>
            <w:r w:rsidRPr="00F95196">
              <w:rPr>
                <w:rFonts w:ascii="Calibri" w:hAnsi="Calibri" w:cs="Calibri"/>
                <w:color w:val="000000"/>
                <w:sz w:val="22"/>
                <w:szCs w:val="22"/>
                <w:lang w:val="en-US"/>
              </w:rPr>
              <w:t> </w:t>
            </w:r>
          </w:p>
        </w:tc>
        <w:tc>
          <w:tcPr>
            <w:tcW w:w="1240" w:type="dxa"/>
            <w:tcBorders>
              <w:top w:val="nil"/>
              <w:left w:val="nil"/>
              <w:bottom w:val="single" w:sz="4" w:space="0" w:color="auto"/>
              <w:right w:val="single" w:sz="4" w:space="0" w:color="auto"/>
            </w:tcBorders>
            <w:shd w:val="clear" w:color="000000" w:fill="D9D9D9"/>
            <w:vAlign w:val="center"/>
            <w:hideMark/>
          </w:tcPr>
          <w:p w14:paraId="148DA4E4" w14:textId="77777777" w:rsidR="00F95196" w:rsidRPr="00F95196" w:rsidRDefault="00F95196" w:rsidP="009E3AD8">
            <w:pPr>
              <w:spacing w:line="276" w:lineRule="auto"/>
              <w:jc w:val="center"/>
              <w:rPr>
                <w:rFonts w:ascii="Calibri" w:hAnsi="Calibri" w:cs="Calibri"/>
                <w:color w:val="000000"/>
                <w:sz w:val="22"/>
                <w:szCs w:val="22"/>
                <w:lang w:val="en-US"/>
              </w:rPr>
            </w:pPr>
            <w:r w:rsidRPr="00F95196">
              <w:rPr>
                <w:rFonts w:ascii="Calibri" w:hAnsi="Calibri" w:cs="Calibri"/>
                <w:color w:val="000000"/>
                <w:sz w:val="22"/>
                <w:szCs w:val="22"/>
                <w:lang w:val="en-US"/>
              </w:rPr>
              <w:t> </w:t>
            </w:r>
          </w:p>
        </w:tc>
        <w:tc>
          <w:tcPr>
            <w:tcW w:w="1180" w:type="dxa"/>
            <w:tcBorders>
              <w:top w:val="nil"/>
              <w:left w:val="nil"/>
              <w:bottom w:val="single" w:sz="4" w:space="0" w:color="auto"/>
              <w:right w:val="single" w:sz="4" w:space="0" w:color="auto"/>
            </w:tcBorders>
            <w:shd w:val="clear" w:color="000000" w:fill="D9D9D9"/>
            <w:vAlign w:val="center"/>
            <w:hideMark/>
          </w:tcPr>
          <w:p w14:paraId="18FB81D1" w14:textId="77777777" w:rsidR="00F95196" w:rsidRPr="00F95196" w:rsidRDefault="00F95196" w:rsidP="009E3AD8">
            <w:pPr>
              <w:spacing w:line="276" w:lineRule="auto"/>
              <w:jc w:val="center"/>
              <w:rPr>
                <w:rFonts w:ascii="Calibri" w:hAnsi="Calibri" w:cs="Calibri"/>
                <w:color w:val="000000"/>
                <w:sz w:val="22"/>
                <w:szCs w:val="22"/>
                <w:lang w:val="en-US"/>
              </w:rPr>
            </w:pPr>
            <w:r w:rsidRPr="00F95196">
              <w:rPr>
                <w:rFonts w:ascii="Calibri" w:hAnsi="Calibri" w:cs="Calibri"/>
                <w:color w:val="000000"/>
                <w:sz w:val="22"/>
                <w:szCs w:val="22"/>
                <w:lang w:val="en-US"/>
              </w:rPr>
              <w:t> </w:t>
            </w:r>
          </w:p>
        </w:tc>
        <w:tc>
          <w:tcPr>
            <w:tcW w:w="1220" w:type="dxa"/>
            <w:tcBorders>
              <w:top w:val="nil"/>
              <w:left w:val="nil"/>
              <w:bottom w:val="single" w:sz="4" w:space="0" w:color="auto"/>
              <w:right w:val="single" w:sz="4" w:space="0" w:color="auto"/>
            </w:tcBorders>
            <w:shd w:val="clear" w:color="000000" w:fill="D9D9D9"/>
            <w:vAlign w:val="center"/>
            <w:hideMark/>
          </w:tcPr>
          <w:p w14:paraId="03AFF13E" w14:textId="77777777" w:rsidR="00F95196" w:rsidRPr="00F95196" w:rsidRDefault="00F95196" w:rsidP="009E3AD8">
            <w:pPr>
              <w:spacing w:line="276" w:lineRule="auto"/>
              <w:jc w:val="center"/>
              <w:rPr>
                <w:rFonts w:ascii="Calibri" w:hAnsi="Calibri" w:cs="Calibri"/>
                <w:color w:val="000000"/>
                <w:sz w:val="22"/>
                <w:szCs w:val="22"/>
                <w:lang w:val="en-US"/>
              </w:rPr>
            </w:pPr>
            <w:r w:rsidRPr="00F95196">
              <w:rPr>
                <w:rFonts w:ascii="Calibri" w:hAnsi="Calibri" w:cs="Calibri"/>
                <w:color w:val="000000"/>
                <w:sz w:val="22"/>
                <w:szCs w:val="22"/>
                <w:lang w:val="en-US"/>
              </w:rPr>
              <w:t> </w:t>
            </w:r>
          </w:p>
        </w:tc>
        <w:tc>
          <w:tcPr>
            <w:tcW w:w="1120" w:type="dxa"/>
            <w:tcBorders>
              <w:top w:val="nil"/>
              <w:left w:val="nil"/>
              <w:bottom w:val="single" w:sz="4" w:space="0" w:color="auto"/>
              <w:right w:val="single" w:sz="4" w:space="0" w:color="auto"/>
            </w:tcBorders>
            <w:shd w:val="clear" w:color="000000" w:fill="D9D9D9"/>
            <w:vAlign w:val="center"/>
            <w:hideMark/>
          </w:tcPr>
          <w:p w14:paraId="0FC6817D" w14:textId="77777777" w:rsidR="00F95196" w:rsidRPr="00F95196" w:rsidRDefault="00F95196" w:rsidP="009E3AD8">
            <w:pPr>
              <w:spacing w:line="276" w:lineRule="auto"/>
              <w:jc w:val="center"/>
              <w:rPr>
                <w:rFonts w:ascii="Calibri" w:hAnsi="Calibri" w:cs="Calibri"/>
                <w:color w:val="000000"/>
                <w:sz w:val="22"/>
                <w:szCs w:val="22"/>
                <w:lang w:val="en-US"/>
              </w:rPr>
            </w:pPr>
            <w:r w:rsidRPr="00F95196">
              <w:rPr>
                <w:rFonts w:ascii="Calibri" w:hAnsi="Calibri" w:cs="Calibri"/>
                <w:color w:val="000000"/>
                <w:sz w:val="22"/>
                <w:szCs w:val="22"/>
                <w:lang w:val="en-US"/>
              </w:rPr>
              <w:t> </w:t>
            </w:r>
          </w:p>
        </w:tc>
        <w:tc>
          <w:tcPr>
            <w:tcW w:w="1220" w:type="dxa"/>
            <w:tcBorders>
              <w:top w:val="nil"/>
              <w:left w:val="nil"/>
              <w:bottom w:val="single" w:sz="4" w:space="0" w:color="auto"/>
              <w:right w:val="single" w:sz="4" w:space="0" w:color="auto"/>
            </w:tcBorders>
            <w:shd w:val="clear" w:color="000000" w:fill="D9D9D9"/>
            <w:vAlign w:val="center"/>
            <w:hideMark/>
          </w:tcPr>
          <w:p w14:paraId="4D624119" w14:textId="77777777" w:rsidR="00F95196" w:rsidRPr="00F95196" w:rsidRDefault="00F95196" w:rsidP="009E3AD8">
            <w:pPr>
              <w:spacing w:line="276" w:lineRule="auto"/>
              <w:jc w:val="center"/>
              <w:rPr>
                <w:rFonts w:ascii="Calibri" w:hAnsi="Calibri" w:cs="Calibri"/>
                <w:color w:val="000000"/>
                <w:sz w:val="22"/>
                <w:szCs w:val="22"/>
                <w:lang w:val="en-US"/>
              </w:rPr>
            </w:pPr>
            <w:r w:rsidRPr="00F95196">
              <w:rPr>
                <w:rFonts w:ascii="Calibri" w:hAnsi="Calibri" w:cs="Calibri"/>
                <w:color w:val="000000"/>
                <w:sz w:val="22"/>
                <w:szCs w:val="22"/>
                <w:lang w:val="en-US"/>
              </w:rPr>
              <w:t> </w:t>
            </w:r>
          </w:p>
        </w:tc>
        <w:tc>
          <w:tcPr>
            <w:tcW w:w="960" w:type="dxa"/>
            <w:tcBorders>
              <w:top w:val="nil"/>
              <w:left w:val="nil"/>
              <w:bottom w:val="single" w:sz="4" w:space="0" w:color="auto"/>
              <w:right w:val="single" w:sz="4" w:space="0" w:color="auto"/>
            </w:tcBorders>
            <w:shd w:val="clear" w:color="000000" w:fill="D9D9D9"/>
            <w:vAlign w:val="center"/>
            <w:hideMark/>
          </w:tcPr>
          <w:p w14:paraId="4D6827C2" w14:textId="77777777" w:rsidR="00F95196" w:rsidRPr="00F95196" w:rsidRDefault="00F95196" w:rsidP="009E3AD8">
            <w:pPr>
              <w:spacing w:line="276" w:lineRule="auto"/>
              <w:jc w:val="center"/>
              <w:rPr>
                <w:rFonts w:ascii="Calibri" w:hAnsi="Calibri" w:cs="Calibri"/>
                <w:color w:val="000000"/>
                <w:sz w:val="22"/>
                <w:szCs w:val="22"/>
                <w:lang w:val="en-US"/>
              </w:rPr>
            </w:pPr>
            <w:r w:rsidRPr="00F95196">
              <w:rPr>
                <w:rFonts w:ascii="Calibri" w:hAnsi="Calibri" w:cs="Calibri"/>
                <w:color w:val="000000"/>
                <w:sz w:val="22"/>
                <w:szCs w:val="22"/>
                <w:lang w:val="en-US"/>
              </w:rPr>
              <w:t> </w:t>
            </w:r>
          </w:p>
        </w:tc>
      </w:tr>
      <w:tr w:rsidR="00F95196" w:rsidRPr="00F95196" w14:paraId="29BFC67F" w14:textId="77777777" w:rsidTr="00BE6FF5">
        <w:trPr>
          <w:trHeight w:val="300"/>
        </w:trPr>
        <w:tc>
          <w:tcPr>
            <w:tcW w:w="460"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798DF1D5" w14:textId="77777777" w:rsidR="00F95196" w:rsidRPr="00F95196" w:rsidRDefault="00F95196" w:rsidP="009E3AD8">
            <w:pPr>
              <w:spacing w:line="276" w:lineRule="auto"/>
              <w:jc w:val="center"/>
              <w:rPr>
                <w:rFonts w:ascii="Calibri" w:hAnsi="Calibri" w:cs="Calibri"/>
                <w:color w:val="000000"/>
                <w:sz w:val="22"/>
                <w:szCs w:val="22"/>
                <w:lang w:val="en-US"/>
              </w:rPr>
            </w:pPr>
            <w:r w:rsidRPr="00F95196">
              <w:rPr>
                <w:rFonts w:ascii="Calibri" w:hAnsi="Calibri" w:cs="Calibri"/>
                <w:color w:val="000000"/>
                <w:sz w:val="22"/>
                <w:szCs w:val="22"/>
                <w:lang w:val="en-US"/>
              </w:rPr>
              <w:t>1</w:t>
            </w:r>
          </w:p>
        </w:tc>
        <w:tc>
          <w:tcPr>
            <w:tcW w:w="2360"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558372E3" w14:textId="77777777" w:rsidR="00F95196" w:rsidRPr="00F95196" w:rsidRDefault="00F95196" w:rsidP="009E3AD8">
            <w:pPr>
              <w:spacing w:line="276" w:lineRule="auto"/>
              <w:jc w:val="center"/>
              <w:rPr>
                <w:rFonts w:ascii="Calibri" w:hAnsi="Calibri" w:cs="Calibri"/>
                <w:i/>
                <w:iCs/>
                <w:color w:val="000000"/>
                <w:sz w:val="22"/>
                <w:szCs w:val="22"/>
                <w:lang w:val="en-US"/>
              </w:rPr>
            </w:pPr>
            <w:proofErr w:type="spellStart"/>
            <w:r w:rsidRPr="00F95196">
              <w:rPr>
                <w:rFonts w:ascii="Calibri" w:hAnsi="Calibri" w:cs="Calibri"/>
                <w:i/>
                <w:iCs/>
                <w:color w:val="000000"/>
                <w:sz w:val="22"/>
                <w:szCs w:val="22"/>
                <w:lang w:val="en-US"/>
              </w:rPr>
              <w:t>Buget</w:t>
            </w:r>
            <w:proofErr w:type="spellEnd"/>
            <w:r w:rsidRPr="00F95196">
              <w:rPr>
                <w:rFonts w:ascii="Calibri" w:hAnsi="Calibri" w:cs="Calibri"/>
                <w:i/>
                <w:iCs/>
                <w:color w:val="000000"/>
                <w:sz w:val="22"/>
                <w:szCs w:val="22"/>
                <w:lang w:val="en-US"/>
              </w:rPr>
              <w:t xml:space="preserve"> CSM Total</w:t>
            </w:r>
          </w:p>
        </w:tc>
        <w:tc>
          <w:tcPr>
            <w:tcW w:w="1060" w:type="dxa"/>
            <w:tcBorders>
              <w:top w:val="nil"/>
              <w:left w:val="nil"/>
              <w:bottom w:val="single" w:sz="4" w:space="0" w:color="auto"/>
              <w:right w:val="single" w:sz="4" w:space="0" w:color="auto"/>
            </w:tcBorders>
            <w:shd w:val="clear" w:color="000000" w:fill="DBDBDB"/>
            <w:vAlign w:val="center"/>
            <w:hideMark/>
          </w:tcPr>
          <w:p w14:paraId="2EDB47B5"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CA</w:t>
            </w:r>
          </w:p>
        </w:tc>
        <w:tc>
          <w:tcPr>
            <w:tcW w:w="1240" w:type="dxa"/>
            <w:tcBorders>
              <w:top w:val="nil"/>
              <w:left w:val="nil"/>
              <w:bottom w:val="single" w:sz="4" w:space="0" w:color="auto"/>
              <w:right w:val="single" w:sz="4" w:space="0" w:color="auto"/>
            </w:tcBorders>
            <w:shd w:val="clear" w:color="000000" w:fill="DBDBDB"/>
            <w:vAlign w:val="center"/>
            <w:hideMark/>
          </w:tcPr>
          <w:p w14:paraId="2D5AAB0B"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319 502</w:t>
            </w:r>
          </w:p>
        </w:tc>
        <w:tc>
          <w:tcPr>
            <w:tcW w:w="1180" w:type="dxa"/>
            <w:tcBorders>
              <w:top w:val="nil"/>
              <w:left w:val="nil"/>
              <w:bottom w:val="single" w:sz="4" w:space="0" w:color="auto"/>
              <w:right w:val="single" w:sz="4" w:space="0" w:color="auto"/>
            </w:tcBorders>
            <w:shd w:val="clear" w:color="000000" w:fill="DBDBDB"/>
            <w:vAlign w:val="center"/>
            <w:hideMark/>
          </w:tcPr>
          <w:p w14:paraId="0A6098FF"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53 365</w:t>
            </w:r>
          </w:p>
        </w:tc>
        <w:tc>
          <w:tcPr>
            <w:tcW w:w="1220" w:type="dxa"/>
            <w:tcBorders>
              <w:top w:val="nil"/>
              <w:left w:val="nil"/>
              <w:bottom w:val="single" w:sz="4" w:space="0" w:color="auto"/>
              <w:right w:val="single" w:sz="4" w:space="0" w:color="auto"/>
            </w:tcBorders>
            <w:shd w:val="clear" w:color="000000" w:fill="DBDBDB"/>
            <w:vAlign w:val="center"/>
            <w:hideMark/>
          </w:tcPr>
          <w:p w14:paraId="36DA1381"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281 040</w:t>
            </w:r>
          </w:p>
        </w:tc>
        <w:tc>
          <w:tcPr>
            <w:tcW w:w="1120" w:type="dxa"/>
            <w:tcBorders>
              <w:top w:val="nil"/>
              <w:left w:val="nil"/>
              <w:bottom w:val="single" w:sz="4" w:space="0" w:color="auto"/>
              <w:right w:val="single" w:sz="4" w:space="0" w:color="auto"/>
            </w:tcBorders>
            <w:shd w:val="clear" w:color="000000" w:fill="DBDBDB"/>
            <w:vAlign w:val="center"/>
            <w:hideMark/>
          </w:tcPr>
          <w:p w14:paraId="672AFD6C"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47 356</w:t>
            </w:r>
          </w:p>
        </w:tc>
        <w:tc>
          <w:tcPr>
            <w:tcW w:w="1220" w:type="dxa"/>
            <w:tcBorders>
              <w:top w:val="nil"/>
              <w:left w:val="nil"/>
              <w:bottom w:val="single" w:sz="4" w:space="0" w:color="auto"/>
              <w:right w:val="single" w:sz="4" w:space="0" w:color="auto"/>
            </w:tcBorders>
            <w:shd w:val="clear" w:color="000000" w:fill="DBDBDB"/>
            <w:vAlign w:val="center"/>
            <w:hideMark/>
          </w:tcPr>
          <w:p w14:paraId="774915F6"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421 331</w:t>
            </w:r>
          </w:p>
        </w:tc>
        <w:tc>
          <w:tcPr>
            <w:tcW w:w="960" w:type="dxa"/>
            <w:tcBorders>
              <w:top w:val="nil"/>
              <w:left w:val="nil"/>
              <w:bottom w:val="single" w:sz="4" w:space="0" w:color="auto"/>
              <w:right w:val="single" w:sz="4" w:space="0" w:color="auto"/>
            </w:tcBorders>
            <w:shd w:val="clear" w:color="000000" w:fill="DBDBDB"/>
            <w:vAlign w:val="center"/>
            <w:hideMark/>
          </w:tcPr>
          <w:p w14:paraId="49DC76A0"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62 737</w:t>
            </w:r>
          </w:p>
        </w:tc>
      </w:tr>
      <w:tr w:rsidR="00F95196" w:rsidRPr="00F95196" w14:paraId="261A5208" w14:textId="77777777" w:rsidTr="00BE6FF5">
        <w:trPr>
          <w:trHeight w:val="330"/>
        </w:trPr>
        <w:tc>
          <w:tcPr>
            <w:tcW w:w="460" w:type="dxa"/>
            <w:vMerge/>
            <w:tcBorders>
              <w:top w:val="nil"/>
              <w:left w:val="single" w:sz="4" w:space="0" w:color="auto"/>
              <w:bottom w:val="single" w:sz="4" w:space="0" w:color="000000"/>
              <w:right w:val="single" w:sz="4" w:space="0" w:color="auto"/>
            </w:tcBorders>
            <w:vAlign w:val="center"/>
            <w:hideMark/>
          </w:tcPr>
          <w:p w14:paraId="3D2EBEF8" w14:textId="77777777" w:rsidR="00F95196" w:rsidRPr="00F95196" w:rsidRDefault="00F95196" w:rsidP="009E3AD8">
            <w:pPr>
              <w:spacing w:line="276" w:lineRule="auto"/>
              <w:rPr>
                <w:rFonts w:ascii="Calibri" w:hAnsi="Calibri" w:cs="Calibri"/>
                <w:color w:val="000000"/>
                <w:sz w:val="22"/>
                <w:szCs w:val="22"/>
                <w:lang w:val="en-US"/>
              </w:rPr>
            </w:pPr>
          </w:p>
        </w:tc>
        <w:tc>
          <w:tcPr>
            <w:tcW w:w="2360" w:type="dxa"/>
            <w:vMerge/>
            <w:tcBorders>
              <w:top w:val="nil"/>
              <w:left w:val="single" w:sz="4" w:space="0" w:color="auto"/>
              <w:bottom w:val="single" w:sz="4" w:space="0" w:color="000000"/>
              <w:right w:val="single" w:sz="4" w:space="0" w:color="auto"/>
            </w:tcBorders>
            <w:vAlign w:val="center"/>
            <w:hideMark/>
          </w:tcPr>
          <w:p w14:paraId="4560F8D9" w14:textId="77777777" w:rsidR="00F95196" w:rsidRPr="00F95196" w:rsidRDefault="00F95196" w:rsidP="009E3AD8">
            <w:pPr>
              <w:spacing w:line="276" w:lineRule="auto"/>
              <w:rPr>
                <w:rFonts w:ascii="Calibri" w:hAnsi="Calibri" w:cs="Calibri"/>
                <w:i/>
                <w:iCs/>
                <w:color w:val="000000"/>
                <w:sz w:val="22"/>
                <w:szCs w:val="22"/>
                <w:lang w:val="en-US"/>
              </w:rPr>
            </w:pPr>
          </w:p>
        </w:tc>
        <w:tc>
          <w:tcPr>
            <w:tcW w:w="1060" w:type="dxa"/>
            <w:tcBorders>
              <w:top w:val="nil"/>
              <w:left w:val="nil"/>
              <w:bottom w:val="single" w:sz="4" w:space="0" w:color="auto"/>
              <w:right w:val="single" w:sz="4" w:space="0" w:color="auto"/>
            </w:tcBorders>
            <w:shd w:val="clear" w:color="000000" w:fill="DBDBDB"/>
            <w:vAlign w:val="center"/>
            <w:hideMark/>
          </w:tcPr>
          <w:p w14:paraId="343784FC"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CB</w:t>
            </w:r>
          </w:p>
        </w:tc>
        <w:tc>
          <w:tcPr>
            <w:tcW w:w="1240" w:type="dxa"/>
            <w:tcBorders>
              <w:top w:val="nil"/>
              <w:left w:val="nil"/>
              <w:bottom w:val="single" w:sz="4" w:space="0" w:color="auto"/>
              <w:right w:val="single" w:sz="4" w:space="0" w:color="auto"/>
            </w:tcBorders>
            <w:shd w:val="clear" w:color="000000" w:fill="DBDBDB"/>
            <w:vAlign w:val="center"/>
            <w:hideMark/>
          </w:tcPr>
          <w:p w14:paraId="50F57D74"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317 694</w:t>
            </w:r>
          </w:p>
        </w:tc>
        <w:tc>
          <w:tcPr>
            <w:tcW w:w="1180" w:type="dxa"/>
            <w:tcBorders>
              <w:top w:val="nil"/>
              <w:left w:val="nil"/>
              <w:bottom w:val="single" w:sz="4" w:space="0" w:color="auto"/>
              <w:right w:val="single" w:sz="4" w:space="0" w:color="auto"/>
            </w:tcBorders>
            <w:shd w:val="clear" w:color="000000" w:fill="DBDBDB"/>
            <w:vAlign w:val="center"/>
            <w:hideMark/>
          </w:tcPr>
          <w:p w14:paraId="74DAB709"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53 068</w:t>
            </w:r>
          </w:p>
        </w:tc>
        <w:tc>
          <w:tcPr>
            <w:tcW w:w="1220" w:type="dxa"/>
            <w:tcBorders>
              <w:top w:val="nil"/>
              <w:left w:val="nil"/>
              <w:bottom w:val="single" w:sz="4" w:space="0" w:color="auto"/>
              <w:right w:val="single" w:sz="4" w:space="0" w:color="auto"/>
            </w:tcBorders>
            <w:shd w:val="clear" w:color="000000" w:fill="DBDBDB"/>
            <w:vAlign w:val="center"/>
            <w:hideMark/>
          </w:tcPr>
          <w:p w14:paraId="05ACC3B1"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276 186</w:t>
            </w:r>
          </w:p>
        </w:tc>
        <w:tc>
          <w:tcPr>
            <w:tcW w:w="1120" w:type="dxa"/>
            <w:tcBorders>
              <w:top w:val="nil"/>
              <w:left w:val="nil"/>
              <w:bottom w:val="single" w:sz="4" w:space="0" w:color="auto"/>
              <w:right w:val="single" w:sz="4" w:space="0" w:color="auto"/>
            </w:tcBorders>
            <w:shd w:val="clear" w:color="000000" w:fill="DBDBDB"/>
            <w:vAlign w:val="center"/>
            <w:hideMark/>
          </w:tcPr>
          <w:p w14:paraId="4FDC14AC"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46 386</w:t>
            </w:r>
          </w:p>
        </w:tc>
        <w:tc>
          <w:tcPr>
            <w:tcW w:w="1220" w:type="dxa"/>
            <w:tcBorders>
              <w:top w:val="nil"/>
              <w:left w:val="nil"/>
              <w:bottom w:val="single" w:sz="4" w:space="0" w:color="auto"/>
              <w:right w:val="single" w:sz="4" w:space="0" w:color="auto"/>
            </w:tcBorders>
            <w:shd w:val="clear" w:color="000000" w:fill="DBDBDB"/>
            <w:vAlign w:val="center"/>
            <w:hideMark/>
          </w:tcPr>
          <w:p w14:paraId="4911ED3D"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413 705</w:t>
            </w:r>
          </w:p>
        </w:tc>
        <w:tc>
          <w:tcPr>
            <w:tcW w:w="960" w:type="dxa"/>
            <w:tcBorders>
              <w:top w:val="nil"/>
              <w:left w:val="nil"/>
              <w:bottom w:val="single" w:sz="4" w:space="0" w:color="auto"/>
              <w:right w:val="single" w:sz="4" w:space="0" w:color="auto"/>
            </w:tcBorders>
            <w:shd w:val="clear" w:color="000000" w:fill="DBDBDB"/>
            <w:vAlign w:val="center"/>
            <w:hideMark/>
          </w:tcPr>
          <w:p w14:paraId="4FC7266F"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61 351</w:t>
            </w:r>
          </w:p>
        </w:tc>
      </w:tr>
      <w:tr w:rsidR="00F95196" w:rsidRPr="00F95196" w14:paraId="14D115C9" w14:textId="77777777" w:rsidTr="00BE6FF5">
        <w:trPr>
          <w:trHeight w:val="540"/>
        </w:trPr>
        <w:tc>
          <w:tcPr>
            <w:tcW w:w="460"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5AC9D159" w14:textId="77777777" w:rsidR="00F95196" w:rsidRPr="00F95196" w:rsidRDefault="00F95196" w:rsidP="009E3AD8">
            <w:pPr>
              <w:spacing w:line="276" w:lineRule="auto"/>
              <w:jc w:val="center"/>
              <w:rPr>
                <w:rFonts w:ascii="Calibri" w:hAnsi="Calibri" w:cs="Calibri"/>
                <w:color w:val="000000"/>
                <w:sz w:val="22"/>
                <w:szCs w:val="22"/>
                <w:lang w:val="en-US"/>
              </w:rPr>
            </w:pPr>
            <w:r w:rsidRPr="00F95196">
              <w:rPr>
                <w:rFonts w:ascii="Calibri" w:hAnsi="Calibri" w:cs="Calibri"/>
                <w:color w:val="000000"/>
                <w:sz w:val="22"/>
                <w:szCs w:val="22"/>
                <w:lang w:val="en-US"/>
              </w:rPr>
              <w:t>A.</w:t>
            </w:r>
          </w:p>
        </w:tc>
        <w:tc>
          <w:tcPr>
            <w:tcW w:w="2360" w:type="dxa"/>
            <w:tcBorders>
              <w:top w:val="nil"/>
              <w:left w:val="nil"/>
              <w:bottom w:val="single" w:sz="4" w:space="0" w:color="auto"/>
              <w:right w:val="single" w:sz="4" w:space="0" w:color="auto"/>
            </w:tcBorders>
            <w:vAlign w:val="center"/>
            <w:hideMark/>
          </w:tcPr>
          <w:p w14:paraId="0B713860" w14:textId="18BC0E55" w:rsidR="00F95196" w:rsidRPr="00BE6FF5" w:rsidRDefault="00F95196" w:rsidP="009E3AD8">
            <w:pPr>
              <w:spacing w:line="276" w:lineRule="auto"/>
              <w:rPr>
                <w:rFonts w:ascii="Calibri" w:hAnsi="Calibri" w:cs="Calibri"/>
                <w:i/>
                <w:iCs/>
                <w:color w:val="000000"/>
                <w:sz w:val="22"/>
                <w:szCs w:val="22"/>
                <w:lang w:val="pt-PT"/>
              </w:rPr>
            </w:pPr>
            <w:r w:rsidRPr="00BE6FF5">
              <w:rPr>
                <w:rFonts w:ascii="Calibri" w:hAnsi="Calibri" w:cs="Calibri"/>
                <w:i/>
                <w:iCs/>
                <w:color w:val="000000"/>
                <w:sz w:val="22"/>
                <w:szCs w:val="22"/>
                <w:lang w:val="pt-PT"/>
              </w:rPr>
              <w:t>Consiliul Superior al Magistraturii Ap.</w:t>
            </w:r>
            <w:r w:rsidR="00AA27EF" w:rsidRPr="00BE6FF5">
              <w:rPr>
                <w:rFonts w:ascii="Calibri" w:hAnsi="Calibri" w:cs="Calibri"/>
                <w:i/>
                <w:iCs/>
                <w:color w:val="000000"/>
                <w:sz w:val="22"/>
                <w:szCs w:val="22"/>
                <w:lang w:val="pt-PT"/>
              </w:rPr>
              <w:t xml:space="preserve"> </w:t>
            </w:r>
            <w:r w:rsidRPr="00BE6FF5">
              <w:rPr>
                <w:rFonts w:ascii="Calibri" w:hAnsi="Calibri" w:cs="Calibri"/>
                <w:i/>
                <w:iCs/>
                <w:color w:val="000000"/>
                <w:sz w:val="22"/>
                <w:szCs w:val="22"/>
                <w:lang w:val="pt-PT"/>
              </w:rPr>
              <w:t>propriu</w:t>
            </w:r>
          </w:p>
        </w:tc>
        <w:tc>
          <w:tcPr>
            <w:tcW w:w="1060" w:type="dxa"/>
            <w:tcBorders>
              <w:top w:val="nil"/>
              <w:left w:val="nil"/>
              <w:bottom w:val="single" w:sz="4" w:space="0" w:color="auto"/>
              <w:right w:val="single" w:sz="4" w:space="0" w:color="auto"/>
            </w:tcBorders>
            <w:vAlign w:val="center"/>
            <w:hideMark/>
          </w:tcPr>
          <w:p w14:paraId="118C63B7"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CA</w:t>
            </w:r>
          </w:p>
        </w:tc>
        <w:tc>
          <w:tcPr>
            <w:tcW w:w="1240" w:type="dxa"/>
            <w:tcBorders>
              <w:top w:val="nil"/>
              <w:left w:val="nil"/>
              <w:bottom w:val="single" w:sz="4" w:space="0" w:color="auto"/>
              <w:right w:val="single" w:sz="4" w:space="0" w:color="auto"/>
            </w:tcBorders>
            <w:vAlign w:val="center"/>
            <w:hideMark/>
          </w:tcPr>
          <w:p w14:paraId="51DA16BB"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143 169</w:t>
            </w:r>
          </w:p>
        </w:tc>
        <w:tc>
          <w:tcPr>
            <w:tcW w:w="1180" w:type="dxa"/>
            <w:tcBorders>
              <w:top w:val="nil"/>
              <w:left w:val="nil"/>
              <w:bottom w:val="single" w:sz="4" w:space="0" w:color="auto"/>
              <w:right w:val="single" w:sz="4" w:space="0" w:color="auto"/>
            </w:tcBorders>
            <w:vAlign w:val="center"/>
            <w:hideMark/>
          </w:tcPr>
          <w:p w14:paraId="36A6E711"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28 634</w:t>
            </w:r>
          </w:p>
        </w:tc>
        <w:tc>
          <w:tcPr>
            <w:tcW w:w="1220" w:type="dxa"/>
            <w:tcBorders>
              <w:top w:val="nil"/>
              <w:left w:val="nil"/>
              <w:bottom w:val="single" w:sz="4" w:space="0" w:color="auto"/>
              <w:right w:val="single" w:sz="4" w:space="0" w:color="auto"/>
            </w:tcBorders>
            <w:vAlign w:val="center"/>
            <w:hideMark/>
          </w:tcPr>
          <w:p w14:paraId="3BFB3691"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120 318</w:t>
            </w:r>
          </w:p>
        </w:tc>
        <w:tc>
          <w:tcPr>
            <w:tcW w:w="1120" w:type="dxa"/>
            <w:tcBorders>
              <w:top w:val="nil"/>
              <w:left w:val="nil"/>
              <w:bottom w:val="single" w:sz="4" w:space="0" w:color="auto"/>
              <w:right w:val="single" w:sz="4" w:space="0" w:color="auto"/>
            </w:tcBorders>
            <w:vAlign w:val="center"/>
            <w:hideMark/>
          </w:tcPr>
          <w:p w14:paraId="2F6925C7"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24 064</w:t>
            </w:r>
          </w:p>
        </w:tc>
        <w:tc>
          <w:tcPr>
            <w:tcW w:w="1220" w:type="dxa"/>
            <w:tcBorders>
              <w:top w:val="nil"/>
              <w:left w:val="nil"/>
              <w:bottom w:val="single" w:sz="4" w:space="0" w:color="auto"/>
              <w:right w:val="single" w:sz="4" w:space="0" w:color="auto"/>
            </w:tcBorders>
            <w:vAlign w:val="center"/>
            <w:hideMark/>
          </w:tcPr>
          <w:p w14:paraId="6FDB199C"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157 041</w:t>
            </w:r>
          </w:p>
        </w:tc>
        <w:tc>
          <w:tcPr>
            <w:tcW w:w="960" w:type="dxa"/>
            <w:tcBorders>
              <w:top w:val="nil"/>
              <w:left w:val="nil"/>
              <w:bottom w:val="single" w:sz="4" w:space="0" w:color="auto"/>
              <w:right w:val="single" w:sz="4" w:space="0" w:color="auto"/>
            </w:tcBorders>
            <w:vAlign w:val="center"/>
            <w:hideMark/>
          </w:tcPr>
          <w:p w14:paraId="4372591A"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28 553</w:t>
            </w:r>
          </w:p>
        </w:tc>
      </w:tr>
      <w:tr w:rsidR="00F95196" w:rsidRPr="00F95196" w14:paraId="6F671ECE" w14:textId="77777777" w:rsidTr="00BE6FF5">
        <w:trPr>
          <w:trHeight w:val="315"/>
        </w:trPr>
        <w:tc>
          <w:tcPr>
            <w:tcW w:w="460" w:type="dxa"/>
            <w:vMerge/>
            <w:tcBorders>
              <w:top w:val="nil"/>
              <w:left w:val="single" w:sz="4" w:space="0" w:color="auto"/>
              <w:bottom w:val="single" w:sz="4" w:space="0" w:color="000000"/>
              <w:right w:val="single" w:sz="4" w:space="0" w:color="auto"/>
            </w:tcBorders>
            <w:vAlign w:val="center"/>
            <w:hideMark/>
          </w:tcPr>
          <w:p w14:paraId="343D839B" w14:textId="77777777" w:rsidR="00F95196" w:rsidRPr="00F95196" w:rsidRDefault="00F95196" w:rsidP="009E3AD8">
            <w:pPr>
              <w:spacing w:line="276" w:lineRule="auto"/>
              <w:rPr>
                <w:rFonts w:ascii="Calibri" w:hAnsi="Calibri" w:cs="Calibri"/>
                <w:color w:val="000000"/>
                <w:sz w:val="22"/>
                <w:szCs w:val="22"/>
                <w:lang w:val="en-US"/>
              </w:rPr>
            </w:pPr>
          </w:p>
        </w:tc>
        <w:tc>
          <w:tcPr>
            <w:tcW w:w="2360" w:type="dxa"/>
            <w:tcBorders>
              <w:top w:val="nil"/>
              <w:left w:val="nil"/>
              <w:bottom w:val="single" w:sz="4" w:space="0" w:color="auto"/>
              <w:right w:val="single" w:sz="4" w:space="0" w:color="auto"/>
            </w:tcBorders>
            <w:vAlign w:val="center"/>
            <w:hideMark/>
          </w:tcPr>
          <w:p w14:paraId="36EEA501" w14:textId="77777777" w:rsidR="00F95196" w:rsidRPr="00F95196" w:rsidRDefault="00F95196" w:rsidP="009E3AD8">
            <w:pPr>
              <w:spacing w:line="276" w:lineRule="auto"/>
              <w:rPr>
                <w:rFonts w:ascii="Calibri" w:hAnsi="Calibri" w:cs="Calibri"/>
                <w:i/>
                <w:iCs/>
                <w:color w:val="000000"/>
                <w:sz w:val="22"/>
                <w:szCs w:val="22"/>
                <w:lang w:val="en-US"/>
              </w:rPr>
            </w:pPr>
            <w:r w:rsidRPr="00F95196">
              <w:rPr>
                <w:rFonts w:ascii="Calibri" w:hAnsi="Calibri" w:cs="Calibri"/>
                <w:i/>
                <w:iCs/>
                <w:color w:val="000000"/>
                <w:sz w:val="22"/>
                <w:szCs w:val="22"/>
                <w:lang w:val="en-US"/>
              </w:rPr>
              <w:t> </w:t>
            </w:r>
          </w:p>
        </w:tc>
        <w:tc>
          <w:tcPr>
            <w:tcW w:w="1060" w:type="dxa"/>
            <w:tcBorders>
              <w:top w:val="nil"/>
              <w:left w:val="nil"/>
              <w:bottom w:val="single" w:sz="4" w:space="0" w:color="auto"/>
              <w:right w:val="single" w:sz="4" w:space="0" w:color="auto"/>
            </w:tcBorders>
            <w:vAlign w:val="center"/>
            <w:hideMark/>
          </w:tcPr>
          <w:p w14:paraId="7C3CED14"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CB</w:t>
            </w:r>
          </w:p>
        </w:tc>
        <w:tc>
          <w:tcPr>
            <w:tcW w:w="1240" w:type="dxa"/>
            <w:tcBorders>
              <w:top w:val="nil"/>
              <w:left w:val="nil"/>
              <w:bottom w:val="single" w:sz="4" w:space="0" w:color="auto"/>
              <w:right w:val="single" w:sz="4" w:space="0" w:color="auto"/>
            </w:tcBorders>
            <w:vAlign w:val="center"/>
            <w:hideMark/>
          </w:tcPr>
          <w:p w14:paraId="486010AD"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143 009</w:t>
            </w:r>
          </w:p>
        </w:tc>
        <w:tc>
          <w:tcPr>
            <w:tcW w:w="1180" w:type="dxa"/>
            <w:tcBorders>
              <w:top w:val="nil"/>
              <w:left w:val="nil"/>
              <w:bottom w:val="single" w:sz="4" w:space="0" w:color="auto"/>
              <w:right w:val="single" w:sz="4" w:space="0" w:color="auto"/>
            </w:tcBorders>
            <w:vAlign w:val="center"/>
            <w:hideMark/>
          </w:tcPr>
          <w:p w14:paraId="286C92CB"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28 602</w:t>
            </w:r>
          </w:p>
        </w:tc>
        <w:tc>
          <w:tcPr>
            <w:tcW w:w="1220" w:type="dxa"/>
            <w:tcBorders>
              <w:top w:val="nil"/>
              <w:left w:val="nil"/>
              <w:bottom w:val="single" w:sz="4" w:space="0" w:color="auto"/>
              <w:right w:val="single" w:sz="4" w:space="0" w:color="auto"/>
            </w:tcBorders>
            <w:vAlign w:val="center"/>
            <w:hideMark/>
          </w:tcPr>
          <w:p w14:paraId="68483655"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117 681</w:t>
            </w:r>
          </w:p>
        </w:tc>
        <w:tc>
          <w:tcPr>
            <w:tcW w:w="1120" w:type="dxa"/>
            <w:tcBorders>
              <w:top w:val="nil"/>
              <w:left w:val="nil"/>
              <w:bottom w:val="single" w:sz="4" w:space="0" w:color="auto"/>
              <w:right w:val="single" w:sz="4" w:space="0" w:color="auto"/>
            </w:tcBorders>
            <w:vAlign w:val="center"/>
            <w:hideMark/>
          </w:tcPr>
          <w:p w14:paraId="35594ABF"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23 536</w:t>
            </w:r>
          </w:p>
        </w:tc>
        <w:tc>
          <w:tcPr>
            <w:tcW w:w="1220" w:type="dxa"/>
            <w:tcBorders>
              <w:top w:val="nil"/>
              <w:left w:val="nil"/>
              <w:bottom w:val="single" w:sz="4" w:space="0" w:color="auto"/>
              <w:right w:val="single" w:sz="4" w:space="0" w:color="auto"/>
            </w:tcBorders>
            <w:vAlign w:val="center"/>
            <w:hideMark/>
          </w:tcPr>
          <w:p w14:paraId="3D95627F"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149 708</w:t>
            </w:r>
          </w:p>
        </w:tc>
        <w:tc>
          <w:tcPr>
            <w:tcW w:w="960" w:type="dxa"/>
            <w:tcBorders>
              <w:top w:val="nil"/>
              <w:left w:val="nil"/>
              <w:bottom w:val="single" w:sz="4" w:space="0" w:color="auto"/>
              <w:right w:val="single" w:sz="4" w:space="0" w:color="auto"/>
            </w:tcBorders>
            <w:vAlign w:val="center"/>
            <w:hideMark/>
          </w:tcPr>
          <w:p w14:paraId="26F06533"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27 220</w:t>
            </w:r>
          </w:p>
        </w:tc>
      </w:tr>
      <w:tr w:rsidR="00F95196" w:rsidRPr="00F95196" w14:paraId="0DE30D05" w14:textId="77777777" w:rsidTr="00BE6FF5">
        <w:trPr>
          <w:trHeight w:val="285"/>
        </w:trPr>
        <w:tc>
          <w:tcPr>
            <w:tcW w:w="460" w:type="dxa"/>
            <w:vMerge/>
            <w:tcBorders>
              <w:top w:val="nil"/>
              <w:left w:val="single" w:sz="4" w:space="0" w:color="auto"/>
              <w:bottom w:val="single" w:sz="4" w:space="0" w:color="000000"/>
              <w:right w:val="single" w:sz="4" w:space="0" w:color="auto"/>
            </w:tcBorders>
            <w:vAlign w:val="center"/>
            <w:hideMark/>
          </w:tcPr>
          <w:p w14:paraId="6215B766" w14:textId="77777777" w:rsidR="00F95196" w:rsidRPr="00F95196" w:rsidRDefault="00F95196" w:rsidP="009E3AD8">
            <w:pPr>
              <w:spacing w:line="276" w:lineRule="auto"/>
              <w:rPr>
                <w:rFonts w:ascii="Calibri" w:hAnsi="Calibri" w:cs="Calibri"/>
                <w:color w:val="000000"/>
                <w:sz w:val="22"/>
                <w:szCs w:val="22"/>
                <w:lang w:val="en-US"/>
              </w:rPr>
            </w:pPr>
          </w:p>
        </w:tc>
        <w:tc>
          <w:tcPr>
            <w:tcW w:w="2360" w:type="dxa"/>
            <w:vMerge w:val="restart"/>
            <w:tcBorders>
              <w:top w:val="nil"/>
              <w:left w:val="single" w:sz="4" w:space="0" w:color="auto"/>
              <w:bottom w:val="single" w:sz="4" w:space="0" w:color="000000"/>
              <w:right w:val="single" w:sz="4" w:space="0" w:color="auto"/>
            </w:tcBorders>
            <w:vAlign w:val="center"/>
            <w:hideMark/>
          </w:tcPr>
          <w:p w14:paraId="7629B9EA" w14:textId="77777777" w:rsidR="00F95196" w:rsidRPr="00F95196" w:rsidRDefault="00F95196" w:rsidP="009E3AD8">
            <w:pPr>
              <w:spacing w:line="276" w:lineRule="auto"/>
              <w:rPr>
                <w:rFonts w:ascii="Calibri" w:hAnsi="Calibri" w:cs="Calibri"/>
                <w:color w:val="000000"/>
                <w:sz w:val="22"/>
                <w:szCs w:val="22"/>
                <w:lang w:val="en-US"/>
              </w:rPr>
            </w:pPr>
            <w:proofErr w:type="spellStart"/>
            <w:r w:rsidRPr="00F95196">
              <w:rPr>
                <w:rFonts w:ascii="Calibri" w:hAnsi="Calibri" w:cs="Calibri"/>
                <w:color w:val="000000"/>
                <w:sz w:val="22"/>
                <w:szCs w:val="22"/>
                <w:lang w:val="en-US"/>
              </w:rPr>
              <w:t>Pondere</w:t>
            </w:r>
            <w:proofErr w:type="spellEnd"/>
            <w:r w:rsidRPr="00F95196">
              <w:rPr>
                <w:rFonts w:ascii="Calibri" w:hAnsi="Calibri" w:cs="Calibri"/>
                <w:color w:val="000000"/>
                <w:sz w:val="22"/>
                <w:szCs w:val="22"/>
                <w:lang w:val="en-US"/>
              </w:rPr>
              <w:t xml:space="preserve"> %</w:t>
            </w:r>
          </w:p>
        </w:tc>
        <w:tc>
          <w:tcPr>
            <w:tcW w:w="1060" w:type="dxa"/>
            <w:tcBorders>
              <w:top w:val="nil"/>
              <w:left w:val="nil"/>
              <w:bottom w:val="single" w:sz="4" w:space="0" w:color="auto"/>
              <w:right w:val="single" w:sz="4" w:space="0" w:color="auto"/>
            </w:tcBorders>
            <w:vAlign w:val="center"/>
            <w:hideMark/>
          </w:tcPr>
          <w:p w14:paraId="39CE3B7F"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CA</w:t>
            </w:r>
          </w:p>
        </w:tc>
        <w:tc>
          <w:tcPr>
            <w:tcW w:w="2420" w:type="dxa"/>
            <w:gridSpan w:val="2"/>
            <w:tcBorders>
              <w:top w:val="single" w:sz="4" w:space="0" w:color="auto"/>
              <w:left w:val="nil"/>
              <w:bottom w:val="single" w:sz="4" w:space="0" w:color="auto"/>
              <w:right w:val="single" w:sz="4" w:space="0" w:color="000000"/>
            </w:tcBorders>
            <w:vAlign w:val="center"/>
            <w:hideMark/>
          </w:tcPr>
          <w:p w14:paraId="37CD49C9"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44.81%</w:t>
            </w:r>
          </w:p>
        </w:tc>
        <w:tc>
          <w:tcPr>
            <w:tcW w:w="2340" w:type="dxa"/>
            <w:gridSpan w:val="2"/>
            <w:tcBorders>
              <w:top w:val="single" w:sz="4" w:space="0" w:color="auto"/>
              <w:left w:val="nil"/>
              <w:bottom w:val="single" w:sz="4" w:space="0" w:color="auto"/>
              <w:right w:val="single" w:sz="4" w:space="0" w:color="000000"/>
            </w:tcBorders>
            <w:vAlign w:val="center"/>
            <w:hideMark/>
          </w:tcPr>
          <w:p w14:paraId="599464E8"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42.81%</w:t>
            </w:r>
          </w:p>
        </w:tc>
        <w:tc>
          <w:tcPr>
            <w:tcW w:w="2180" w:type="dxa"/>
            <w:gridSpan w:val="2"/>
            <w:tcBorders>
              <w:top w:val="single" w:sz="4" w:space="0" w:color="auto"/>
              <w:left w:val="nil"/>
              <w:bottom w:val="single" w:sz="4" w:space="0" w:color="auto"/>
              <w:right w:val="single" w:sz="4" w:space="0" w:color="000000"/>
            </w:tcBorders>
            <w:vAlign w:val="center"/>
            <w:hideMark/>
          </w:tcPr>
          <w:p w14:paraId="2CEFFDA9"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37.27%</w:t>
            </w:r>
          </w:p>
        </w:tc>
      </w:tr>
      <w:tr w:rsidR="00F95196" w:rsidRPr="00F95196" w14:paraId="3AE56EC9" w14:textId="77777777" w:rsidTr="00BE6FF5">
        <w:trPr>
          <w:trHeight w:val="300"/>
        </w:trPr>
        <w:tc>
          <w:tcPr>
            <w:tcW w:w="460" w:type="dxa"/>
            <w:vMerge/>
            <w:tcBorders>
              <w:top w:val="nil"/>
              <w:left w:val="single" w:sz="4" w:space="0" w:color="auto"/>
              <w:bottom w:val="single" w:sz="4" w:space="0" w:color="000000"/>
              <w:right w:val="single" w:sz="4" w:space="0" w:color="auto"/>
            </w:tcBorders>
            <w:vAlign w:val="center"/>
            <w:hideMark/>
          </w:tcPr>
          <w:p w14:paraId="5A773D60" w14:textId="77777777" w:rsidR="00F95196" w:rsidRPr="00F95196" w:rsidRDefault="00F95196" w:rsidP="009E3AD8">
            <w:pPr>
              <w:spacing w:line="276" w:lineRule="auto"/>
              <w:rPr>
                <w:rFonts w:ascii="Calibri" w:hAnsi="Calibri" w:cs="Calibri"/>
                <w:color w:val="000000"/>
                <w:sz w:val="22"/>
                <w:szCs w:val="22"/>
                <w:lang w:val="en-US"/>
              </w:rPr>
            </w:pPr>
          </w:p>
        </w:tc>
        <w:tc>
          <w:tcPr>
            <w:tcW w:w="2360" w:type="dxa"/>
            <w:vMerge/>
            <w:tcBorders>
              <w:top w:val="nil"/>
              <w:left w:val="single" w:sz="4" w:space="0" w:color="auto"/>
              <w:bottom w:val="single" w:sz="4" w:space="0" w:color="000000"/>
              <w:right w:val="single" w:sz="4" w:space="0" w:color="auto"/>
            </w:tcBorders>
            <w:vAlign w:val="center"/>
            <w:hideMark/>
          </w:tcPr>
          <w:p w14:paraId="2B7A6D6F" w14:textId="77777777" w:rsidR="00F95196" w:rsidRPr="00F95196" w:rsidRDefault="00F95196" w:rsidP="009E3AD8">
            <w:pPr>
              <w:spacing w:line="276" w:lineRule="auto"/>
              <w:rPr>
                <w:rFonts w:ascii="Calibri" w:hAnsi="Calibri" w:cs="Calibri"/>
                <w:color w:val="000000"/>
                <w:sz w:val="22"/>
                <w:szCs w:val="22"/>
                <w:lang w:val="en-US"/>
              </w:rPr>
            </w:pPr>
          </w:p>
        </w:tc>
        <w:tc>
          <w:tcPr>
            <w:tcW w:w="1060" w:type="dxa"/>
            <w:tcBorders>
              <w:top w:val="nil"/>
              <w:left w:val="nil"/>
              <w:bottom w:val="single" w:sz="4" w:space="0" w:color="auto"/>
              <w:right w:val="single" w:sz="4" w:space="0" w:color="auto"/>
            </w:tcBorders>
            <w:vAlign w:val="center"/>
            <w:hideMark/>
          </w:tcPr>
          <w:p w14:paraId="12C501D6"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CB</w:t>
            </w:r>
          </w:p>
        </w:tc>
        <w:tc>
          <w:tcPr>
            <w:tcW w:w="2420" w:type="dxa"/>
            <w:gridSpan w:val="2"/>
            <w:tcBorders>
              <w:top w:val="single" w:sz="4" w:space="0" w:color="auto"/>
              <w:left w:val="nil"/>
              <w:bottom w:val="single" w:sz="4" w:space="0" w:color="auto"/>
              <w:right w:val="single" w:sz="4" w:space="0" w:color="000000"/>
            </w:tcBorders>
            <w:vAlign w:val="center"/>
            <w:hideMark/>
          </w:tcPr>
          <w:p w14:paraId="2AE41F4C"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45.01%</w:t>
            </w:r>
          </w:p>
        </w:tc>
        <w:tc>
          <w:tcPr>
            <w:tcW w:w="2340" w:type="dxa"/>
            <w:gridSpan w:val="2"/>
            <w:tcBorders>
              <w:top w:val="single" w:sz="4" w:space="0" w:color="auto"/>
              <w:left w:val="nil"/>
              <w:bottom w:val="single" w:sz="4" w:space="0" w:color="auto"/>
              <w:right w:val="single" w:sz="4" w:space="0" w:color="000000"/>
            </w:tcBorders>
            <w:vAlign w:val="center"/>
            <w:hideMark/>
          </w:tcPr>
          <w:p w14:paraId="0C917510"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42.61%</w:t>
            </w:r>
          </w:p>
        </w:tc>
        <w:tc>
          <w:tcPr>
            <w:tcW w:w="2180" w:type="dxa"/>
            <w:gridSpan w:val="2"/>
            <w:tcBorders>
              <w:top w:val="single" w:sz="4" w:space="0" w:color="auto"/>
              <w:left w:val="nil"/>
              <w:bottom w:val="single" w:sz="4" w:space="0" w:color="auto"/>
              <w:right w:val="single" w:sz="4" w:space="0" w:color="000000"/>
            </w:tcBorders>
            <w:vAlign w:val="center"/>
            <w:hideMark/>
          </w:tcPr>
          <w:p w14:paraId="4344A11B"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36.19%</w:t>
            </w:r>
          </w:p>
        </w:tc>
      </w:tr>
      <w:tr w:rsidR="00F95196" w:rsidRPr="00F95196" w14:paraId="4C6AA5EB" w14:textId="77777777" w:rsidTr="00BE6FF5">
        <w:trPr>
          <w:trHeight w:val="540"/>
        </w:trPr>
        <w:tc>
          <w:tcPr>
            <w:tcW w:w="460"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0ED7F707" w14:textId="77777777" w:rsidR="00F95196" w:rsidRPr="00F95196" w:rsidRDefault="00F95196" w:rsidP="009E3AD8">
            <w:pPr>
              <w:spacing w:line="276" w:lineRule="auto"/>
              <w:jc w:val="center"/>
              <w:rPr>
                <w:rFonts w:ascii="Calibri" w:hAnsi="Calibri" w:cs="Calibri"/>
                <w:color w:val="000000"/>
                <w:sz w:val="22"/>
                <w:szCs w:val="22"/>
                <w:lang w:val="en-US"/>
              </w:rPr>
            </w:pPr>
            <w:r w:rsidRPr="00F95196">
              <w:rPr>
                <w:rFonts w:ascii="Calibri" w:hAnsi="Calibri" w:cs="Calibri"/>
                <w:color w:val="000000"/>
                <w:sz w:val="22"/>
                <w:szCs w:val="22"/>
                <w:lang w:val="en-US"/>
              </w:rPr>
              <w:t>B.</w:t>
            </w:r>
          </w:p>
        </w:tc>
        <w:tc>
          <w:tcPr>
            <w:tcW w:w="2360" w:type="dxa"/>
            <w:tcBorders>
              <w:top w:val="nil"/>
              <w:left w:val="nil"/>
              <w:bottom w:val="single" w:sz="4" w:space="0" w:color="auto"/>
              <w:right w:val="single" w:sz="4" w:space="0" w:color="auto"/>
            </w:tcBorders>
            <w:vAlign w:val="center"/>
            <w:hideMark/>
          </w:tcPr>
          <w:p w14:paraId="0E2C9180" w14:textId="39DE4467" w:rsidR="00F95196" w:rsidRPr="00F95196" w:rsidRDefault="00F95196" w:rsidP="009E3AD8">
            <w:pPr>
              <w:spacing w:line="276" w:lineRule="auto"/>
              <w:rPr>
                <w:rFonts w:ascii="Calibri" w:hAnsi="Calibri" w:cs="Calibri"/>
                <w:i/>
                <w:iCs/>
                <w:color w:val="000000"/>
                <w:sz w:val="22"/>
                <w:szCs w:val="22"/>
                <w:lang w:val="en-US"/>
              </w:rPr>
            </w:pPr>
            <w:proofErr w:type="spellStart"/>
            <w:r w:rsidRPr="00F95196">
              <w:rPr>
                <w:rFonts w:ascii="Calibri" w:hAnsi="Calibri" w:cs="Calibri"/>
                <w:i/>
                <w:iCs/>
                <w:color w:val="000000"/>
                <w:sz w:val="22"/>
                <w:szCs w:val="22"/>
                <w:lang w:val="en-US"/>
              </w:rPr>
              <w:t>Inspec</w:t>
            </w:r>
            <w:r w:rsidR="00761955">
              <w:rPr>
                <w:rFonts w:ascii="Calibri" w:hAnsi="Calibri" w:cs="Calibri"/>
                <w:i/>
                <w:iCs/>
                <w:color w:val="000000"/>
                <w:sz w:val="22"/>
                <w:szCs w:val="22"/>
                <w:lang w:val="en-US"/>
              </w:rPr>
              <w:t>ț</w:t>
            </w:r>
            <w:r w:rsidRPr="00F95196">
              <w:rPr>
                <w:rFonts w:ascii="Calibri" w:hAnsi="Calibri" w:cs="Calibri"/>
                <w:i/>
                <w:iCs/>
                <w:color w:val="000000"/>
                <w:sz w:val="22"/>
                <w:szCs w:val="22"/>
                <w:lang w:val="en-US"/>
              </w:rPr>
              <w:t>ia</w:t>
            </w:r>
            <w:proofErr w:type="spellEnd"/>
            <w:r w:rsidRPr="00F95196">
              <w:rPr>
                <w:rFonts w:ascii="Calibri" w:hAnsi="Calibri" w:cs="Calibri"/>
                <w:i/>
                <w:iCs/>
                <w:color w:val="000000"/>
                <w:sz w:val="22"/>
                <w:szCs w:val="22"/>
                <w:lang w:val="en-US"/>
              </w:rPr>
              <w:t xml:space="preserve"> </w:t>
            </w:r>
            <w:proofErr w:type="spellStart"/>
            <w:r w:rsidRPr="00F95196">
              <w:rPr>
                <w:rFonts w:ascii="Calibri" w:hAnsi="Calibri" w:cs="Calibri"/>
                <w:i/>
                <w:iCs/>
                <w:color w:val="000000"/>
                <w:sz w:val="22"/>
                <w:szCs w:val="22"/>
                <w:lang w:val="en-US"/>
              </w:rPr>
              <w:t>Judiciar</w:t>
            </w:r>
            <w:r w:rsidR="00761955">
              <w:rPr>
                <w:rFonts w:ascii="Calibri" w:hAnsi="Calibri" w:cs="Calibri"/>
                <w:i/>
                <w:iCs/>
                <w:color w:val="000000"/>
                <w:sz w:val="22"/>
                <w:szCs w:val="22"/>
                <w:lang w:val="en-US"/>
              </w:rPr>
              <w:t>ă</w:t>
            </w:r>
            <w:proofErr w:type="spellEnd"/>
          </w:p>
        </w:tc>
        <w:tc>
          <w:tcPr>
            <w:tcW w:w="1060" w:type="dxa"/>
            <w:tcBorders>
              <w:top w:val="nil"/>
              <w:left w:val="nil"/>
              <w:bottom w:val="single" w:sz="4" w:space="0" w:color="auto"/>
              <w:right w:val="single" w:sz="4" w:space="0" w:color="auto"/>
            </w:tcBorders>
            <w:vAlign w:val="center"/>
            <w:hideMark/>
          </w:tcPr>
          <w:p w14:paraId="5ED699B0"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CA</w:t>
            </w:r>
          </w:p>
        </w:tc>
        <w:tc>
          <w:tcPr>
            <w:tcW w:w="1240" w:type="dxa"/>
            <w:tcBorders>
              <w:top w:val="nil"/>
              <w:left w:val="nil"/>
              <w:bottom w:val="single" w:sz="4" w:space="0" w:color="auto"/>
              <w:right w:val="single" w:sz="4" w:space="0" w:color="auto"/>
            </w:tcBorders>
            <w:vAlign w:val="center"/>
            <w:hideMark/>
          </w:tcPr>
          <w:p w14:paraId="69D2EBFF"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52 679</w:t>
            </w:r>
          </w:p>
        </w:tc>
        <w:tc>
          <w:tcPr>
            <w:tcW w:w="1180" w:type="dxa"/>
            <w:tcBorders>
              <w:top w:val="nil"/>
              <w:left w:val="nil"/>
              <w:bottom w:val="single" w:sz="4" w:space="0" w:color="auto"/>
              <w:right w:val="single" w:sz="4" w:space="0" w:color="auto"/>
            </w:tcBorders>
            <w:vAlign w:val="center"/>
            <w:hideMark/>
          </w:tcPr>
          <w:p w14:paraId="5BB48787"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10 536</w:t>
            </w:r>
          </w:p>
        </w:tc>
        <w:tc>
          <w:tcPr>
            <w:tcW w:w="1220" w:type="dxa"/>
            <w:tcBorders>
              <w:top w:val="nil"/>
              <w:left w:val="nil"/>
              <w:bottom w:val="single" w:sz="4" w:space="0" w:color="auto"/>
              <w:right w:val="single" w:sz="4" w:space="0" w:color="auto"/>
            </w:tcBorders>
            <w:vAlign w:val="center"/>
            <w:hideMark/>
          </w:tcPr>
          <w:p w14:paraId="37C0237B"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44 258</w:t>
            </w:r>
          </w:p>
        </w:tc>
        <w:tc>
          <w:tcPr>
            <w:tcW w:w="1120" w:type="dxa"/>
            <w:tcBorders>
              <w:top w:val="nil"/>
              <w:left w:val="nil"/>
              <w:bottom w:val="single" w:sz="4" w:space="0" w:color="auto"/>
              <w:right w:val="single" w:sz="4" w:space="0" w:color="auto"/>
            </w:tcBorders>
            <w:vAlign w:val="center"/>
            <w:hideMark/>
          </w:tcPr>
          <w:p w14:paraId="611DEC90"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8 852</w:t>
            </w:r>
          </w:p>
        </w:tc>
        <w:tc>
          <w:tcPr>
            <w:tcW w:w="1220" w:type="dxa"/>
            <w:tcBorders>
              <w:top w:val="nil"/>
              <w:left w:val="nil"/>
              <w:bottom w:val="single" w:sz="4" w:space="0" w:color="auto"/>
              <w:right w:val="single" w:sz="4" w:space="0" w:color="auto"/>
            </w:tcBorders>
            <w:vAlign w:val="center"/>
            <w:hideMark/>
          </w:tcPr>
          <w:p w14:paraId="54094A12"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76 276</w:t>
            </w:r>
          </w:p>
        </w:tc>
        <w:tc>
          <w:tcPr>
            <w:tcW w:w="960" w:type="dxa"/>
            <w:tcBorders>
              <w:top w:val="nil"/>
              <w:left w:val="nil"/>
              <w:bottom w:val="single" w:sz="4" w:space="0" w:color="auto"/>
              <w:right w:val="single" w:sz="4" w:space="0" w:color="auto"/>
            </w:tcBorders>
            <w:vAlign w:val="center"/>
            <w:hideMark/>
          </w:tcPr>
          <w:p w14:paraId="036B74C0"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13 868</w:t>
            </w:r>
          </w:p>
        </w:tc>
      </w:tr>
      <w:tr w:rsidR="00F95196" w:rsidRPr="00F95196" w14:paraId="31FCD723" w14:textId="77777777" w:rsidTr="00BE6FF5">
        <w:trPr>
          <w:trHeight w:val="315"/>
        </w:trPr>
        <w:tc>
          <w:tcPr>
            <w:tcW w:w="460" w:type="dxa"/>
            <w:vMerge/>
            <w:tcBorders>
              <w:top w:val="nil"/>
              <w:left w:val="single" w:sz="4" w:space="0" w:color="auto"/>
              <w:bottom w:val="single" w:sz="4" w:space="0" w:color="000000"/>
              <w:right w:val="single" w:sz="4" w:space="0" w:color="auto"/>
            </w:tcBorders>
            <w:vAlign w:val="center"/>
            <w:hideMark/>
          </w:tcPr>
          <w:p w14:paraId="326BFCBE" w14:textId="77777777" w:rsidR="00F95196" w:rsidRPr="00F95196" w:rsidRDefault="00F95196" w:rsidP="009E3AD8">
            <w:pPr>
              <w:spacing w:line="276" w:lineRule="auto"/>
              <w:rPr>
                <w:rFonts w:ascii="Calibri" w:hAnsi="Calibri" w:cs="Calibri"/>
                <w:color w:val="000000"/>
                <w:sz w:val="22"/>
                <w:szCs w:val="22"/>
                <w:lang w:val="en-US"/>
              </w:rPr>
            </w:pPr>
          </w:p>
        </w:tc>
        <w:tc>
          <w:tcPr>
            <w:tcW w:w="2360" w:type="dxa"/>
            <w:tcBorders>
              <w:top w:val="nil"/>
              <w:left w:val="nil"/>
              <w:bottom w:val="single" w:sz="4" w:space="0" w:color="auto"/>
              <w:right w:val="single" w:sz="4" w:space="0" w:color="auto"/>
            </w:tcBorders>
            <w:vAlign w:val="center"/>
            <w:hideMark/>
          </w:tcPr>
          <w:p w14:paraId="73CBCCBA" w14:textId="77777777" w:rsidR="00F95196" w:rsidRPr="00F95196" w:rsidRDefault="00F95196" w:rsidP="009E3AD8">
            <w:pPr>
              <w:spacing w:line="276" w:lineRule="auto"/>
              <w:rPr>
                <w:rFonts w:ascii="Calibri" w:hAnsi="Calibri" w:cs="Calibri"/>
                <w:i/>
                <w:iCs/>
                <w:color w:val="000000"/>
                <w:sz w:val="22"/>
                <w:szCs w:val="22"/>
                <w:lang w:val="en-US"/>
              </w:rPr>
            </w:pPr>
            <w:r w:rsidRPr="00F95196">
              <w:rPr>
                <w:rFonts w:ascii="Calibri" w:hAnsi="Calibri" w:cs="Calibri"/>
                <w:i/>
                <w:iCs/>
                <w:color w:val="000000"/>
                <w:sz w:val="22"/>
                <w:szCs w:val="22"/>
                <w:lang w:val="en-US"/>
              </w:rPr>
              <w:t> </w:t>
            </w:r>
          </w:p>
        </w:tc>
        <w:tc>
          <w:tcPr>
            <w:tcW w:w="1060" w:type="dxa"/>
            <w:tcBorders>
              <w:top w:val="nil"/>
              <w:left w:val="nil"/>
              <w:bottom w:val="single" w:sz="4" w:space="0" w:color="auto"/>
              <w:right w:val="single" w:sz="4" w:space="0" w:color="auto"/>
            </w:tcBorders>
            <w:vAlign w:val="center"/>
            <w:hideMark/>
          </w:tcPr>
          <w:p w14:paraId="6C79F540"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CB</w:t>
            </w:r>
          </w:p>
        </w:tc>
        <w:tc>
          <w:tcPr>
            <w:tcW w:w="1240" w:type="dxa"/>
            <w:tcBorders>
              <w:top w:val="nil"/>
              <w:left w:val="nil"/>
              <w:bottom w:val="single" w:sz="4" w:space="0" w:color="auto"/>
              <w:right w:val="single" w:sz="4" w:space="0" w:color="auto"/>
            </w:tcBorders>
            <w:vAlign w:val="center"/>
            <w:hideMark/>
          </w:tcPr>
          <w:p w14:paraId="1DC297DB"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52 355</w:t>
            </w:r>
          </w:p>
        </w:tc>
        <w:tc>
          <w:tcPr>
            <w:tcW w:w="1180" w:type="dxa"/>
            <w:tcBorders>
              <w:top w:val="nil"/>
              <w:left w:val="nil"/>
              <w:bottom w:val="single" w:sz="4" w:space="0" w:color="auto"/>
              <w:right w:val="single" w:sz="4" w:space="0" w:color="auto"/>
            </w:tcBorders>
            <w:vAlign w:val="center"/>
            <w:hideMark/>
          </w:tcPr>
          <w:p w14:paraId="4D486CEC"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10 471</w:t>
            </w:r>
          </w:p>
        </w:tc>
        <w:tc>
          <w:tcPr>
            <w:tcW w:w="1220" w:type="dxa"/>
            <w:tcBorders>
              <w:top w:val="nil"/>
              <w:left w:val="nil"/>
              <w:bottom w:val="single" w:sz="4" w:space="0" w:color="auto"/>
              <w:right w:val="single" w:sz="4" w:space="0" w:color="auto"/>
            </w:tcBorders>
            <w:vAlign w:val="center"/>
            <w:hideMark/>
          </w:tcPr>
          <w:p w14:paraId="6E8774B2"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44 258</w:t>
            </w:r>
          </w:p>
        </w:tc>
        <w:tc>
          <w:tcPr>
            <w:tcW w:w="1120" w:type="dxa"/>
            <w:tcBorders>
              <w:top w:val="nil"/>
              <w:left w:val="nil"/>
              <w:bottom w:val="single" w:sz="4" w:space="0" w:color="auto"/>
              <w:right w:val="single" w:sz="4" w:space="0" w:color="auto"/>
            </w:tcBorders>
            <w:vAlign w:val="center"/>
            <w:hideMark/>
          </w:tcPr>
          <w:p w14:paraId="5D94BE22"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8 852</w:t>
            </w:r>
          </w:p>
        </w:tc>
        <w:tc>
          <w:tcPr>
            <w:tcW w:w="1220" w:type="dxa"/>
            <w:tcBorders>
              <w:top w:val="nil"/>
              <w:left w:val="nil"/>
              <w:bottom w:val="single" w:sz="4" w:space="0" w:color="auto"/>
              <w:right w:val="single" w:sz="4" w:space="0" w:color="auto"/>
            </w:tcBorders>
            <w:vAlign w:val="center"/>
            <w:hideMark/>
          </w:tcPr>
          <w:p w14:paraId="2E4F06BA"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76 276</w:t>
            </w:r>
          </w:p>
        </w:tc>
        <w:tc>
          <w:tcPr>
            <w:tcW w:w="960" w:type="dxa"/>
            <w:tcBorders>
              <w:top w:val="nil"/>
              <w:left w:val="nil"/>
              <w:bottom w:val="single" w:sz="4" w:space="0" w:color="auto"/>
              <w:right w:val="single" w:sz="4" w:space="0" w:color="auto"/>
            </w:tcBorders>
            <w:vAlign w:val="center"/>
            <w:hideMark/>
          </w:tcPr>
          <w:p w14:paraId="28C1E863"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13 868</w:t>
            </w:r>
          </w:p>
        </w:tc>
      </w:tr>
      <w:tr w:rsidR="00F95196" w:rsidRPr="00F95196" w14:paraId="127690D6" w14:textId="77777777" w:rsidTr="00BE6FF5">
        <w:trPr>
          <w:trHeight w:val="285"/>
        </w:trPr>
        <w:tc>
          <w:tcPr>
            <w:tcW w:w="460" w:type="dxa"/>
            <w:vMerge/>
            <w:tcBorders>
              <w:top w:val="nil"/>
              <w:left w:val="single" w:sz="4" w:space="0" w:color="auto"/>
              <w:bottom w:val="single" w:sz="4" w:space="0" w:color="000000"/>
              <w:right w:val="single" w:sz="4" w:space="0" w:color="auto"/>
            </w:tcBorders>
            <w:vAlign w:val="center"/>
            <w:hideMark/>
          </w:tcPr>
          <w:p w14:paraId="4BD623E5" w14:textId="77777777" w:rsidR="00F95196" w:rsidRPr="00F95196" w:rsidRDefault="00F95196" w:rsidP="009E3AD8">
            <w:pPr>
              <w:spacing w:line="276" w:lineRule="auto"/>
              <w:rPr>
                <w:rFonts w:ascii="Calibri" w:hAnsi="Calibri" w:cs="Calibri"/>
                <w:color w:val="000000"/>
                <w:sz w:val="22"/>
                <w:szCs w:val="22"/>
                <w:lang w:val="en-US"/>
              </w:rPr>
            </w:pPr>
          </w:p>
        </w:tc>
        <w:tc>
          <w:tcPr>
            <w:tcW w:w="2360" w:type="dxa"/>
            <w:vMerge w:val="restart"/>
            <w:tcBorders>
              <w:top w:val="nil"/>
              <w:left w:val="single" w:sz="4" w:space="0" w:color="auto"/>
              <w:bottom w:val="single" w:sz="4" w:space="0" w:color="000000"/>
              <w:right w:val="single" w:sz="4" w:space="0" w:color="auto"/>
            </w:tcBorders>
            <w:vAlign w:val="center"/>
            <w:hideMark/>
          </w:tcPr>
          <w:p w14:paraId="712BDB49" w14:textId="77777777" w:rsidR="00F95196" w:rsidRPr="00F95196" w:rsidRDefault="00F95196" w:rsidP="009E3AD8">
            <w:pPr>
              <w:spacing w:line="276" w:lineRule="auto"/>
              <w:rPr>
                <w:rFonts w:ascii="Calibri" w:hAnsi="Calibri" w:cs="Calibri"/>
                <w:color w:val="000000"/>
                <w:sz w:val="22"/>
                <w:szCs w:val="22"/>
                <w:lang w:val="en-US"/>
              </w:rPr>
            </w:pPr>
            <w:proofErr w:type="spellStart"/>
            <w:r w:rsidRPr="00F95196">
              <w:rPr>
                <w:rFonts w:ascii="Calibri" w:hAnsi="Calibri" w:cs="Calibri"/>
                <w:color w:val="000000"/>
                <w:sz w:val="22"/>
                <w:szCs w:val="22"/>
                <w:lang w:val="en-US"/>
              </w:rPr>
              <w:t>Pondere</w:t>
            </w:r>
            <w:proofErr w:type="spellEnd"/>
            <w:r w:rsidRPr="00F95196">
              <w:rPr>
                <w:rFonts w:ascii="Calibri" w:hAnsi="Calibri" w:cs="Calibri"/>
                <w:color w:val="000000"/>
                <w:sz w:val="22"/>
                <w:szCs w:val="22"/>
                <w:lang w:val="en-US"/>
              </w:rPr>
              <w:t xml:space="preserve"> %</w:t>
            </w:r>
          </w:p>
        </w:tc>
        <w:tc>
          <w:tcPr>
            <w:tcW w:w="1060" w:type="dxa"/>
            <w:tcBorders>
              <w:top w:val="nil"/>
              <w:left w:val="nil"/>
              <w:bottom w:val="single" w:sz="4" w:space="0" w:color="auto"/>
              <w:right w:val="single" w:sz="4" w:space="0" w:color="auto"/>
            </w:tcBorders>
            <w:vAlign w:val="center"/>
            <w:hideMark/>
          </w:tcPr>
          <w:p w14:paraId="3A886A38"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CA</w:t>
            </w:r>
          </w:p>
        </w:tc>
        <w:tc>
          <w:tcPr>
            <w:tcW w:w="2420" w:type="dxa"/>
            <w:gridSpan w:val="2"/>
            <w:tcBorders>
              <w:top w:val="single" w:sz="4" w:space="0" w:color="auto"/>
              <w:left w:val="nil"/>
              <w:bottom w:val="single" w:sz="4" w:space="0" w:color="auto"/>
              <w:right w:val="single" w:sz="4" w:space="0" w:color="000000"/>
            </w:tcBorders>
            <w:vAlign w:val="center"/>
            <w:hideMark/>
          </w:tcPr>
          <w:p w14:paraId="1E5FB2FF"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16.49%</w:t>
            </w:r>
          </w:p>
        </w:tc>
        <w:tc>
          <w:tcPr>
            <w:tcW w:w="2340" w:type="dxa"/>
            <w:gridSpan w:val="2"/>
            <w:tcBorders>
              <w:top w:val="single" w:sz="4" w:space="0" w:color="auto"/>
              <w:left w:val="nil"/>
              <w:bottom w:val="single" w:sz="4" w:space="0" w:color="auto"/>
              <w:right w:val="single" w:sz="4" w:space="0" w:color="000000"/>
            </w:tcBorders>
            <w:vAlign w:val="center"/>
            <w:hideMark/>
          </w:tcPr>
          <w:p w14:paraId="5862B382"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15.75%</w:t>
            </w:r>
          </w:p>
        </w:tc>
        <w:tc>
          <w:tcPr>
            <w:tcW w:w="2180" w:type="dxa"/>
            <w:gridSpan w:val="2"/>
            <w:tcBorders>
              <w:top w:val="single" w:sz="4" w:space="0" w:color="auto"/>
              <w:left w:val="nil"/>
              <w:bottom w:val="single" w:sz="4" w:space="0" w:color="auto"/>
              <w:right w:val="single" w:sz="4" w:space="0" w:color="000000"/>
            </w:tcBorders>
            <w:vAlign w:val="center"/>
            <w:hideMark/>
          </w:tcPr>
          <w:p w14:paraId="5D8D5805"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18.10%</w:t>
            </w:r>
          </w:p>
        </w:tc>
      </w:tr>
      <w:tr w:rsidR="00F95196" w:rsidRPr="00F95196" w14:paraId="76F08A08" w14:textId="77777777" w:rsidTr="00BE6FF5">
        <w:trPr>
          <w:trHeight w:val="300"/>
        </w:trPr>
        <w:tc>
          <w:tcPr>
            <w:tcW w:w="460" w:type="dxa"/>
            <w:vMerge/>
            <w:tcBorders>
              <w:top w:val="nil"/>
              <w:left w:val="single" w:sz="4" w:space="0" w:color="auto"/>
              <w:bottom w:val="single" w:sz="4" w:space="0" w:color="000000"/>
              <w:right w:val="single" w:sz="4" w:space="0" w:color="auto"/>
            </w:tcBorders>
            <w:vAlign w:val="center"/>
            <w:hideMark/>
          </w:tcPr>
          <w:p w14:paraId="699F0D20" w14:textId="77777777" w:rsidR="00F95196" w:rsidRPr="00F95196" w:rsidRDefault="00F95196" w:rsidP="009E3AD8">
            <w:pPr>
              <w:spacing w:line="276" w:lineRule="auto"/>
              <w:rPr>
                <w:rFonts w:ascii="Calibri" w:hAnsi="Calibri" w:cs="Calibri"/>
                <w:color w:val="000000"/>
                <w:sz w:val="22"/>
                <w:szCs w:val="22"/>
                <w:lang w:val="en-US"/>
              </w:rPr>
            </w:pPr>
          </w:p>
        </w:tc>
        <w:tc>
          <w:tcPr>
            <w:tcW w:w="2360" w:type="dxa"/>
            <w:vMerge/>
            <w:tcBorders>
              <w:top w:val="nil"/>
              <w:left w:val="single" w:sz="4" w:space="0" w:color="auto"/>
              <w:bottom w:val="single" w:sz="4" w:space="0" w:color="000000"/>
              <w:right w:val="single" w:sz="4" w:space="0" w:color="auto"/>
            </w:tcBorders>
            <w:vAlign w:val="center"/>
            <w:hideMark/>
          </w:tcPr>
          <w:p w14:paraId="15C764FC" w14:textId="77777777" w:rsidR="00F95196" w:rsidRPr="00F95196" w:rsidRDefault="00F95196" w:rsidP="009E3AD8">
            <w:pPr>
              <w:spacing w:line="276" w:lineRule="auto"/>
              <w:rPr>
                <w:rFonts w:ascii="Calibri" w:hAnsi="Calibri" w:cs="Calibri"/>
                <w:color w:val="000000"/>
                <w:sz w:val="22"/>
                <w:szCs w:val="22"/>
                <w:lang w:val="en-US"/>
              </w:rPr>
            </w:pPr>
          </w:p>
        </w:tc>
        <w:tc>
          <w:tcPr>
            <w:tcW w:w="1060" w:type="dxa"/>
            <w:tcBorders>
              <w:top w:val="nil"/>
              <w:left w:val="nil"/>
              <w:bottom w:val="single" w:sz="4" w:space="0" w:color="auto"/>
              <w:right w:val="single" w:sz="4" w:space="0" w:color="auto"/>
            </w:tcBorders>
            <w:vAlign w:val="center"/>
            <w:hideMark/>
          </w:tcPr>
          <w:p w14:paraId="1D79E1A7"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CB</w:t>
            </w:r>
          </w:p>
        </w:tc>
        <w:tc>
          <w:tcPr>
            <w:tcW w:w="2420" w:type="dxa"/>
            <w:gridSpan w:val="2"/>
            <w:tcBorders>
              <w:top w:val="single" w:sz="4" w:space="0" w:color="auto"/>
              <w:left w:val="nil"/>
              <w:bottom w:val="single" w:sz="4" w:space="0" w:color="auto"/>
              <w:right w:val="single" w:sz="4" w:space="0" w:color="000000"/>
            </w:tcBorders>
            <w:vAlign w:val="center"/>
            <w:hideMark/>
          </w:tcPr>
          <w:p w14:paraId="67D28FCB"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16.48%</w:t>
            </w:r>
          </w:p>
        </w:tc>
        <w:tc>
          <w:tcPr>
            <w:tcW w:w="2340" w:type="dxa"/>
            <w:gridSpan w:val="2"/>
            <w:tcBorders>
              <w:top w:val="single" w:sz="4" w:space="0" w:color="auto"/>
              <w:left w:val="nil"/>
              <w:bottom w:val="single" w:sz="4" w:space="0" w:color="auto"/>
              <w:right w:val="single" w:sz="4" w:space="0" w:color="000000"/>
            </w:tcBorders>
            <w:vAlign w:val="center"/>
            <w:hideMark/>
          </w:tcPr>
          <w:p w14:paraId="13E34D91"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16.02%</w:t>
            </w:r>
          </w:p>
        </w:tc>
        <w:tc>
          <w:tcPr>
            <w:tcW w:w="2180" w:type="dxa"/>
            <w:gridSpan w:val="2"/>
            <w:tcBorders>
              <w:top w:val="single" w:sz="4" w:space="0" w:color="auto"/>
              <w:left w:val="nil"/>
              <w:bottom w:val="single" w:sz="4" w:space="0" w:color="auto"/>
              <w:right w:val="single" w:sz="4" w:space="0" w:color="000000"/>
            </w:tcBorders>
            <w:vAlign w:val="center"/>
            <w:hideMark/>
          </w:tcPr>
          <w:p w14:paraId="12237FF5"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18.44%</w:t>
            </w:r>
          </w:p>
        </w:tc>
      </w:tr>
      <w:tr w:rsidR="00F95196" w:rsidRPr="00F95196" w14:paraId="54909576" w14:textId="77777777" w:rsidTr="00BE6FF5">
        <w:trPr>
          <w:trHeight w:val="300"/>
        </w:trPr>
        <w:tc>
          <w:tcPr>
            <w:tcW w:w="460"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04EC3F4F" w14:textId="77777777" w:rsidR="00F95196" w:rsidRPr="00F95196" w:rsidRDefault="00F95196" w:rsidP="009E3AD8">
            <w:pPr>
              <w:spacing w:line="276" w:lineRule="auto"/>
              <w:jc w:val="center"/>
              <w:rPr>
                <w:rFonts w:ascii="Calibri" w:hAnsi="Calibri" w:cs="Calibri"/>
                <w:color w:val="000000"/>
                <w:sz w:val="22"/>
                <w:szCs w:val="22"/>
                <w:lang w:val="en-US"/>
              </w:rPr>
            </w:pPr>
            <w:r w:rsidRPr="00F95196">
              <w:rPr>
                <w:rFonts w:ascii="Calibri" w:hAnsi="Calibri" w:cs="Calibri"/>
                <w:color w:val="000000"/>
                <w:sz w:val="22"/>
                <w:szCs w:val="22"/>
                <w:lang w:val="en-US"/>
              </w:rPr>
              <w:t>C.</w:t>
            </w:r>
          </w:p>
        </w:tc>
        <w:tc>
          <w:tcPr>
            <w:tcW w:w="2360" w:type="dxa"/>
            <w:tcBorders>
              <w:top w:val="nil"/>
              <w:left w:val="nil"/>
              <w:bottom w:val="single" w:sz="4" w:space="0" w:color="auto"/>
              <w:right w:val="single" w:sz="4" w:space="0" w:color="auto"/>
            </w:tcBorders>
            <w:vAlign w:val="center"/>
            <w:hideMark/>
          </w:tcPr>
          <w:p w14:paraId="76456A79" w14:textId="77777777" w:rsidR="00F95196" w:rsidRPr="00F95196" w:rsidRDefault="00F95196" w:rsidP="009E3AD8">
            <w:pPr>
              <w:spacing w:line="276" w:lineRule="auto"/>
              <w:rPr>
                <w:rFonts w:ascii="Calibri" w:hAnsi="Calibri" w:cs="Calibri"/>
                <w:i/>
                <w:iCs/>
                <w:color w:val="000000"/>
                <w:sz w:val="22"/>
                <w:szCs w:val="22"/>
                <w:lang w:val="en-US"/>
              </w:rPr>
            </w:pPr>
            <w:r w:rsidRPr="00F95196">
              <w:rPr>
                <w:rFonts w:ascii="Calibri" w:hAnsi="Calibri" w:cs="Calibri"/>
                <w:i/>
                <w:iCs/>
                <w:color w:val="000000"/>
                <w:sz w:val="22"/>
                <w:szCs w:val="22"/>
                <w:lang w:val="en-US"/>
              </w:rPr>
              <w:t>I.N.M.</w:t>
            </w:r>
          </w:p>
        </w:tc>
        <w:tc>
          <w:tcPr>
            <w:tcW w:w="1060" w:type="dxa"/>
            <w:tcBorders>
              <w:top w:val="nil"/>
              <w:left w:val="nil"/>
              <w:bottom w:val="single" w:sz="4" w:space="0" w:color="auto"/>
              <w:right w:val="single" w:sz="4" w:space="0" w:color="auto"/>
            </w:tcBorders>
            <w:vAlign w:val="center"/>
            <w:hideMark/>
          </w:tcPr>
          <w:p w14:paraId="6012ADAC"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CA</w:t>
            </w:r>
          </w:p>
        </w:tc>
        <w:tc>
          <w:tcPr>
            <w:tcW w:w="1240" w:type="dxa"/>
            <w:tcBorders>
              <w:top w:val="nil"/>
              <w:left w:val="nil"/>
              <w:bottom w:val="single" w:sz="4" w:space="0" w:color="auto"/>
              <w:right w:val="single" w:sz="4" w:space="0" w:color="auto"/>
            </w:tcBorders>
            <w:vAlign w:val="center"/>
            <w:hideMark/>
          </w:tcPr>
          <w:p w14:paraId="479D9A4B"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102 809</w:t>
            </w:r>
          </w:p>
        </w:tc>
        <w:tc>
          <w:tcPr>
            <w:tcW w:w="1180" w:type="dxa"/>
            <w:tcBorders>
              <w:top w:val="nil"/>
              <w:left w:val="nil"/>
              <w:bottom w:val="single" w:sz="4" w:space="0" w:color="auto"/>
              <w:right w:val="single" w:sz="4" w:space="0" w:color="auto"/>
            </w:tcBorders>
            <w:vAlign w:val="center"/>
            <w:hideMark/>
          </w:tcPr>
          <w:p w14:paraId="0434FDED"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20 562</w:t>
            </w:r>
          </w:p>
        </w:tc>
        <w:tc>
          <w:tcPr>
            <w:tcW w:w="1220" w:type="dxa"/>
            <w:tcBorders>
              <w:top w:val="nil"/>
              <w:left w:val="nil"/>
              <w:bottom w:val="single" w:sz="4" w:space="0" w:color="auto"/>
              <w:right w:val="single" w:sz="4" w:space="0" w:color="auto"/>
            </w:tcBorders>
            <w:vAlign w:val="center"/>
            <w:hideMark/>
          </w:tcPr>
          <w:p w14:paraId="7FFE15EE"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95 821</w:t>
            </w:r>
          </w:p>
        </w:tc>
        <w:tc>
          <w:tcPr>
            <w:tcW w:w="1120" w:type="dxa"/>
            <w:tcBorders>
              <w:top w:val="nil"/>
              <w:left w:val="nil"/>
              <w:bottom w:val="single" w:sz="4" w:space="0" w:color="auto"/>
              <w:right w:val="single" w:sz="4" w:space="0" w:color="auto"/>
            </w:tcBorders>
            <w:vAlign w:val="center"/>
            <w:hideMark/>
          </w:tcPr>
          <w:p w14:paraId="519C4B70"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19 164</w:t>
            </w:r>
          </w:p>
        </w:tc>
        <w:tc>
          <w:tcPr>
            <w:tcW w:w="1220" w:type="dxa"/>
            <w:tcBorders>
              <w:top w:val="nil"/>
              <w:left w:val="nil"/>
              <w:bottom w:val="single" w:sz="4" w:space="0" w:color="auto"/>
              <w:right w:val="single" w:sz="4" w:space="0" w:color="auto"/>
            </w:tcBorders>
            <w:vAlign w:val="center"/>
            <w:hideMark/>
          </w:tcPr>
          <w:p w14:paraId="7406EAD1"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148 201</w:t>
            </w:r>
          </w:p>
        </w:tc>
        <w:tc>
          <w:tcPr>
            <w:tcW w:w="960" w:type="dxa"/>
            <w:tcBorders>
              <w:top w:val="nil"/>
              <w:left w:val="nil"/>
              <w:bottom w:val="single" w:sz="4" w:space="0" w:color="auto"/>
              <w:right w:val="single" w:sz="4" w:space="0" w:color="auto"/>
            </w:tcBorders>
            <w:vAlign w:val="center"/>
            <w:hideMark/>
          </w:tcPr>
          <w:p w14:paraId="486B39AE"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26 946</w:t>
            </w:r>
          </w:p>
        </w:tc>
      </w:tr>
      <w:tr w:rsidR="00F95196" w:rsidRPr="00F95196" w14:paraId="5BB8214B" w14:textId="77777777" w:rsidTr="00BE6FF5">
        <w:trPr>
          <w:trHeight w:val="300"/>
        </w:trPr>
        <w:tc>
          <w:tcPr>
            <w:tcW w:w="460" w:type="dxa"/>
            <w:vMerge/>
            <w:tcBorders>
              <w:top w:val="nil"/>
              <w:left w:val="single" w:sz="4" w:space="0" w:color="auto"/>
              <w:bottom w:val="single" w:sz="4" w:space="0" w:color="000000"/>
              <w:right w:val="single" w:sz="4" w:space="0" w:color="auto"/>
            </w:tcBorders>
            <w:vAlign w:val="center"/>
            <w:hideMark/>
          </w:tcPr>
          <w:p w14:paraId="49C2B41F" w14:textId="77777777" w:rsidR="00F95196" w:rsidRPr="00F95196" w:rsidRDefault="00F95196" w:rsidP="009E3AD8">
            <w:pPr>
              <w:spacing w:line="276" w:lineRule="auto"/>
              <w:rPr>
                <w:rFonts w:ascii="Calibri" w:hAnsi="Calibri" w:cs="Calibri"/>
                <w:color w:val="000000"/>
                <w:sz w:val="22"/>
                <w:szCs w:val="22"/>
                <w:lang w:val="en-US"/>
              </w:rPr>
            </w:pPr>
          </w:p>
        </w:tc>
        <w:tc>
          <w:tcPr>
            <w:tcW w:w="2360" w:type="dxa"/>
            <w:tcBorders>
              <w:top w:val="nil"/>
              <w:left w:val="nil"/>
              <w:bottom w:val="single" w:sz="4" w:space="0" w:color="auto"/>
              <w:right w:val="single" w:sz="4" w:space="0" w:color="auto"/>
            </w:tcBorders>
            <w:vAlign w:val="center"/>
            <w:hideMark/>
          </w:tcPr>
          <w:p w14:paraId="4D84E473" w14:textId="77777777" w:rsidR="00F95196" w:rsidRPr="00F95196" w:rsidRDefault="00F95196" w:rsidP="009E3AD8">
            <w:pPr>
              <w:spacing w:line="276" w:lineRule="auto"/>
              <w:rPr>
                <w:rFonts w:ascii="Calibri" w:hAnsi="Calibri" w:cs="Calibri"/>
                <w:i/>
                <w:iCs/>
                <w:color w:val="000000"/>
                <w:sz w:val="22"/>
                <w:szCs w:val="22"/>
                <w:lang w:val="en-US"/>
              </w:rPr>
            </w:pPr>
            <w:r w:rsidRPr="00F95196">
              <w:rPr>
                <w:rFonts w:ascii="Calibri" w:hAnsi="Calibri" w:cs="Calibri"/>
                <w:i/>
                <w:iCs/>
                <w:color w:val="000000"/>
                <w:sz w:val="22"/>
                <w:szCs w:val="22"/>
                <w:lang w:val="en-US"/>
              </w:rPr>
              <w:t> </w:t>
            </w:r>
          </w:p>
        </w:tc>
        <w:tc>
          <w:tcPr>
            <w:tcW w:w="1060" w:type="dxa"/>
            <w:tcBorders>
              <w:top w:val="nil"/>
              <w:left w:val="nil"/>
              <w:bottom w:val="single" w:sz="4" w:space="0" w:color="auto"/>
              <w:right w:val="single" w:sz="4" w:space="0" w:color="auto"/>
            </w:tcBorders>
            <w:vAlign w:val="center"/>
            <w:hideMark/>
          </w:tcPr>
          <w:p w14:paraId="7E3CEBC9"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CB</w:t>
            </w:r>
          </w:p>
        </w:tc>
        <w:tc>
          <w:tcPr>
            <w:tcW w:w="1240" w:type="dxa"/>
            <w:tcBorders>
              <w:top w:val="nil"/>
              <w:left w:val="nil"/>
              <w:bottom w:val="single" w:sz="4" w:space="0" w:color="auto"/>
              <w:right w:val="single" w:sz="4" w:space="0" w:color="auto"/>
            </w:tcBorders>
            <w:vAlign w:val="center"/>
            <w:hideMark/>
          </w:tcPr>
          <w:p w14:paraId="022E8053"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102 043</w:t>
            </w:r>
          </w:p>
        </w:tc>
        <w:tc>
          <w:tcPr>
            <w:tcW w:w="1180" w:type="dxa"/>
            <w:tcBorders>
              <w:top w:val="nil"/>
              <w:left w:val="nil"/>
              <w:bottom w:val="single" w:sz="4" w:space="0" w:color="auto"/>
              <w:right w:val="single" w:sz="4" w:space="0" w:color="auto"/>
            </w:tcBorders>
            <w:vAlign w:val="center"/>
            <w:hideMark/>
          </w:tcPr>
          <w:p w14:paraId="4CFD9ED5"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20 409</w:t>
            </w:r>
          </w:p>
        </w:tc>
        <w:tc>
          <w:tcPr>
            <w:tcW w:w="1220" w:type="dxa"/>
            <w:tcBorders>
              <w:top w:val="nil"/>
              <w:left w:val="nil"/>
              <w:bottom w:val="single" w:sz="4" w:space="0" w:color="auto"/>
              <w:right w:val="single" w:sz="4" w:space="0" w:color="auto"/>
            </w:tcBorders>
            <w:vAlign w:val="center"/>
            <w:hideMark/>
          </w:tcPr>
          <w:p w14:paraId="38C33171"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93 628</w:t>
            </w:r>
          </w:p>
        </w:tc>
        <w:tc>
          <w:tcPr>
            <w:tcW w:w="1120" w:type="dxa"/>
            <w:tcBorders>
              <w:top w:val="nil"/>
              <w:left w:val="nil"/>
              <w:bottom w:val="single" w:sz="4" w:space="0" w:color="auto"/>
              <w:right w:val="single" w:sz="4" w:space="0" w:color="auto"/>
            </w:tcBorders>
            <w:vAlign w:val="center"/>
            <w:hideMark/>
          </w:tcPr>
          <w:p w14:paraId="334C8149"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18 726</w:t>
            </w:r>
          </w:p>
        </w:tc>
        <w:tc>
          <w:tcPr>
            <w:tcW w:w="1220" w:type="dxa"/>
            <w:tcBorders>
              <w:top w:val="nil"/>
              <w:left w:val="nil"/>
              <w:bottom w:val="single" w:sz="4" w:space="0" w:color="auto"/>
              <w:right w:val="single" w:sz="4" w:space="0" w:color="auto"/>
            </w:tcBorders>
            <w:vAlign w:val="center"/>
            <w:hideMark/>
          </w:tcPr>
          <w:p w14:paraId="1908A111"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147 908</w:t>
            </w:r>
          </w:p>
        </w:tc>
        <w:tc>
          <w:tcPr>
            <w:tcW w:w="960" w:type="dxa"/>
            <w:tcBorders>
              <w:top w:val="nil"/>
              <w:left w:val="nil"/>
              <w:bottom w:val="single" w:sz="4" w:space="0" w:color="auto"/>
              <w:right w:val="single" w:sz="4" w:space="0" w:color="auto"/>
            </w:tcBorders>
            <w:vAlign w:val="center"/>
            <w:hideMark/>
          </w:tcPr>
          <w:p w14:paraId="7B17D0F4"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26 892</w:t>
            </w:r>
          </w:p>
        </w:tc>
      </w:tr>
      <w:tr w:rsidR="00F95196" w:rsidRPr="00F95196" w14:paraId="73A054D1" w14:textId="77777777" w:rsidTr="00BE6FF5">
        <w:trPr>
          <w:trHeight w:val="300"/>
        </w:trPr>
        <w:tc>
          <w:tcPr>
            <w:tcW w:w="460" w:type="dxa"/>
            <w:vMerge/>
            <w:tcBorders>
              <w:top w:val="nil"/>
              <w:left w:val="single" w:sz="4" w:space="0" w:color="auto"/>
              <w:bottom w:val="single" w:sz="4" w:space="0" w:color="000000"/>
              <w:right w:val="single" w:sz="4" w:space="0" w:color="auto"/>
            </w:tcBorders>
            <w:vAlign w:val="center"/>
            <w:hideMark/>
          </w:tcPr>
          <w:p w14:paraId="41E20F71" w14:textId="77777777" w:rsidR="00F95196" w:rsidRPr="00F95196" w:rsidRDefault="00F95196" w:rsidP="009E3AD8">
            <w:pPr>
              <w:spacing w:line="276" w:lineRule="auto"/>
              <w:rPr>
                <w:rFonts w:ascii="Calibri" w:hAnsi="Calibri" w:cs="Calibri"/>
                <w:color w:val="000000"/>
                <w:sz w:val="22"/>
                <w:szCs w:val="22"/>
                <w:lang w:val="en-US"/>
              </w:rPr>
            </w:pPr>
          </w:p>
        </w:tc>
        <w:tc>
          <w:tcPr>
            <w:tcW w:w="2360" w:type="dxa"/>
            <w:vMerge w:val="restart"/>
            <w:tcBorders>
              <w:top w:val="nil"/>
              <w:left w:val="single" w:sz="4" w:space="0" w:color="auto"/>
              <w:bottom w:val="single" w:sz="4" w:space="0" w:color="000000"/>
              <w:right w:val="single" w:sz="4" w:space="0" w:color="auto"/>
            </w:tcBorders>
            <w:vAlign w:val="center"/>
            <w:hideMark/>
          </w:tcPr>
          <w:p w14:paraId="187729AF" w14:textId="77777777" w:rsidR="00F95196" w:rsidRPr="00F95196" w:rsidRDefault="00F95196" w:rsidP="009E3AD8">
            <w:pPr>
              <w:spacing w:line="276" w:lineRule="auto"/>
              <w:rPr>
                <w:rFonts w:ascii="Calibri" w:hAnsi="Calibri" w:cs="Calibri"/>
                <w:color w:val="000000"/>
                <w:sz w:val="22"/>
                <w:szCs w:val="22"/>
                <w:lang w:val="en-US"/>
              </w:rPr>
            </w:pPr>
            <w:proofErr w:type="spellStart"/>
            <w:r w:rsidRPr="00F95196">
              <w:rPr>
                <w:rFonts w:ascii="Calibri" w:hAnsi="Calibri" w:cs="Calibri"/>
                <w:color w:val="000000"/>
                <w:sz w:val="22"/>
                <w:szCs w:val="22"/>
                <w:lang w:val="en-US"/>
              </w:rPr>
              <w:t>Pondere</w:t>
            </w:r>
            <w:proofErr w:type="spellEnd"/>
            <w:r w:rsidRPr="00F95196">
              <w:rPr>
                <w:rFonts w:ascii="Calibri" w:hAnsi="Calibri" w:cs="Calibri"/>
                <w:color w:val="000000"/>
                <w:sz w:val="22"/>
                <w:szCs w:val="22"/>
                <w:lang w:val="en-US"/>
              </w:rPr>
              <w:t xml:space="preserve"> %</w:t>
            </w:r>
          </w:p>
        </w:tc>
        <w:tc>
          <w:tcPr>
            <w:tcW w:w="1060" w:type="dxa"/>
            <w:tcBorders>
              <w:top w:val="nil"/>
              <w:left w:val="nil"/>
              <w:bottom w:val="single" w:sz="4" w:space="0" w:color="auto"/>
              <w:right w:val="single" w:sz="4" w:space="0" w:color="auto"/>
            </w:tcBorders>
            <w:vAlign w:val="center"/>
            <w:hideMark/>
          </w:tcPr>
          <w:p w14:paraId="2E86EAED"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CA</w:t>
            </w:r>
          </w:p>
        </w:tc>
        <w:tc>
          <w:tcPr>
            <w:tcW w:w="2420" w:type="dxa"/>
            <w:gridSpan w:val="2"/>
            <w:tcBorders>
              <w:top w:val="single" w:sz="4" w:space="0" w:color="auto"/>
              <w:left w:val="nil"/>
              <w:bottom w:val="single" w:sz="4" w:space="0" w:color="auto"/>
              <w:right w:val="single" w:sz="4" w:space="0" w:color="000000"/>
            </w:tcBorders>
            <w:vAlign w:val="center"/>
            <w:hideMark/>
          </w:tcPr>
          <w:p w14:paraId="08EF6376"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32.18%</w:t>
            </w:r>
          </w:p>
        </w:tc>
        <w:tc>
          <w:tcPr>
            <w:tcW w:w="2340" w:type="dxa"/>
            <w:gridSpan w:val="2"/>
            <w:tcBorders>
              <w:top w:val="single" w:sz="4" w:space="0" w:color="auto"/>
              <w:left w:val="nil"/>
              <w:bottom w:val="single" w:sz="4" w:space="0" w:color="auto"/>
              <w:right w:val="single" w:sz="4" w:space="0" w:color="000000"/>
            </w:tcBorders>
            <w:vAlign w:val="center"/>
            <w:hideMark/>
          </w:tcPr>
          <w:p w14:paraId="62C765C7"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34.10%</w:t>
            </w:r>
          </w:p>
        </w:tc>
        <w:tc>
          <w:tcPr>
            <w:tcW w:w="2180" w:type="dxa"/>
            <w:gridSpan w:val="2"/>
            <w:tcBorders>
              <w:top w:val="single" w:sz="4" w:space="0" w:color="auto"/>
              <w:left w:val="nil"/>
              <w:bottom w:val="single" w:sz="4" w:space="0" w:color="auto"/>
              <w:right w:val="single" w:sz="4" w:space="0" w:color="000000"/>
            </w:tcBorders>
            <w:vAlign w:val="center"/>
            <w:hideMark/>
          </w:tcPr>
          <w:p w14:paraId="1698812D"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35.17%</w:t>
            </w:r>
          </w:p>
        </w:tc>
      </w:tr>
      <w:tr w:rsidR="00F95196" w:rsidRPr="00F95196" w14:paraId="089C5CFE" w14:textId="77777777" w:rsidTr="00BE6FF5">
        <w:trPr>
          <w:trHeight w:val="312"/>
        </w:trPr>
        <w:tc>
          <w:tcPr>
            <w:tcW w:w="460" w:type="dxa"/>
            <w:vMerge/>
            <w:tcBorders>
              <w:top w:val="nil"/>
              <w:left w:val="single" w:sz="4" w:space="0" w:color="auto"/>
              <w:bottom w:val="single" w:sz="4" w:space="0" w:color="000000"/>
              <w:right w:val="single" w:sz="4" w:space="0" w:color="auto"/>
            </w:tcBorders>
            <w:vAlign w:val="center"/>
            <w:hideMark/>
          </w:tcPr>
          <w:p w14:paraId="68E2BBFA" w14:textId="77777777" w:rsidR="00F95196" w:rsidRPr="00F95196" w:rsidRDefault="00F95196" w:rsidP="009E3AD8">
            <w:pPr>
              <w:spacing w:line="276" w:lineRule="auto"/>
              <w:rPr>
                <w:rFonts w:ascii="Calibri" w:hAnsi="Calibri" w:cs="Calibri"/>
                <w:color w:val="000000"/>
                <w:sz w:val="22"/>
                <w:szCs w:val="22"/>
                <w:lang w:val="en-US"/>
              </w:rPr>
            </w:pPr>
          </w:p>
        </w:tc>
        <w:tc>
          <w:tcPr>
            <w:tcW w:w="2360" w:type="dxa"/>
            <w:vMerge/>
            <w:tcBorders>
              <w:top w:val="nil"/>
              <w:left w:val="single" w:sz="4" w:space="0" w:color="auto"/>
              <w:bottom w:val="single" w:sz="4" w:space="0" w:color="000000"/>
              <w:right w:val="single" w:sz="4" w:space="0" w:color="auto"/>
            </w:tcBorders>
            <w:vAlign w:val="center"/>
            <w:hideMark/>
          </w:tcPr>
          <w:p w14:paraId="5D524EF1" w14:textId="77777777" w:rsidR="00F95196" w:rsidRPr="00F95196" w:rsidRDefault="00F95196" w:rsidP="009E3AD8">
            <w:pPr>
              <w:spacing w:line="276" w:lineRule="auto"/>
              <w:rPr>
                <w:rFonts w:ascii="Calibri" w:hAnsi="Calibri" w:cs="Calibri"/>
                <w:color w:val="000000"/>
                <w:sz w:val="22"/>
                <w:szCs w:val="22"/>
                <w:lang w:val="en-US"/>
              </w:rPr>
            </w:pPr>
          </w:p>
        </w:tc>
        <w:tc>
          <w:tcPr>
            <w:tcW w:w="1060" w:type="dxa"/>
            <w:tcBorders>
              <w:top w:val="nil"/>
              <w:left w:val="nil"/>
              <w:bottom w:val="single" w:sz="4" w:space="0" w:color="auto"/>
              <w:right w:val="single" w:sz="4" w:space="0" w:color="auto"/>
            </w:tcBorders>
            <w:vAlign w:val="center"/>
            <w:hideMark/>
          </w:tcPr>
          <w:p w14:paraId="39AB6DAF"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CB</w:t>
            </w:r>
          </w:p>
        </w:tc>
        <w:tc>
          <w:tcPr>
            <w:tcW w:w="2420" w:type="dxa"/>
            <w:gridSpan w:val="2"/>
            <w:tcBorders>
              <w:top w:val="single" w:sz="4" w:space="0" w:color="auto"/>
              <w:left w:val="nil"/>
              <w:bottom w:val="single" w:sz="4" w:space="0" w:color="auto"/>
              <w:right w:val="single" w:sz="4" w:space="0" w:color="000000"/>
            </w:tcBorders>
            <w:vAlign w:val="center"/>
            <w:hideMark/>
          </w:tcPr>
          <w:p w14:paraId="009BAF44"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32.12%</w:t>
            </w:r>
          </w:p>
        </w:tc>
        <w:tc>
          <w:tcPr>
            <w:tcW w:w="2340" w:type="dxa"/>
            <w:gridSpan w:val="2"/>
            <w:tcBorders>
              <w:top w:val="single" w:sz="4" w:space="0" w:color="auto"/>
              <w:left w:val="nil"/>
              <w:bottom w:val="single" w:sz="4" w:space="0" w:color="auto"/>
              <w:right w:val="single" w:sz="4" w:space="0" w:color="000000"/>
            </w:tcBorders>
            <w:vAlign w:val="center"/>
            <w:hideMark/>
          </w:tcPr>
          <w:p w14:paraId="6F9F6B43"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33.90%</w:t>
            </w:r>
          </w:p>
        </w:tc>
        <w:tc>
          <w:tcPr>
            <w:tcW w:w="2180" w:type="dxa"/>
            <w:gridSpan w:val="2"/>
            <w:tcBorders>
              <w:top w:val="single" w:sz="4" w:space="0" w:color="auto"/>
              <w:left w:val="nil"/>
              <w:bottom w:val="single" w:sz="4" w:space="0" w:color="auto"/>
              <w:right w:val="single" w:sz="4" w:space="0" w:color="000000"/>
            </w:tcBorders>
            <w:vAlign w:val="center"/>
            <w:hideMark/>
          </w:tcPr>
          <w:p w14:paraId="51E2E5F2"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35.75%</w:t>
            </w:r>
          </w:p>
        </w:tc>
      </w:tr>
      <w:tr w:rsidR="00F95196" w:rsidRPr="00F95196" w14:paraId="60448716" w14:textId="77777777" w:rsidTr="00BE6FF5">
        <w:trPr>
          <w:trHeight w:val="300"/>
        </w:trPr>
        <w:tc>
          <w:tcPr>
            <w:tcW w:w="460"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71A83B36" w14:textId="77777777" w:rsidR="00F95196" w:rsidRPr="00F95196" w:rsidRDefault="00F95196" w:rsidP="009E3AD8">
            <w:pPr>
              <w:spacing w:line="276" w:lineRule="auto"/>
              <w:jc w:val="center"/>
              <w:rPr>
                <w:rFonts w:ascii="Calibri" w:hAnsi="Calibri" w:cs="Calibri"/>
                <w:color w:val="000000"/>
                <w:sz w:val="22"/>
                <w:szCs w:val="22"/>
                <w:lang w:val="en-US"/>
              </w:rPr>
            </w:pPr>
            <w:r w:rsidRPr="00F95196">
              <w:rPr>
                <w:rFonts w:ascii="Calibri" w:hAnsi="Calibri" w:cs="Calibri"/>
                <w:color w:val="000000"/>
                <w:sz w:val="22"/>
                <w:szCs w:val="22"/>
                <w:lang w:val="en-US"/>
              </w:rPr>
              <w:t>D.</w:t>
            </w:r>
          </w:p>
        </w:tc>
        <w:tc>
          <w:tcPr>
            <w:tcW w:w="2360" w:type="dxa"/>
            <w:tcBorders>
              <w:top w:val="nil"/>
              <w:left w:val="nil"/>
              <w:bottom w:val="single" w:sz="4" w:space="0" w:color="auto"/>
              <w:right w:val="single" w:sz="4" w:space="0" w:color="auto"/>
            </w:tcBorders>
            <w:vAlign w:val="center"/>
            <w:hideMark/>
          </w:tcPr>
          <w:p w14:paraId="5DF476A2" w14:textId="77777777" w:rsidR="00F95196" w:rsidRPr="00F95196" w:rsidRDefault="00F95196" w:rsidP="009E3AD8">
            <w:pPr>
              <w:spacing w:line="276" w:lineRule="auto"/>
              <w:rPr>
                <w:rFonts w:ascii="Calibri" w:hAnsi="Calibri" w:cs="Calibri"/>
                <w:i/>
                <w:iCs/>
                <w:color w:val="000000"/>
                <w:sz w:val="22"/>
                <w:szCs w:val="22"/>
                <w:lang w:val="en-US"/>
              </w:rPr>
            </w:pPr>
            <w:r w:rsidRPr="00F95196">
              <w:rPr>
                <w:rFonts w:ascii="Calibri" w:hAnsi="Calibri" w:cs="Calibri"/>
                <w:i/>
                <w:iCs/>
                <w:color w:val="000000"/>
                <w:sz w:val="22"/>
                <w:szCs w:val="22"/>
                <w:lang w:val="en-US"/>
              </w:rPr>
              <w:t>S.N.G.</w:t>
            </w:r>
          </w:p>
        </w:tc>
        <w:tc>
          <w:tcPr>
            <w:tcW w:w="1060" w:type="dxa"/>
            <w:tcBorders>
              <w:top w:val="nil"/>
              <w:left w:val="nil"/>
              <w:bottom w:val="single" w:sz="4" w:space="0" w:color="auto"/>
              <w:right w:val="single" w:sz="4" w:space="0" w:color="auto"/>
            </w:tcBorders>
            <w:vAlign w:val="center"/>
            <w:hideMark/>
          </w:tcPr>
          <w:p w14:paraId="067813F9"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CA</w:t>
            </w:r>
          </w:p>
        </w:tc>
        <w:tc>
          <w:tcPr>
            <w:tcW w:w="1240" w:type="dxa"/>
            <w:tcBorders>
              <w:top w:val="nil"/>
              <w:left w:val="nil"/>
              <w:bottom w:val="single" w:sz="4" w:space="0" w:color="auto"/>
              <w:right w:val="single" w:sz="4" w:space="0" w:color="auto"/>
            </w:tcBorders>
            <w:vAlign w:val="center"/>
            <w:hideMark/>
          </w:tcPr>
          <w:p w14:paraId="47A2F93E"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20 845</w:t>
            </w:r>
          </w:p>
        </w:tc>
        <w:tc>
          <w:tcPr>
            <w:tcW w:w="1180" w:type="dxa"/>
            <w:tcBorders>
              <w:top w:val="nil"/>
              <w:left w:val="nil"/>
              <w:bottom w:val="single" w:sz="4" w:space="0" w:color="auto"/>
              <w:right w:val="single" w:sz="4" w:space="0" w:color="auto"/>
            </w:tcBorders>
            <w:vAlign w:val="center"/>
            <w:hideMark/>
          </w:tcPr>
          <w:p w14:paraId="5240ABCB"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4 169</w:t>
            </w:r>
          </w:p>
        </w:tc>
        <w:tc>
          <w:tcPr>
            <w:tcW w:w="1220" w:type="dxa"/>
            <w:tcBorders>
              <w:top w:val="nil"/>
              <w:left w:val="nil"/>
              <w:bottom w:val="single" w:sz="4" w:space="0" w:color="auto"/>
              <w:right w:val="single" w:sz="4" w:space="0" w:color="auto"/>
            </w:tcBorders>
            <w:vAlign w:val="center"/>
            <w:hideMark/>
          </w:tcPr>
          <w:p w14:paraId="160B76A5"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20 643</w:t>
            </w:r>
          </w:p>
        </w:tc>
        <w:tc>
          <w:tcPr>
            <w:tcW w:w="1120" w:type="dxa"/>
            <w:tcBorders>
              <w:top w:val="nil"/>
              <w:left w:val="nil"/>
              <w:bottom w:val="single" w:sz="4" w:space="0" w:color="auto"/>
              <w:right w:val="single" w:sz="4" w:space="0" w:color="auto"/>
            </w:tcBorders>
            <w:vAlign w:val="center"/>
            <w:hideMark/>
          </w:tcPr>
          <w:p w14:paraId="50D360FF"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4 129</w:t>
            </w:r>
          </w:p>
        </w:tc>
        <w:tc>
          <w:tcPr>
            <w:tcW w:w="1220" w:type="dxa"/>
            <w:tcBorders>
              <w:top w:val="nil"/>
              <w:left w:val="nil"/>
              <w:bottom w:val="single" w:sz="4" w:space="0" w:color="auto"/>
              <w:right w:val="single" w:sz="4" w:space="0" w:color="auto"/>
            </w:tcBorders>
            <w:vAlign w:val="center"/>
            <w:hideMark/>
          </w:tcPr>
          <w:p w14:paraId="583CF44C"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39 813</w:t>
            </w:r>
          </w:p>
        </w:tc>
        <w:tc>
          <w:tcPr>
            <w:tcW w:w="960" w:type="dxa"/>
            <w:tcBorders>
              <w:top w:val="nil"/>
              <w:left w:val="nil"/>
              <w:bottom w:val="single" w:sz="4" w:space="0" w:color="auto"/>
              <w:right w:val="single" w:sz="4" w:space="0" w:color="auto"/>
            </w:tcBorders>
            <w:vAlign w:val="center"/>
            <w:hideMark/>
          </w:tcPr>
          <w:p w14:paraId="3574E366"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7 239</w:t>
            </w:r>
          </w:p>
        </w:tc>
      </w:tr>
      <w:tr w:rsidR="00F95196" w:rsidRPr="00F95196" w14:paraId="211E3B76" w14:textId="77777777" w:rsidTr="00BE6FF5">
        <w:trPr>
          <w:trHeight w:val="300"/>
        </w:trPr>
        <w:tc>
          <w:tcPr>
            <w:tcW w:w="460" w:type="dxa"/>
            <w:vMerge/>
            <w:tcBorders>
              <w:top w:val="nil"/>
              <w:left w:val="single" w:sz="4" w:space="0" w:color="auto"/>
              <w:bottom w:val="single" w:sz="4" w:space="0" w:color="000000"/>
              <w:right w:val="single" w:sz="4" w:space="0" w:color="auto"/>
            </w:tcBorders>
            <w:vAlign w:val="center"/>
            <w:hideMark/>
          </w:tcPr>
          <w:p w14:paraId="3FFF3853" w14:textId="77777777" w:rsidR="00F95196" w:rsidRPr="00F95196" w:rsidRDefault="00F95196" w:rsidP="009E3AD8">
            <w:pPr>
              <w:spacing w:line="276" w:lineRule="auto"/>
              <w:rPr>
                <w:rFonts w:ascii="Calibri" w:hAnsi="Calibri" w:cs="Calibri"/>
                <w:color w:val="000000"/>
                <w:sz w:val="22"/>
                <w:szCs w:val="22"/>
                <w:lang w:val="en-US"/>
              </w:rPr>
            </w:pPr>
          </w:p>
        </w:tc>
        <w:tc>
          <w:tcPr>
            <w:tcW w:w="2360" w:type="dxa"/>
            <w:tcBorders>
              <w:top w:val="nil"/>
              <w:left w:val="nil"/>
              <w:bottom w:val="single" w:sz="4" w:space="0" w:color="auto"/>
              <w:right w:val="single" w:sz="4" w:space="0" w:color="auto"/>
            </w:tcBorders>
            <w:vAlign w:val="center"/>
            <w:hideMark/>
          </w:tcPr>
          <w:p w14:paraId="3D20A01E" w14:textId="77777777" w:rsidR="00F95196" w:rsidRPr="00F95196" w:rsidRDefault="00F95196" w:rsidP="009E3AD8">
            <w:pPr>
              <w:spacing w:line="276" w:lineRule="auto"/>
              <w:rPr>
                <w:rFonts w:ascii="Calibri" w:hAnsi="Calibri" w:cs="Calibri"/>
                <w:i/>
                <w:iCs/>
                <w:color w:val="000000"/>
                <w:sz w:val="22"/>
                <w:szCs w:val="22"/>
                <w:lang w:val="en-US"/>
              </w:rPr>
            </w:pPr>
            <w:r w:rsidRPr="00F95196">
              <w:rPr>
                <w:rFonts w:ascii="Calibri" w:hAnsi="Calibri" w:cs="Calibri"/>
                <w:i/>
                <w:iCs/>
                <w:color w:val="000000"/>
                <w:sz w:val="22"/>
                <w:szCs w:val="22"/>
                <w:lang w:val="en-US"/>
              </w:rPr>
              <w:t> </w:t>
            </w:r>
          </w:p>
        </w:tc>
        <w:tc>
          <w:tcPr>
            <w:tcW w:w="1060" w:type="dxa"/>
            <w:tcBorders>
              <w:top w:val="nil"/>
              <w:left w:val="nil"/>
              <w:bottom w:val="single" w:sz="4" w:space="0" w:color="auto"/>
              <w:right w:val="single" w:sz="4" w:space="0" w:color="auto"/>
            </w:tcBorders>
            <w:vAlign w:val="center"/>
            <w:hideMark/>
          </w:tcPr>
          <w:p w14:paraId="27AB822E"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CB</w:t>
            </w:r>
          </w:p>
        </w:tc>
        <w:tc>
          <w:tcPr>
            <w:tcW w:w="1240" w:type="dxa"/>
            <w:tcBorders>
              <w:top w:val="nil"/>
              <w:left w:val="nil"/>
              <w:bottom w:val="single" w:sz="4" w:space="0" w:color="auto"/>
              <w:right w:val="single" w:sz="4" w:space="0" w:color="auto"/>
            </w:tcBorders>
            <w:vAlign w:val="center"/>
            <w:hideMark/>
          </w:tcPr>
          <w:p w14:paraId="79ADEC09"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20 287</w:t>
            </w:r>
          </w:p>
        </w:tc>
        <w:tc>
          <w:tcPr>
            <w:tcW w:w="1180" w:type="dxa"/>
            <w:tcBorders>
              <w:top w:val="nil"/>
              <w:left w:val="nil"/>
              <w:bottom w:val="single" w:sz="4" w:space="0" w:color="auto"/>
              <w:right w:val="single" w:sz="4" w:space="0" w:color="auto"/>
            </w:tcBorders>
            <w:vAlign w:val="center"/>
            <w:hideMark/>
          </w:tcPr>
          <w:p w14:paraId="2045007F"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4 057</w:t>
            </w:r>
          </w:p>
        </w:tc>
        <w:tc>
          <w:tcPr>
            <w:tcW w:w="1220" w:type="dxa"/>
            <w:tcBorders>
              <w:top w:val="nil"/>
              <w:left w:val="nil"/>
              <w:bottom w:val="single" w:sz="4" w:space="0" w:color="auto"/>
              <w:right w:val="single" w:sz="4" w:space="0" w:color="auto"/>
            </w:tcBorders>
            <w:vAlign w:val="center"/>
            <w:hideMark/>
          </w:tcPr>
          <w:p w14:paraId="1230B8EB"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20 619</w:t>
            </w:r>
          </w:p>
        </w:tc>
        <w:tc>
          <w:tcPr>
            <w:tcW w:w="1120" w:type="dxa"/>
            <w:tcBorders>
              <w:top w:val="nil"/>
              <w:left w:val="nil"/>
              <w:bottom w:val="single" w:sz="4" w:space="0" w:color="auto"/>
              <w:right w:val="single" w:sz="4" w:space="0" w:color="auto"/>
            </w:tcBorders>
            <w:vAlign w:val="center"/>
            <w:hideMark/>
          </w:tcPr>
          <w:p w14:paraId="7232CC5C"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4 124</w:t>
            </w:r>
          </w:p>
        </w:tc>
        <w:tc>
          <w:tcPr>
            <w:tcW w:w="1220" w:type="dxa"/>
            <w:tcBorders>
              <w:top w:val="nil"/>
              <w:left w:val="nil"/>
              <w:bottom w:val="single" w:sz="4" w:space="0" w:color="auto"/>
              <w:right w:val="single" w:sz="4" w:space="0" w:color="auto"/>
            </w:tcBorders>
            <w:vAlign w:val="center"/>
            <w:hideMark/>
          </w:tcPr>
          <w:p w14:paraId="21D6E015"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39 813</w:t>
            </w:r>
          </w:p>
        </w:tc>
        <w:tc>
          <w:tcPr>
            <w:tcW w:w="960" w:type="dxa"/>
            <w:tcBorders>
              <w:top w:val="nil"/>
              <w:left w:val="nil"/>
              <w:bottom w:val="single" w:sz="4" w:space="0" w:color="auto"/>
              <w:right w:val="single" w:sz="4" w:space="0" w:color="auto"/>
            </w:tcBorders>
            <w:vAlign w:val="center"/>
            <w:hideMark/>
          </w:tcPr>
          <w:p w14:paraId="4B5F4671" w14:textId="77777777" w:rsidR="00F95196" w:rsidRPr="00F95196" w:rsidRDefault="00F95196" w:rsidP="009E3AD8">
            <w:pPr>
              <w:spacing w:line="276" w:lineRule="auto"/>
              <w:jc w:val="right"/>
              <w:rPr>
                <w:rFonts w:ascii="Calibri" w:hAnsi="Calibri" w:cs="Calibri"/>
                <w:i/>
                <w:iCs/>
                <w:color w:val="000000"/>
                <w:sz w:val="22"/>
                <w:szCs w:val="22"/>
                <w:lang w:val="en-US"/>
              </w:rPr>
            </w:pPr>
            <w:r w:rsidRPr="00F95196">
              <w:rPr>
                <w:rFonts w:ascii="Calibri" w:hAnsi="Calibri" w:cs="Calibri"/>
                <w:i/>
                <w:iCs/>
                <w:color w:val="000000"/>
                <w:sz w:val="22"/>
                <w:szCs w:val="22"/>
                <w:lang w:val="en-US"/>
              </w:rPr>
              <w:t>7 239</w:t>
            </w:r>
          </w:p>
        </w:tc>
      </w:tr>
      <w:tr w:rsidR="00F95196" w:rsidRPr="00F95196" w14:paraId="3D173E6B" w14:textId="77777777" w:rsidTr="00BE6FF5">
        <w:trPr>
          <w:trHeight w:val="300"/>
        </w:trPr>
        <w:tc>
          <w:tcPr>
            <w:tcW w:w="460" w:type="dxa"/>
            <w:vMerge/>
            <w:tcBorders>
              <w:top w:val="nil"/>
              <w:left w:val="single" w:sz="4" w:space="0" w:color="auto"/>
              <w:bottom w:val="single" w:sz="4" w:space="0" w:color="000000"/>
              <w:right w:val="single" w:sz="4" w:space="0" w:color="auto"/>
            </w:tcBorders>
            <w:vAlign w:val="center"/>
            <w:hideMark/>
          </w:tcPr>
          <w:p w14:paraId="1FDBF29D" w14:textId="77777777" w:rsidR="00F95196" w:rsidRPr="00F95196" w:rsidRDefault="00F95196" w:rsidP="009E3AD8">
            <w:pPr>
              <w:spacing w:line="276" w:lineRule="auto"/>
              <w:rPr>
                <w:rFonts w:ascii="Calibri" w:hAnsi="Calibri" w:cs="Calibri"/>
                <w:color w:val="000000"/>
                <w:sz w:val="22"/>
                <w:szCs w:val="22"/>
                <w:lang w:val="en-US"/>
              </w:rPr>
            </w:pPr>
          </w:p>
        </w:tc>
        <w:tc>
          <w:tcPr>
            <w:tcW w:w="2360" w:type="dxa"/>
            <w:vMerge w:val="restart"/>
            <w:tcBorders>
              <w:top w:val="nil"/>
              <w:left w:val="single" w:sz="4" w:space="0" w:color="auto"/>
              <w:bottom w:val="single" w:sz="4" w:space="0" w:color="000000"/>
              <w:right w:val="single" w:sz="4" w:space="0" w:color="auto"/>
            </w:tcBorders>
            <w:vAlign w:val="center"/>
            <w:hideMark/>
          </w:tcPr>
          <w:p w14:paraId="53F73538" w14:textId="77777777" w:rsidR="00F95196" w:rsidRPr="00F95196" w:rsidRDefault="00F95196" w:rsidP="009E3AD8">
            <w:pPr>
              <w:spacing w:line="276" w:lineRule="auto"/>
              <w:rPr>
                <w:rFonts w:ascii="Calibri" w:hAnsi="Calibri" w:cs="Calibri"/>
                <w:color w:val="000000"/>
                <w:sz w:val="22"/>
                <w:szCs w:val="22"/>
                <w:lang w:val="en-US"/>
              </w:rPr>
            </w:pPr>
            <w:proofErr w:type="spellStart"/>
            <w:r w:rsidRPr="00F95196">
              <w:rPr>
                <w:rFonts w:ascii="Calibri" w:hAnsi="Calibri" w:cs="Calibri"/>
                <w:color w:val="000000"/>
                <w:sz w:val="22"/>
                <w:szCs w:val="22"/>
                <w:lang w:val="en-US"/>
              </w:rPr>
              <w:t>Pondere</w:t>
            </w:r>
            <w:proofErr w:type="spellEnd"/>
            <w:r w:rsidRPr="00F95196">
              <w:rPr>
                <w:rFonts w:ascii="Calibri" w:hAnsi="Calibri" w:cs="Calibri"/>
                <w:color w:val="000000"/>
                <w:sz w:val="22"/>
                <w:szCs w:val="22"/>
                <w:lang w:val="en-US"/>
              </w:rPr>
              <w:t xml:space="preserve"> %</w:t>
            </w:r>
          </w:p>
        </w:tc>
        <w:tc>
          <w:tcPr>
            <w:tcW w:w="1060" w:type="dxa"/>
            <w:tcBorders>
              <w:top w:val="nil"/>
              <w:left w:val="nil"/>
              <w:bottom w:val="single" w:sz="4" w:space="0" w:color="auto"/>
              <w:right w:val="single" w:sz="4" w:space="0" w:color="auto"/>
            </w:tcBorders>
            <w:vAlign w:val="center"/>
            <w:hideMark/>
          </w:tcPr>
          <w:p w14:paraId="4DC18A6C"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CA</w:t>
            </w:r>
          </w:p>
        </w:tc>
        <w:tc>
          <w:tcPr>
            <w:tcW w:w="2420" w:type="dxa"/>
            <w:gridSpan w:val="2"/>
            <w:tcBorders>
              <w:top w:val="single" w:sz="4" w:space="0" w:color="auto"/>
              <w:left w:val="nil"/>
              <w:bottom w:val="single" w:sz="4" w:space="0" w:color="auto"/>
              <w:right w:val="single" w:sz="4" w:space="0" w:color="auto"/>
            </w:tcBorders>
            <w:vAlign w:val="center"/>
            <w:hideMark/>
          </w:tcPr>
          <w:p w14:paraId="14E82C5A"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6.52%</w:t>
            </w:r>
          </w:p>
        </w:tc>
        <w:tc>
          <w:tcPr>
            <w:tcW w:w="2340" w:type="dxa"/>
            <w:gridSpan w:val="2"/>
            <w:tcBorders>
              <w:top w:val="single" w:sz="4" w:space="0" w:color="auto"/>
              <w:left w:val="nil"/>
              <w:bottom w:val="single" w:sz="4" w:space="0" w:color="auto"/>
              <w:right w:val="single" w:sz="4" w:space="0" w:color="auto"/>
            </w:tcBorders>
            <w:vAlign w:val="center"/>
            <w:hideMark/>
          </w:tcPr>
          <w:p w14:paraId="29FA2761"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7.36%</w:t>
            </w:r>
          </w:p>
        </w:tc>
        <w:tc>
          <w:tcPr>
            <w:tcW w:w="2180" w:type="dxa"/>
            <w:gridSpan w:val="2"/>
            <w:tcBorders>
              <w:top w:val="single" w:sz="4" w:space="0" w:color="auto"/>
              <w:left w:val="nil"/>
              <w:bottom w:val="single" w:sz="4" w:space="0" w:color="auto"/>
              <w:right w:val="single" w:sz="4" w:space="0" w:color="auto"/>
            </w:tcBorders>
            <w:vAlign w:val="center"/>
            <w:hideMark/>
          </w:tcPr>
          <w:p w14:paraId="7CC56DEE"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9.45%</w:t>
            </w:r>
          </w:p>
        </w:tc>
      </w:tr>
      <w:tr w:rsidR="00F95196" w:rsidRPr="00F95196" w14:paraId="6B127BAB" w14:textId="77777777" w:rsidTr="00BE6FF5">
        <w:trPr>
          <w:trHeight w:val="70"/>
        </w:trPr>
        <w:tc>
          <w:tcPr>
            <w:tcW w:w="460" w:type="dxa"/>
            <w:vMerge/>
            <w:tcBorders>
              <w:top w:val="nil"/>
              <w:left w:val="single" w:sz="4" w:space="0" w:color="auto"/>
              <w:bottom w:val="single" w:sz="4" w:space="0" w:color="000000"/>
              <w:right w:val="single" w:sz="4" w:space="0" w:color="auto"/>
            </w:tcBorders>
            <w:vAlign w:val="center"/>
            <w:hideMark/>
          </w:tcPr>
          <w:p w14:paraId="3FC26B8F" w14:textId="77777777" w:rsidR="00F95196" w:rsidRPr="00F95196" w:rsidRDefault="00F95196" w:rsidP="009E3AD8">
            <w:pPr>
              <w:spacing w:line="276" w:lineRule="auto"/>
              <w:rPr>
                <w:rFonts w:ascii="Calibri" w:hAnsi="Calibri" w:cs="Calibri"/>
                <w:color w:val="000000"/>
                <w:sz w:val="22"/>
                <w:szCs w:val="22"/>
                <w:lang w:val="en-US"/>
              </w:rPr>
            </w:pPr>
          </w:p>
        </w:tc>
        <w:tc>
          <w:tcPr>
            <w:tcW w:w="2360" w:type="dxa"/>
            <w:vMerge/>
            <w:tcBorders>
              <w:top w:val="nil"/>
              <w:left w:val="single" w:sz="4" w:space="0" w:color="auto"/>
              <w:bottom w:val="single" w:sz="4" w:space="0" w:color="000000"/>
              <w:right w:val="single" w:sz="4" w:space="0" w:color="auto"/>
            </w:tcBorders>
            <w:vAlign w:val="center"/>
            <w:hideMark/>
          </w:tcPr>
          <w:p w14:paraId="20A51AE0" w14:textId="77777777" w:rsidR="00F95196" w:rsidRPr="00F95196" w:rsidRDefault="00F95196" w:rsidP="009E3AD8">
            <w:pPr>
              <w:spacing w:line="276" w:lineRule="auto"/>
              <w:rPr>
                <w:rFonts w:ascii="Calibri" w:hAnsi="Calibri" w:cs="Calibri"/>
                <w:color w:val="000000"/>
                <w:sz w:val="22"/>
                <w:szCs w:val="22"/>
                <w:lang w:val="en-US"/>
              </w:rPr>
            </w:pPr>
          </w:p>
        </w:tc>
        <w:tc>
          <w:tcPr>
            <w:tcW w:w="1060" w:type="dxa"/>
            <w:tcBorders>
              <w:top w:val="nil"/>
              <w:left w:val="nil"/>
              <w:bottom w:val="single" w:sz="4" w:space="0" w:color="auto"/>
              <w:right w:val="single" w:sz="4" w:space="0" w:color="auto"/>
            </w:tcBorders>
            <w:vAlign w:val="center"/>
            <w:hideMark/>
          </w:tcPr>
          <w:p w14:paraId="7904D99D"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CB</w:t>
            </w:r>
          </w:p>
        </w:tc>
        <w:tc>
          <w:tcPr>
            <w:tcW w:w="2420" w:type="dxa"/>
            <w:gridSpan w:val="2"/>
            <w:tcBorders>
              <w:top w:val="single" w:sz="4" w:space="0" w:color="auto"/>
              <w:left w:val="nil"/>
              <w:bottom w:val="single" w:sz="4" w:space="0" w:color="auto"/>
              <w:right w:val="single" w:sz="4" w:space="0" w:color="auto"/>
            </w:tcBorders>
            <w:vAlign w:val="center"/>
            <w:hideMark/>
          </w:tcPr>
          <w:p w14:paraId="4A1D5EDC"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6.39%</w:t>
            </w:r>
          </w:p>
        </w:tc>
        <w:tc>
          <w:tcPr>
            <w:tcW w:w="2340" w:type="dxa"/>
            <w:gridSpan w:val="2"/>
            <w:tcBorders>
              <w:top w:val="single" w:sz="4" w:space="0" w:color="auto"/>
              <w:left w:val="nil"/>
              <w:bottom w:val="single" w:sz="4" w:space="0" w:color="auto"/>
              <w:right w:val="single" w:sz="4" w:space="0" w:color="auto"/>
            </w:tcBorders>
            <w:vAlign w:val="center"/>
            <w:hideMark/>
          </w:tcPr>
          <w:p w14:paraId="63CCFD74"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7.47%</w:t>
            </w:r>
          </w:p>
        </w:tc>
        <w:tc>
          <w:tcPr>
            <w:tcW w:w="2180" w:type="dxa"/>
            <w:gridSpan w:val="2"/>
            <w:tcBorders>
              <w:top w:val="single" w:sz="4" w:space="0" w:color="auto"/>
              <w:left w:val="nil"/>
              <w:bottom w:val="single" w:sz="4" w:space="0" w:color="auto"/>
              <w:right w:val="single" w:sz="4" w:space="0" w:color="auto"/>
            </w:tcBorders>
            <w:vAlign w:val="center"/>
            <w:hideMark/>
          </w:tcPr>
          <w:p w14:paraId="4A243BAF" w14:textId="77777777" w:rsidR="00F95196" w:rsidRPr="00F95196" w:rsidRDefault="00F95196" w:rsidP="009E3AD8">
            <w:pPr>
              <w:spacing w:line="276" w:lineRule="auto"/>
              <w:jc w:val="center"/>
              <w:rPr>
                <w:rFonts w:ascii="Calibri" w:hAnsi="Calibri" w:cs="Calibri"/>
                <w:i/>
                <w:iCs/>
                <w:color w:val="000000"/>
                <w:sz w:val="22"/>
                <w:szCs w:val="22"/>
                <w:lang w:val="en-US"/>
              </w:rPr>
            </w:pPr>
            <w:r w:rsidRPr="00F95196">
              <w:rPr>
                <w:rFonts w:ascii="Calibri" w:hAnsi="Calibri" w:cs="Calibri"/>
                <w:i/>
                <w:iCs/>
                <w:color w:val="000000"/>
                <w:sz w:val="22"/>
                <w:szCs w:val="22"/>
                <w:lang w:val="en-US"/>
              </w:rPr>
              <w:t>9.62%</w:t>
            </w:r>
          </w:p>
        </w:tc>
      </w:tr>
    </w:tbl>
    <w:p w14:paraId="3F1F39D2" w14:textId="77777777" w:rsidR="00F95196" w:rsidRPr="00F95196" w:rsidRDefault="00F95196" w:rsidP="009E3AD8">
      <w:pPr>
        <w:spacing w:line="276" w:lineRule="auto"/>
        <w:jc w:val="both"/>
        <w:rPr>
          <w:rFonts w:ascii="Calibri" w:hAnsi="Calibri" w:cs="Calibri"/>
          <w:sz w:val="26"/>
          <w:szCs w:val="26"/>
        </w:rPr>
      </w:pPr>
    </w:p>
    <w:p w14:paraId="2FF6656C" w14:textId="77777777" w:rsidR="00F95196" w:rsidRPr="00F95196" w:rsidRDefault="00F95196" w:rsidP="009E3AD8">
      <w:pPr>
        <w:spacing w:line="276" w:lineRule="auto"/>
        <w:jc w:val="both"/>
        <w:rPr>
          <w:rFonts w:ascii="Calibri" w:hAnsi="Calibri" w:cs="Calibri"/>
          <w:sz w:val="26"/>
          <w:szCs w:val="26"/>
        </w:rPr>
      </w:pPr>
      <w:r w:rsidRPr="00F95196">
        <w:rPr>
          <w:noProof/>
        </w:rPr>
        <w:drawing>
          <wp:inline distT="0" distB="0" distL="0" distR="0" wp14:anchorId="0A8A230C" wp14:editId="57CDB05F">
            <wp:extent cx="6479540" cy="4256405"/>
            <wp:effectExtent l="0" t="0" r="16510" b="10795"/>
            <wp:docPr id="605558022" name="Chart 1">
              <a:extLst xmlns:a="http://schemas.openxmlformats.org/drawingml/2006/main">
                <a:ext uri="{FF2B5EF4-FFF2-40B4-BE49-F238E27FC236}">
                  <a16:creationId xmlns:a16="http://schemas.microsoft.com/office/drawing/2014/main" id="{00000000-0008-0000-0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E5E56B3" w14:textId="77777777" w:rsidR="00F95196" w:rsidRPr="00F95196" w:rsidRDefault="00F95196" w:rsidP="009E3AD8">
      <w:pPr>
        <w:spacing w:line="276" w:lineRule="auto"/>
        <w:ind w:firstLine="720"/>
        <w:jc w:val="both"/>
        <w:rPr>
          <w:rFonts w:ascii="Calibri" w:hAnsi="Calibri" w:cs="Calibri"/>
          <w:sz w:val="26"/>
          <w:szCs w:val="26"/>
        </w:rPr>
      </w:pPr>
      <w:r w:rsidRPr="00F95196">
        <w:rPr>
          <w:rFonts w:ascii="Calibri" w:hAnsi="Calibri" w:cs="Calibri"/>
          <w:sz w:val="26"/>
          <w:szCs w:val="26"/>
        </w:rPr>
        <w:t>Din ponderea fondurilor bugetului Institutului Naţional al Magistraturii şi Şcolii Naţionale de Grefieri în totalul bugetului Consiliului Superior al Magistraturii, prezentată în grafic, fluctuaţia procentului în perioada analizată demonstrează că în domeniul învăţământului de specialitate pentru judecători, procurori şi grefieri s-a avut în vedere asigurarea desfăşurării activităţii în condiţii de calitate şi eficienţă la standarde europene, în ciuda restricţiilor bugetare existente.</w:t>
      </w:r>
    </w:p>
    <w:p w14:paraId="2430CB06" w14:textId="77777777" w:rsidR="00F95196" w:rsidRPr="00F95196" w:rsidRDefault="00F95196" w:rsidP="009E3AD8">
      <w:pPr>
        <w:spacing w:line="276" w:lineRule="auto"/>
        <w:jc w:val="both"/>
        <w:rPr>
          <w:rFonts w:ascii="Calibri" w:hAnsi="Calibri" w:cs="Calibri"/>
          <w:sz w:val="26"/>
          <w:szCs w:val="26"/>
        </w:rPr>
      </w:pPr>
      <w:r w:rsidRPr="00F95196">
        <w:rPr>
          <w:rFonts w:ascii="Calibri" w:hAnsi="Calibri" w:cs="Calibri"/>
          <w:sz w:val="26"/>
          <w:szCs w:val="26"/>
        </w:rPr>
        <w:tab/>
        <w:t>Prin asigurarea unei finanţări corespunzătoare la capitolul „Învăţământ” s-a preconizat dezvoltarea structurii instituţionale a Institutului Naţional al Magistraturii şi a Şcolii Naţionale de Grefieri.</w:t>
      </w:r>
      <w:r w:rsidRPr="00F95196">
        <w:rPr>
          <w:rFonts w:ascii="Calibri" w:hAnsi="Calibri" w:cs="Calibri"/>
          <w:sz w:val="26"/>
          <w:szCs w:val="26"/>
        </w:rPr>
        <w:tab/>
      </w:r>
    </w:p>
    <w:p w14:paraId="7EE96F48" w14:textId="5A28FF02" w:rsidR="00F95196" w:rsidRPr="00F95196" w:rsidRDefault="00F95196" w:rsidP="009E3AD8">
      <w:pPr>
        <w:spacing w:line="276" w:lineRule="auto"/>
        <w:jc w:val="both"/>
        <w:rPr>
          <w:rFonts w:ascii="Calibri" w:hAnsi="Calibri" w:cs="Calibri"/>
          <w:color w:val="000000"/>
          <w:sz w:val="26"/>
          <w:szCs w:val="26"/>
        </w:rPr>
      </w:pPr>
      <w:r w:rsidRPr="00F95196">
        <w:rPr>
          <w:rFonts w:ascii="Calibri" w:hAnsi="Calibri" w:cs="Calibri"/>
          <w:sz w:val="26"/>
          <w:szCs w:val="26"/>
        </w:rPr>
        <w:tab/>
      </w:r>
      <w:r w:rsidRPr="00F95196">
        <w:rPr>
          <w:rFonts w:ascii="Calibri" w:hAnsi="Calibri" w:cs="Calibri"/>
          <w:color w:val="000000"/>
          <w:sz w:val="26"/>
          <w:szCs w:val="26"/>
        </w:rPr>
        <w:t>Programul de cheltuieli pe anul 2025, potrivit bugetului de stat aprobat prin Legea nr.</w:t>
      </w:r>
      <w:r w:rsidR="00FB1CDB">
        <w:rPr>
          <w:rFonts w:ascii="Calibri" w:hAnsi="Calibri" w:cs="Calibri"/>
          <w:color w:val="000000"/>
          <w:sz w:val="26"/>
          <w:szCs w:val="26"/>
        </w:rPr>
        <w:t xml:space="preserve"> </w:t>
      </w:r>
      <w:r w:rsidRPr="00F95196">
        <w:rPr>
          <w:rFonts w:ascii="Calibri" w:hAnsi="Calibri" w:cs="Calibri"/>
          <w:color w:val="000000"/>
          <w:sz w:val="26"/>
          <w:szCs w:val="26"/>
        </w:rPr>
        <w:t xml:space="preserve">9/2025, a susţinut financiar atât activitatea curentă a Consiliului Superior al Magistraturii cu </w:t>
      </w:r>
      <w:r w:rsidRPr="00F95196">
        <w:rPr>
          <w:rFonts w:ascii="Calibri" w:hAnsi="Calibri" w:cs="Calibri"/>
          <w:color w:val="000000"/>
          <w:sz w:val="26"/>
          <w:szCs w:val="26"/>
        </w:rPr>
        <w:lastRenderedPageBreak/>
        <w:t xml:space="preserve">unităţile din coordonare, cât şi derularea activităţilor cu privire la </w:t>
      </w:r>
      <w:r w:rsidRPr="00F95196">
        <w:rPr>
          <w:rFonts w:ascii="Calibri" w:hAnsi="Calibri" w:cs="Calibri"/>
          <w:sz w:val="26"/>
          <w:szCs w:val="26"/>
        </w:rPr>
        <w:t>planul de acţiune privind reforma în justiţie</w:t>
      </w:r>
      <w:r w:rsidRPr="00F95196">
        <w:rPr>
          <w:rFonts w:ascii="Calibri" w:hAnsi="Calibri" w:cs="Calibri"/>
          <w:color w:val="000000"/>
          <w:sz w:val="26"/>
          <w:szCs w:val="26"/>
        </w:rPr>
        <w:t xml:space="preserve">. </w:t>
      </w:r>
    </w:p>
    <w:p w14:paraId="5C5F0FA5" w14:textId="78995A78" w:rsidR="00F95196" w:rsidRPr="00F95196" w:rsidRDefault="00F95196" w:rsidP="009E3AD8">
      <w:pPr>
        <w:spacing w:line="276" w:lineRule="auto"/>
        <w:ind w:firstLine="720"/>
        <w:jc w:val="both"/>
        <w:rPr>
          <w:rFonts w:ascii="Calibri" w:hAnsi="Calibri" w:cs="Calibri"/>
          <w:color w:val="000000"/>
          <w:sz w:val="26"/>
          <w:szCs w:val="26"/>
        </w:rPr>
      </w:pPr>
      <w:r w:rsidRPr="00F95196">
        <w:rPr>
          <w:rFonts w:ascii="Calibri" w:hAnsi="Calibri" w:cs="Calibri"/>
          <w:color w:val="000000"/>
          <w:sz w:val="26"/>
          <w:szCs w:val="26"/>
        </w:rPr>
        <w:t xml:space="preserve">Asigurarea resurselor materiale necesare este esenţială pentru buna funcţionare a Consiliului Superior al Magistraturii, în calitate de garant al independenţei justiţiei. </w:t>
      </w:r>
    </w:p>
    <w:p w14:paraId="45E81BC3" w14:textId="77777777" w:rsidR="00F95196" w:rsidRPr="00F95196" w:rsidRDefault="00F95196" w:rsidP="009E3AD8">
      <w:pPr>
        <w:spacing w:line="276" w:lineRule="auto"/>
        <w:ind w:firstLine="720"/>
        <w:jc w:val="both"/>
        <w:rPr>
          <w:rFonts w:ascii="Calibri" w:hAnsi="Calibri" w:cs="Calibri"/>
          <w:color w:val="000000"/>
          <w:sz w:val="26"/>
          <w:szCs w:val="26"/>
        </w:rPr>
      </w:pPr>
      <w:r w:rsidRPr="00F95196">
        <w:rPr>
          <w:rFonts w:ascii="Calibri" w:hAnsi="Calibri" w:cs="Calibri"/>
          <w:color w:val="000000"/>
          <w:sz w:val="26"/>
          <w:szCs w:val="26"/>
        </w:rPr>
        <w:t>Locul justiţiei în echilibrul puterilor, ca putere/autoritate a statului de drept nu poate fi garantat fără să se asigure şi independenţa financiară a acesteia, în sensul că bugetele trebuie să fie stabilite, pe de o parte, în funcţie de o serie de factori obiectivi (volum de activitate, schemele de personal, etc.), iar pe de altă parte, la un nivel corespunzător, care să permită îndeplinirea rolului social şi a atribuţiilor prevăzute de lege pentru sistemul judiciar.</w:t>
      </w:r>
    </w:p>
    <w:p w14:paraId="747DD41D" w14:textId="77777777" w:rsidR="00F95196" w:rsidRPr="00F95196" w:rsidRDefault="00F95196" w:rsidP="009E3AD8">
      <w:pPr>
        <w:spacing w:line="276" w:lineRule="auto"/>
        <w:ind w:firstLine="720"/>
        <w:jc w:val="both"/>
        <w:rPr>
          <w:rFonts w:ascii="Calibri" w:hAnsi="Calibri" w:cs="Calibri"/>
          <w:color w:val="000000"/>
          <w:sz w:val="26"/>
          <w:szCs w:val="26"/>
        </w:rPr>
      </w:pPr>
      <w:r w:rsidRPr="00F95196">
        <w:rPr>
          <w:rFonts w:ascii="Calibri" w:hAnsi="Calibri" w:cs="Calibri"/>
          <w:color w:val="000000"/>
          <w:sz w:val="26"/>
          <w:szCs w:val="26"/>
        </w:rPr>
        <w:t>În calitate de ordonator principal de credite, Consiliul Superior al Magistraturii prin Direcţia Economică şi Administrativ a încercat să răspundă, în limita permisă de lege, la toate solicitările Inspecției Judiciare, Institutului Naţional al Magistraturii și a Şcolii Naţionale de Grefieri.</w:t>
      </w:r>
    </w:p>
    <w:p w14:paraId="1A3F594B" w14:textId="77777777" w:rsidR="00F95196" w:rsidRPr="00F95196" w:rsidRDefault="00F95196" w:rsidP="009E3AD8">
      <w:pPr>
        <w:spacing w:line="276" w:lineRule="auto"/>
        <w:ind w:firstLine="720"/>
        <w:jc w:val="both"/>
        <w:rPr>
          <w:rFonts w:ascii="Calibri" w:hAnsi="Calibri" w:cs="Calibri"/>
          <w:color w:val="000000"/>
          <w:sz w:val="26"/>
          <w:szCs w:val="26"/>
        </w:rPr>
      </w:pPr>
      <w:r w:rsidRPr="00F95196">
        <w:rPr>
          <w:rFonts w:ascii="Calibri" w:hAnsi="Calibri" w:cs="Calibri"/>
          <w:color w:val="000000"/>
          <w:sz w:val="26"/>
          <w:szCs w:val="26"/>
        </w:rPr>
        <w:t>În ceea ce priveşte măsurile luate la nivelul Consiliul Superior al Magistraturii – Direcţia Economică şi Administrativ pentru combaterea stării de subfinanţare, s-au avut în vedere următoarele:</w:t>
      </w:r>
    </w:p>
    <w:p w14:paraId="0B51565C" w14:textId="77777777" w:rsidR="00F95196" w:rsidRPr="00F95196" w:rsidRDefault="00F95196" w:rsidP="00281400">
      <w:pPr>
        <w:numPr>
          <w:ilvl w:val="0"/>
          <w:numId w:val="9"/>
        </w:numPr>
        <w:tabs>
          <w:tab w:val="left" w:pos="990"/>
        </w:tabs>
        <w:spacing w:line="276" w:lineRule="auto"/>
        <w:ind w:left="0" w:firstLine="720"/>
        <w:jc w:val="both"/>
        <w:rPr>
          <w:rFonts w:ascii="Calibri" w:hAnsi="Calibri" w:cs="Calibri"/>
          <w:color w:val="000000"/>
          <w:sz w:val="26"/>
          <w:szCs w:val="26"/>
        </w:rPr>
      </w:pPr>
      <w:r w:rsidRPr="00F95196">
        <w:rPr>
          <w:rFonts w:ascii="Calibri" w:hAnsi="Calibri" w:cs="Calibri"/>
          <w:color w:val="000000"/>
          <w:sz w:val="26"/>
          <w:szCs w:val="26"/>
        </w:rPr>
        <w:t>creşterea gradului de accesare printr-o gestionare eficientă a fondurilor europene pentru dotări şi servicii;</w:t>
      </w:r>
    </w:p>
    <w:p w14:paraId="4A6ABF2B" w14:textId="77777777" w:rsidR="00F95196" w:rsidRPr="00F95196" w:rsidRDefault="00F95196" w:rsidP="00281400">
      <w:pPr>
        <w:numPr>
          <w:ilvl w:val="0"/>
          <w:numId w:val="9"/>
        </w:numPr>
        <w:tabs>
          <w:tab w:val="left" w:pos="990"/>
        </w:tabs>
        <w:spacing w:line="276" w:lineRule="auto"/>
        <w:ind w:left="0" w:firstLine="720"/>
        <w:jc w:val="both"/>
        <w:rPr>
          <w:rFonts w:ascii="Calibri" w:hAnsi="Calibri" w:cs="Calibri"/>
          <w:color w:val="000000"/>
          <w:sz w:val="26"/>
          <w:szCs w:val="26"/>
        </w:rPr>
      </w:pPr>
      <w:r w:rsidRPr="00F95196">
        <w:rPr>
          <w:rFonts w:ascii="Calibri" w:hAnsi="Calibri" w:cs="Calibri"/>
          <w:color w:val="000000"/>
          <w:sz w:val="26"/>
          <w:szCs w:val="26"/>
        </w:rPr>
        <w:t>utilizarea pudențială a fondurilor alocate pentru cheltuieli materiale şi servicii;</w:t>
      </w:r>
    </w:p>
    <w:p w14:paraId="7C34B3DA" w14:textId="77777777" w:rsidR="00F95196" w:rsidRPr="00F95196" w:rsidRDefault="00F95196" w:rsidP="00281400">
      <w:pPr>
        <w:numPr>
          <w:ilvl w:val="0"/>
          <w:numId w:val="9"/>
        </w:numPr>
        <w:tabs>
          <w:tab w:val="left" w:pos="990"/>
        </w:tabs>
        <w:spacing w:line="276" w:lineRule="auto"/>
        <w:ind w:left="0" w:firstLine="720"/>
        <w:jc w:val="both"/>
        <w:rPr>
          <w:rFonts w:ascii="Calibri" w:hAnsi="Calibri" w:cs="Calibri"/>
          <w:color w:val="000000"/>
          <w:sz w:val="26"/>
          <w:szCs w:val="26"/>
        </w:rPr>
      </w:pPr>
      <w:r w:rsidRPr="00F95196">
        <w:rPr>
          <w:rFonts w:ascii="Calibri" w:hAnsi="Calibri" w:cs="Calibri"/>
          <w:color w:val="000000"/>
          <w:sz w:val="26"/>
          <w:szCs w:val="26"/>
        </w:rPr>
        <w:t>îmbunătăţirea mediului de control intern pentru o mai bună alocare a resurselor pe destinaţii de cheltuieli;</w:t>
      </w:r>
    </w:p>
    <w:p w14:paraId="0CE4AD3B" w14:textId="77777777" w:rsidR="00F95196" w:rsidRPr="00F95196" w:rsidRDefault="00F95196" w:rsidP="00281400">
      <w:pPr>
        <w:numPr>
          <w:ilvl w:val="0"/>
          <w:numId w:val="9"/>
        </w:numPr>
        <w:tabs>
          <w:tab w:val="left" w:pos="990"/>
        </w:tabs>
        <w:spacing w:line="276" w:lineRule="auto"/>
        <w:ind w:left="0" w:firstLine="720"/>
        <w:jc w:val="both"/>
        <w:rPr>
          <w:rFonts w:ascii="Calibri" w:hAnsi="Calibri" w:cs="Calibri"/>
          <w:color w:val="000000"/>
          <w:sz w:val="26"/>
          <w:szCs w:val="26"/>
        </w:rPr>
      </w:pPr>
      <w:r w:rsidRPr="00F95196">
        <w:rPr>
          <w:rFonts w:ascii="Calibri" w:hAnsi="Calibri" w:cs="Calibri"/>
          <w:color w:val="000000"/>
          <w:sz w:val="26"/>
          <w:szCs w:val="26"/>
        </w:rPr>
        <w:t>prioritizarea cheltuielilor corespunzător politicilor publice.</w:t>
      </w:r>
    </w:p>
    <w:p w14:paraId="755C4CD7" w14:textId="1B9406FB" w:rsidR="00AA27EF" w:rsidRDefault="00AA27EF">
      <w:pPr>
        <w:spacing w:after="160" w:line="259" w:lineRule="auto"/>
      </w:pPr>
      <w:r>
        <w:br w:type="page"/>
      </w:r>
    </w:p>
    <w:p w14:paraId="69A729EB" w14:textId="77777777" w:rsidR="00D92C14" w:rsidRPr="000F0D8B" w:rsidRDefault="006C1588" w:rsidP="009E3AD8">
      <w:pPr>
        <w:pStyle w:val="Heading1"/>
        <w:keepNext w:val="0"/>
        <w:keepLines w:val="0"/>
        <w:suppressLineNumbers/>
        <w:suppressAutoHyphens/>
        <w:ind w:firstLine="0"/>
        <w:rPr>
          <w:rStyle w:val="Heading1Char"/>
          <w:rFonts w:cstheme="minorHAnsi"/>
          <w:b/>
          <w:color w:val="auto"/>
          <w:sz w:val="26"/>
          <w:szCs w:val="26"/>
        </w:rPr>
      </w:pPr>
      <w:bookmarkStart w:id="133" w:name="_Toc219287974"/>
      <w:bookmarkStart w:id="134" w:name="_Toc430867127"/>
      <w:r w:rsidRPr="000F0D8B">
        <w:rPr>
          <w:rStyle w:val="Heading1Char"/>
          <w:rFonts w:cstheme="minorHAnsi"/>
          <w:b/>
          <w:color w:val="auto"/>
          <w:sz w:val="26"/>
          <w:szCs w:val="26"/>
        </w:rPr>
        <w:lastRenderedPageBreak/>
        <w:t>CAPITOLUL VI</w:t>
      </w:r>
      <w:bookmarkEnd w:id="133"/>
    </w:p>
    <w:p w14:paraId="4A49E20B" w14:textId="1F04D731" w:rsidR="006C1588" w:rsidRDefault="006C1588" w:rsidP="009E3AD8">
      <w:pPr>
        <w:pStyle w:val="Heading1"/>
        <w:keepNext w:val="0"/>
        <w:keepLines w:val="0"/>
        <w:suppressLineNumbers/>
        <w:suppressAutoHyphens/>
        <w:ind w:firstLine="0"/>
        <w:rPr>
          <w:rFonts w:cstheme="minorHAnsi"/>
          <w:color w:val="auto"/>
          <w:sz w:val="26"/>
          <w:szCs w:val="26"/>
        </w:rPr>
      </w:pPr>
      <w:bookmarkStart w:id="135" w:name="_Toc219287975"/>
      <w:r w:rsidRPr="000F0D8B">
        <w:rPr>
          <w:rStyle w:val="Heading1Char"/>
          <w:rFonts w:cstheme="minorHAnsi"/>
          <w:b/>
          <w:color w:val="auto"/>
          <w:sz w:val="26"/>
          <w:szCs w:val="26"/>
        </w:rPr>
        <w:t>Alte aspecte privind activitatea aparatului propriu de asigurare a</w:t>
      </w:r>
      <w:r w:rsidRPr="000F0D8B">
        <w:rPr>
          <w:rFonts w:cstheme="minorHAnsi"/>
          <w:color w:val="auto"/>
          <w:sz w:val="26"/>
          <w:szCs w:val="26"/>
        </w:rPr>
        <w:t xml:space="preserve"> suportului tehnic pentru îndeplinirea atribuţiilor Consiliului Superior al Magistraturii</w:t>
      </w:r>
      <w:bookmarkEnd w:id="134"/>
      <w:bookmarkEnd w:id="135"/>
    </w:p>
    <w:p w14:paraId="5E05A32B" w14:textId="390FB6EF" w:rsidR="00D24A1E" w:rsidRDefault="00773195" w:rsidP="009E3AD8">
      <w:pPr>
        <w:pStyle w:val="Heading2"/>
        <w:keepNext w:val="0"/>
        <w:keepLines w:val="0"/>
        <w:suppressLineNumbers/>
        <w:suppressAutoHyphens/>
        <w:jc w:val="both"/>
        <w:rPr>
          <w:rFonts w:cstheme="minorHAnsi"/>
          <w:color w:val="auto"/>
          <w:lang w:val="ro-RO"/>
        </w:rPr>
      </w:pPr>
      <w:bookmarkStart w:id="136" w:name="_Toc219287976"/>
      <w:bookmarkStart w:id="137" w:name="_Toc430867129"/>
      <w:r w:rsidRPr="000F0D8B">
        <w:rPr>
          <w:rFonts w:cstheme="minorHAnsi"/>
          <w:color w:val="auto"/>
          <w:lang w:val="ro-RO"/>
        </w:rPr>
        <w:t>VI.1.</w:t>
      </w:r>
      <w:r w:rsidR="00CA5B7B" w:rsidRPr="000F0D8B">
        <w:rPr>
          <w:rFonts w:cstheme="minorHAnsi"/>
          <w:color w:val="auto"/>
          <w:lang w:val="ro-RO"/>
        </w:rPr>
        <w:t xml:space="preserve"> </w:t>
      </w:r>
      <w:r w:rsidRPr="000F0D8B">
        <w:rPr>
          <w:rFonts w:cstheme="minorHAnsi"/>
          <w:color w:val="auto"/>
          <w:lang w:val="ro-RO"/>
        </w:rPr>
        <w:t>Activitatea Direcţiei resurse umane şi organizare</w:t>
      </w:r>
      <w:bookmarkEnd w:id="136"/>
    </w:p>
    <w:p w14:paraId="76E58DF4" w14:textId="77777777" w:rsidR="00E04AB9" w:rsidRPr="004A72CD" w:rsidRDefault="00E04AB9" w:rsidP="009E3AD8">
      <w:pPr>
        <w:widowControl w:val="0"/>
        <w:autoSpaceDE w:val="0"/>
        <w:autoSpaceDN w:val="0"/>
        <w:adjustRightInd w:val="0"/>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Activitatea specifică derulată la nivelul direcţiei presupune o serie de acţiuni care nu impun inventarierea acestora, dar care implică timp şi documentare corespunzătoare, fiind absolut necesare pentru actualizarea evidenţelor direcţiei, în raport de care se desfăşoară întreaga activitate a Consiliului Superior al Magistraturii în domeniul gestionării carierei judecătorilor şi procurorilor, respectiv al organizării instanţelor şi parchetelor.</w:t>
      </w:r>
    </w:p>
    <w:p w14:paraId="5F83B65C" w14:textId="333F1F64" w:rsidR="00E04AB9" w:rsidRPr="004A72CD" w:rsidRDefault="00E04AB9" w:rsidP="00FD6793">
      <w:pPr>
        <w:keepNext/>
        <w:keepLines/>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Activităţile derulate în perioada analizată la nivelul Serviciului resurse umane pentru instanţele judecătoreşti şi al Serviciului resurse umane pentru parchete s-au concretizat în rezultatele expuse în prezentul raport la capitolele referitoare la gestionarea carierei profesionale a judecătorilor şi procurorilor, </w:t>
      </w:r>
      <w:r w:rsidR="00FD6793">
        <w:rPr>
          <w:rFonts w:asciiTheme="minorHAnsi" w:hAnsiTheme="minorHAnsi" w:cstheme="minorHAnsi"/>
          <w:sz w:val="26"/>
          <w:szCs w:val="26"/>
        </w:rPr>
        <w:t xml:space="preserve">motiv pentru care nu vor fi reluate, </w:t>
      </w:r>
      <w:r w:rsidRPr="004A72CD">
        <w:rPr>
          <w:rFonts w:asciiTheme="minorHAnsi" w:hAnsiTheme="minorHAnsi" w:cstheme="minorHAnsi"/>
          <w:sz w:val="26"/>
          <w:szCs w:val="26"/>
        </w:rPr>
        <w:t xml:space="preserve">un rol important având aici şi </w:t>
      </w:r>
      <w:r>
        <w:rPr>
          <w:rFonts w:asciiTheme="minorHAnsi" w:hAnsiTheme="minorHAnsi" w:cstheme="minorHAnsi"/>
          <w:sz w:val="26"/>
          <w:szCs w:val="26"/>
        </w:rPr>
        <w:t xml:space="preserve">Serviciul concursuri şi formare profesională </w:t>
      </w:r>
      <w:r w:rsidRPr="004A72CD">
        <w:rPr>
          <w:rFonts w:asciiTheme="minorHAnsi" w:hAnsiTheme="minorHAnsi" w:cstheme="minorHAnsi"/>
          <w:sz w:val="26"/>
          <w:szCs w:val="26"/>
        </w:rPr>
        <w:t>din cadrul direcţiei, a cărui activitate va fi prezentată în cele ce urmează</w:t>
      </w:r>
      <w:r w:rsidR="00FD6793">
        <w:rPr>
          <w:rFonts w:asciiTheme="minorHAnsi" w:hAnsiTheme="minorHAnsi" w:cstheme="minorHAnsi"/>
          <w:sz w:val="26"/>
          <w:szCs w:val="26"/>
        </w:rPr>
        <w:t>.</w:t>
      </w:r>
    </w:p>
    <w:p w14:paraId="5AF7D6D7" w14:textId="0D795C61" w:rsidR="00E04AB9" w:rsidRPr="004A72CD" w:rsidRDefault="00E04AB9" w:rsidP="009E3AD8">
      <w:pPr>
        <w:tabs>
          <w:tab w:val="left" w:pos="8550"/>
        </w:tabs>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Începând cu luna decembrie 2022 au </w:t>
      </w:r>
      <w:r w:rsidR="00FD6793">
        <w:rPr>
          <w:rFonts w:asciiTheme="minorHAnsi" w:hAnsiTheme="minorHAnsi" w:cstheme="minorHAnsi"/>
          <w:sz w:val="26"/>
          <w:szCs w:val="26"/>
        </w:rPr>
        <w:t>intrat</w:t>
      </w:r>
      <w:r w:rsidRPr="004A72CD">
        <w:rPr>
          <w:rFonts w:asciiTheme="minorHAnsi" w:hAnsiTheme="minorHAnsi" w:cstheme="minorHAnsi"/>
          <w:sz w:val="26"/>
          <w:szCs w:val="26"/>
        </w:rPr>
        <w:t xml:space="preserve"> în vigoare </w:t>
      </w:r>
      <w:r w:rsidR="00FD6793">
        <w:rPr>
          <w:rFonts w:asciiTheme="minorHAnsi" w:hAnsiTheme="minorHAnsi" w:cstheme="minorHAnsi"/>
          <w:sz w:val="26"/>
          <w:szCs w:val="26"/>
        </w:rPr>
        <w:t>prevederile</w:t>
      </w:r>
      <w:r w:rsidRPr="004A72CD">
        <w:rPr>
          <w:rFonts w:asciiTheme="minorHAnsi" w:hAnsiTheme="minorHAnsi" w:cstheme="minorHAnsi"/>
          <w:sz w:val="26"/>
          <w:szCs w:val="26"/>
        </w:rPr>
        <w:t xml:space="preserve"> Legii nr. 303/2022 privind statutul judecătorilor şi procurorilor, care statuează, în ceea ce priveşte instituţia transferului judecătorilor, că declanşarea procedurilor se aprobă de preşedintele Consiliului Superior al Magistraturii.</w:t>
      </w:r>
    </w:p>
    <w:p w14:paraId="70F9D3C3" w14:textId="35102815" w:rsidR="00E04AB9" w:rsidRPr="004A72CD" w:rsidRDefault="00E04AB9" w:rsidP="009E3AD8">
      <w:pPr>
        <w:shd w:val="clear" w:color="auto" w:fill="FFFFFF"/>
        <w:spacing w:line="276" w:lineRule="auto"/>
        <w:ind w:right="-2" w:firstLine="709"/>
        <w:jc w:val="both"/>
        <w:rPr>
          <w:rFonts w:asciiTheme="minorHAnsi" w:eastAsia="Calibri" w:hAnsiTheme="minorHAnsi" w:cstheme="minorHAnsi"/>
          <w:sz w:val="26"/>
          <w:szCs w:val="26"/>
          <w:lang w:eastAsia="ro-RO"/>
        </w:rPr>
      </w:pPr>
      <w:r w:rsidRPr="004A72CD">
        <w:rPr>
          <w:rFonts w:asciiTheme="minorHAnsi" w:eastAsia="Calibri" w:hAnsiTheme="minorHAnsi" w:cstheme="minorHAnsi"/>
          <w:sz w:val="26"/>
          <w:szCs w:val="26"/>
          <w:lang w:eastAsia="ro-RO"/>
        </w:rPr>
        <w:t>În ceea ce priveşte modalitatea de depunere a cererilor de transfer, la nivelul Consiliului</w:t>
      </w:r>
      <w:r w:rsidR="000F05F2">
        <w:rPr>
          <w:rFonts w:asciiTheme="minorHAnsi" w:eastAsia="Calibri" w:hAnsiTheme="minorHAnsi" w:cstheme="minorHAnsi"/>
          <w:sz w:val="26"/>
          <w:szCs w:val="26"/>
          <w:lang w:eastAsia="ro-RO"/>
        </w:rPr>
        <w:t xml:space="preserve"> </w:t>
      </w:r>
      <w:r w:rsidRPr="004A72CD">
        <w:rPr>
          <w:rFonts w:asciiTheme="minorHAnsi" w:eastAsia="Calibri" w:hAnsiTheme="minorHAnsi" w:cstheme="minorHAnsi"/>
          <w:sz w:val="26"/>
          <w:szCs w:val="26"/>
          <w:lang w:eastAsia="ro-RO"/>
        </w:rPr>
        <w:t xml:space="preserve">s-a menţinut aceeaşi linie, respectiv ca acestea să fie depuse doar online, similar procedurilor deja utilizate pentru concursurile de admitere la I.N.M., admitere în magistratură, promovare a judecătorilor, fiind elaborat un program în acest sens, accesibil tuturor judecătorilor în sistemul </w:t>
      </w:r>
      <w:r w:rsidRPr="00CB6E26">
        <w:rPr>
          <w:rFonts w:asciiTheme="minorHAnsi" w:eastAsia="Calibri" w:hAnsiTheme="minorHAnsi" w:cstheme="minorHAnsi"/>
          <w:sz w:val="26"/>
          <w:szCs w:val="26"/>
          <w:lang w:eastAsia="ro-RO"/>
        </w:rPr>
        <w:t xml:space="preserve">informatic CSMapp. </w:t>
      </w:r>
    </w:p>
    <w:p w14:paraId="3B3DE1FE" w14:textId="77777777" w:rsidR="00E04AB9" w:rsidRPr="004A72CD" w:rsidRDefault="00E04AB9" w:rsidP="009E3AD8">
      <w:pPr>
        <w:shd w:val="clear" w:color="auto" w:fill="FFFFFF"/>
        <w:spacing w:line="276" w:lineRule="auto"/>
        <w:ind w:right="-2" w:firstLine="709"/>
        <w:jc w:val="both"/>
        <w:rPr>
          <w:rFonts w:asciiTheme="minorHAnsi" w:eastAsia="Calibri" w:hAnsiTheme="minorHAnsi" w:cstheme="minorHAnsi"/>
          <w:sz w:val="26"/>
          <w:szCs w:val="26"/>
          <w:lang w:eastAsia="ro-RO"/>
        </w:rPr>
      </w:pPr>
      <w:r w:rsidRPr="004A72CD">
        <w:rPr>
          <w:rFonts w:asciiTheme="minorHAnsi" w:eastAsia="Calibri" w:hAnsiTheme="minorHAnsi" w:cstheme="minorHAnsi"/>
          <w:sz w:val="26"/>
          <w:szCs w:val="26"/>
          <w:lang w:eastAsia="ro-RO"/>
        </w:rPr>
        <w:t>Modificarea practicii anterioare în care cererile de transfer şi documentele transmise în motivare se depuneau în format scriptic a condus la o mai bună gestionare a cererilor de transfer, la folosirea în mod eficient a resurselor disponibile şi la reducerea situaţiilor în care apar erori cu privire la înaintarea şi înregistrarea cererilor.</w:t>
      </w:r>
    </w:p>
    <w:p w14:paraId="50139461" w14:textId="03D9A20D" w:rsidR="00E04AB9" w:rsidRPr="005B3466" w:rsidRDefault="00E04AB9" w:rsidP="009E3AD8">
      <w:pPr>
        <w:tabs>
          <w:tab w:val="left" w:pos="8550"/>
        </w:tabs>
        <w:spacing w:line="276" w:lineRule="auto"/>
        <w:ind w:right="-2" w:firstLine="709"/>
        <w:jc w:val="both"/>
        <w:rPr>
          <w:rFonts w:asciiTheme="minorHAnsi" w:eastAsia="Calibri" w:hAnsiTheme="minorHAnsi" w:cstheme="minorHAnsi"/>
          <w:sz w:val="26"/>
          <w:szCs w:val="26"/>
          <w:lang w:eastAsia="ro-RO"/>
        </w:rPr>
      </w:pPr>
      <w:r w:rsidRPr="004A72CD">
        <w:rPr>
          <w:rFonts w:asciiTheme="minorHAnsi" w:hAnsiTheme="minorHAnsi" w:cstheme="minorHAnsi"/>
          <w:sz w:val="26"/>
          <w:szCs w:val="26"/>
        </w:rPr>
        <w:t xml:space="preserve">Astfel, în sesiunea </w:t>
      </w:r>
      <w:r w:rsidRPr="00D60428">
        <w:rPr>
          <w:rFonts w:asciiTheme="minorHAnsi" w:hAnsiTheme="minorHAnsi" w:cstheme="minorHAnsi"/>
          <w:sz w:val="26"/>
          <w:szCs w:val="26"/>
        </w:rPr>
        <w:t>martie</w:t>
      </w:r>
      <w:r w:rsidR="001B2248">
        <w:rPr>
          <w:rFonts w:asciiTheme="minorHAnsi" w:hAnsiTheme="minorHAnsi" w:cstheme="minorHAnsi"/>
          <w:sz w:val="26"/>
          <w:szCs w:val="26"/>
        </w:rPr>
        <w:t xml:space="preserve"> </w:t>
      </w:r>
      <w:r w:rsidRPr="00D60428">
        <w:rPr>
          <w:rFonts w:asciiTheme="minorHAnsi" w:hAnsiTheme="minorHAnsi" w:cstheme="minorHAnsi"/>
          <w:sz w:val="26"/>
          <w:szCs w:val="26"/>
        </w:rPr>
        <w:t>-</w:t>
      </w:r>
      <w:r w:rsidR="001B2248">
        <w:rPr>
          <w:rFonts w:asciiTheme="minorHAnsi" w:hAnsiTheme="minorHAnsi" w:cstheme="minorHAnsi"/>
          <w:sz w:val="26"/>
          <w:szCs w:val="26"/>
        </w:rPr>
        <w:t xml:space="preserve"> </w:t>
      </w:r>
      <w:r w:rsidRPr="00D60428">
        <w:rPr>
          <w:rFonts w:asciiTheme="minorHAnsi" w:hAnsiTheme="minorHAnsi" w:cstheme="minorHAnsi"/>
          <w:sz w:val="26"/>
          <w:szCs w:val="26"/>
        </w:rPr>
        <w:t>aprilie 2025</w:t>
      </w:r>
      <w:r w:rsidRPr="004A72CD">
        <w:rPr>
          <w:rFonts w:asciiTheme="minorHAnsi" w:hAnsiTheme="minorHAnsi" w:cstheme="minorHAnsi"/>
          <w:sz w:val="26"/>
          <w:szCs w:val="26"/>
        </w:rPr>
        <w:t xml:space="preserve">, la nivelul </w:t>
      </w:r>
      <w:r w:rsidRPr="004A72CD">
        <w:rPr>
          <w:rFonts w:asciiTheme="minorHAnsi" w:hAnsiTheme="minorHAnsi" w:cstheme="minorHAnsi"/>
          <w:iCs/>
          <w:sz w:val="26"/>
          <w:szCs w:val="26"/>
        </w:rPr>
        <w:t xml:space="preserve">Serviciului resurse umane pentru instanţele judecătoreşti </w:t>
      </w:r>
      <w:r w:rsidRPr="004A72CD">
        <w:rPr>
          <w:rFonts w:asciiTheme="minorHAnsi" w:hAnsiTheme="minorHAnsi" w:cstheme="minorHAnsi"/>
          <w:sz w:val="26"/>
          <w:szCs w:val="26"/>
        </w:rPr>
        <w:t xml:space="preserve">au fost elaborate lucrările necesare pentru analizarea a </w:t>
      </w:r>
      <w:r w:rsidRPr="00D60428">
        <w:rPr>
          <w:rFonts w:asciiTheme="minorHAnsi" w:eastAsia="Calibri" w:hAnsiTheme="minorHAnsi" w:cstheme="minorHAnsi"/>
          <w:sz w:val="26"/>
          <w:szCs w:val="26"/>
        </w:rPr>
        <w:t xml:space="preserve">330 </w:t>
      </w:r>
      <w:r w:rsidRPr="004A72CD">
        <w:rPr>
          <w:rFonts w:asciiTheme="minorHAnsi" w:eastAsia="Calibri" w:hAnsiTheme="minorHAnsi" w:cstheme="minorHAnsi"/>
          <w:sz w:val="26"/>
          <w:szCs w:val="26"/>
        </w:rPr>
        <w:t>de cereri de transfer depuse pentru etapa 1</w:t>
      </w:r>
      <w:r w:rsidR="00FD6793">
        <w:rPr>
          <w:rFonts w:asciiTheme="minorHAnsi" w:eastAsia="Calibri" w:hAnsiTheme="minorHAnsi" w:cstheme="minorHAnsi"/>
          <w:sz w:val="26"/>
          <w:szCs w:val="26"/>
        </w:rPr>
        <w:t>,</w:t>
      </w:r>
      <w:r w:rsidRPr="004A72CD">
        <w:rPr>
          <w:rFonts w:asciiTheme="minorHAnsi" w:eastAsia="Calibri" w:hAnsiTheme="minorHAnsi" w:cstheme="minorHAnsi"/>
          <w:sz w:val="26"/>
          <w:szCs w:val="26"/>
        </w:rPr>
        <w:t xml:space="preserve"> </w:t>
      </w:r>
      <w:r w:rsidRPr="005B3466">
        <w:rPr>
          <w:rFonts w:asciiTheme="minorHAnsi" w:eastAsia="Calibri" w:hAnsiTheme="minorHAnsi" w:cstheme="minorHAnsi"/>
          <w:sz w:val="26"/>
          <w:szCs w:val="26"/>
          <w:lang w:eastAsia="ro-RO"/>
        </w:rPr>
        <w:t xml:space="preserve">fiind admise </w:t>
      </w:r>
      <w:r w:rsidRPr="00CB6E26">
        <w:rPr>
          <w:rFonts w:asciiTheme="minorHAnsi" w:eastAsia="Calibri" w:hAnsiTheme="minorHAnsi" w:cstheme="minorHAnsi"/>
          <w:sz w:val="26"/>
          <w:szCs w:val="26"/>
          <w:lang w:eastAsia="ro-RO"/>
        </w:rPr>
        <w:t xml:space="preserve">83 </w:t>
      </w:r>
      <w:r w:rsidR="00C411D3">
        <w:rPr>
          <w:rFonts w:asciiTheme="minorHAnsi" w:eastAsia="Calibri" w:hAnsiTheme="minorHAnsi" w:cstheme="minorHAnsi"/>
          <w:sz w:val="26"/>
          <w:szCs w:val="26"/>
          <w:lang w:eastAsia="ro-RO"/>
        </w:rPr>
        <w:t xml:space="preserve">de </w:t>
      </w:r>
      <w:r w:rsidRPr="00CB6E26">
        <w:rPr>
          <w:rFonts w:asciiTheme="minorHAnsi" w:eastAsia="Calibri" w:hAnsiTheme="minorHAnsi" w:cstheme="minorHAnsi"/>
          <w:sz w:val="26"/>
          <w:szCs w:val="26"/>
          <w:lang w:eastAsia="ro-RO"/>
        </w:rPr>
        <w:t>cereri, precum şi a 167 de cereri depuse pentru etapa 2 de transfer formulate de judecători, fiind admise 7 cereri de transfer</w:t>
      </w:r>
      <w:r w:rsidRPr="005B3466">
        <w:rPr>
          <w:rFonts w:asciiTheme="minorHAnsi" w:eastAsia="Calibri" w:hAnsiTheme="minorHAnsi" w:cstheme="minorHAnsi"/>
          <w:sz w:val="26"/>
          <w:szCs w:val="26"/>
          <w:lang w:eastAsia="ro-RO"/>
        </w:rPr>
        <w:t>.</w:t>
      </w:r>
    </w:p>
    <w:p w14:paraId="1A30358B" w14:textId="528984A4" w:rsidR="00E04AB9" w:rsidRPr="005B3466" w:rsidRDefault="00E04AB9" w:rsidP="009E3AD8">
      <w:pPr>
        <w:tabs>
          <w:tab w:val="left" w:pos="8550"/>
        </w:tabs>
        <w:spacing w:line="276" w:lineRule="auto"/>
        <w:ind w:right="6" w:firstLine="720"/>
        <w:jc w:val="both"/>
        <w:rPr>
          <w:rFonts w:asciiTheme="minorHAnsi" w:eastAsia="Calibri" w:hAnsiTheme="minorHAnsi" w:cstheme="minorHAnsi"/>
          <w:sz w:val="26"/>
          <w:szCs w:val="26"/>
          <w:lang w:eastAsia="ro-RO"/>
        </w:rPr>
      </w:pPr>
      <w:r w:rsidRPr="00AE0A39">
        <w:rPr>
          <w:rFonts w:asciiTheme="minorHAnsi" w:eastAsia="Calibri" w:hAnsiTheme="minorHAnsi" w:cstheme="minorHAnsi"/>
          <w:sz w:val="26"/>
          <w:szCs w:val="26"/>
          <w:lang w:eastAsia="ro-RO"/>
        </w:rPr>
        <w:t xml:space="preserve">De asemenea, în perioada octombrie - noiembrie 2025 </w:t>
      </w:r>
      <w:r w:rsidR="0085032F" w:rsidRPr="00AE0A39">
        <w:rPr>
          <w:rFonts w:asciiTheme="minorHAnsi" w:eastAsia="Calibri" w:hAnsiTheme="minorHAnsi" w:cstheme="minorHAnsi"/>
          <w:sz w:val="26"/>
          <w:szCs w:val="26"/>
          <w:lang w:eastAsia="ro-RO"/>
        </w:rPr>
        <w:t>s-a</w:t>
      </w:r>
      <w:r w:rsidRPr="00AE0A39">
        <w:rPr>
          <w:rFonts w:asciiTheme="minorHAnsi" w:eastAsia="Calibri" w:hAnsiTheme="minorHAnsi" w:cstheme="minorHAnsi"/>
          <w:sz w:val="26"/>
          <w:szCs w:val="26"/>
          <w:lang w:eastAsia="ro-RO"/>
        </w:rPr>
        <w:t xml:space="preserve"> desfăş</w:t>
      </w:r>
      <w:r w:rsidR="0085032F" w:rsidRPr="00AE0A39">
        <w:rPr>
          <w:rFonts w:asciiTheme="minorHAnsi" w:eastAsia="Calibri" w:hAnsiTheme="minorHAnsi" w:cstheme="minorHAnsi"/>
          <w:sz w:val="26"/>
          <w:szCs w:val="26"/>
          <w:lang w:eastAsia="ro-RO"/>
        </w:rPr>
        <w:t>urat</w:t>
      </w:r>
      <w:r w:rsidRPr="00AE0A39">
        <w:rPr>
          <w:rFonts w:asciiTheme="minorHAnsi" w:eastAsia="Calibri" w:hAnsiTheme="minorHAnsi" w:cstheme="minorHAnsi"/>
          <w:sz w:val="26"/>
          <w:szCs w:val="26"/>
          <w:lang w:eastAsia="ro-RO"/>
        </w:rPr>
        <w:t xml:space="preserve"> o nouă sesiune de transfer</w:t>
      </w:r>
      <w:r w:rsidR="0085032F" w:rsidRPr="00AE0A39">
        <w:rPr>
          <w:rFonts w:asciiTheme="minorHAnsi" w:eastAsia="Calibri" w:hAnsiTheme="minorHAnsi" w:cstheme="minorHAnsi"/>
          <w:sz w:val="26"/>
          <w:szCs w:val="26"/>
          <w:lang w:eastAsia="ro-RO"/>
        </w:rPr>
        <w:t xml:space="preserve"> a judecătorilor de </w:t>
      </w:r>
      <w:r w:rsidRPr="00AE0A39">
        <w:rPr>
          <w:rFonts w:asciiTheme="minorHAnsi" w:eastAsia="Calibri" w:hAnsiTheme="minorHAnsi" w:cstheme="minorHAnsi"/>
          <w:sz w:val="26"/>
          <w:szCs w:val="26"/>
          <w:lang w:eastAsia="ro-RO"/>
        </w:rPr>
        <w:t>la instanţe</w:t>
      </w:r>
      <w:r w:rsidR="0085032F" w:rsidRPr="00AE0A39">
        <w:rPr>
          <w:rFonts w:asciiTheme="minorHAnsi" w:eastAsia="Calibri" w:hAnsiTheme="minorHAnsi" w:cstheme="minorHAnsi"/>
          <w:sz w:val="26"/>
          <w:szCs w:val="26"/>
          <w:lang w:eastAsia="ro-RO"/>
        </w:rPr>
        <w:t xml:space="preserve"> civile la in</w:t>
      </w:r>
      <w:r w:rsidR="00824074" w:rsidRPr="00AE0A39">
        <w:rPr>
          <w:rFonts w:asciiTheme="minorHAnsi" w:eastAsia="Calibri" w:hAnsiTheme="minorHAnsi" w:cstheme="minorHAnsi"/>
          <w:sz w:val="26"/>
          <w:szCs w:val="26"/>
          <w:lang w:eastAsia="ro-RO"/>
        </w:rPr>
        <w:t>s</w:t>
      </w:r>
      <w:r w:rsidR="0085032F" w:rsidRPr="00AE0A39">
        <w:rPr>
          <w:rFonts w:asciiTheme="minorHAnsi" w:eastAsia="Calibri" w:hAnsiTheme="minorHAnsi" w:cstheme="minorHAnsi"/>
          <w:sz w:val="26"/>
          <w:szCs w:val="26"/>
          <w:lang w:eastAsia="ro-RO"/>
        </w:rPr>
        <w:t xml:space="preserve">tanţe civile, în două etape, </w:t>
      </w:r>
      <w:r w:rsidR="0085032F" w:rsidRPr="00AE0A39">
        <w:rPr>
          <w:rFonts w:asciiTheme="minorHAnsi" w:hAnsiTheme="minorHAnsi" w:cstheme="minorHAnsi"/>
          <w:color w:val="000000"/>
          <w:sz w:val="26"/>
          <w:szCs w:val="26"/>
        </w:rPr>
        <w:t>în conformitate cu prevederile art. 188 – art. 192 din Legea nr. 303/2022 privind statutul judecătorilor şi procurorilor</w:t>
      </w:r>
      <w:r w:rsidR="00824074" w:rsidRPr="00AE0A39">
        <w:rPr>
          <w:rFonts w:asciiTheme="minorHAnsi" w:hAnsiTheme="minorHAnsi" w:cstheme="minorHAnsi"/>
          <w:color w:val="000000"/>
          <w:sz w:val="26"/>
          <w:szCs w:val="26"/>
        </w:rPr>
        <w:t>. Au fost admise 86 de cereri de transfer</w:t>
      </w:r>
      <w:r w:rsidR="00D454FD" w:rsidRPr="00AE0A39">
        <w:rPr>
          <w:rFonts w:asciiTheme="minorHAnsi" w:eastAsia="Calibri" w:hAnsiTheme="minorHAnsi" w:cstheme="minorHAnsi"/>
          <w:sz w:val="26"/>
          <w:szCs w:val="26"/>
          <w:lang w:eastAsia="ro-RO"/>
        </w:rPr>
        <w:t xml:space="preserve">, </w:t>
      </w:r>
      <w:r w:rsidR="00824074" w:rsidRPr="00AE0A39">
        <w:rPr>
          <w:rFonts w:asciiTheme="minorHAnsi" w:eastAsia="Calibri" w:hAnsiTheme="minorHAnsi" w:cstheme="minorHAnsi"/>
          <w:sz w:val="26"/>
          <w:szCs w:val="26"/>
          <w:lang w:eastAsia="ro-RO"/>
        </w:rPr>
        <w:t xml:space="preserve">dintre care </w:t>
      </w:r>
      <w:r w:rsidR="00D454FD" w:rsidRPr="00AE0A39">
        <w:rPr>
          <w:rFonts w:asciiTheme="minorHAnsi" w:eastAsia="Calibri" w:hAnsiTheme="minorHAnsi" w:cstheme="minorHAnsi"/>
          <w:sz w:val="26"/>
          <w:szCs w:val="26"/>
          <w:lang w:eastAsia="ro-RO"/>
        </w:rPr>
        <w:t xml:space="preserve">74 de cereri </w:t>
      </w:r>
      <w:r w:rsidR="00824074" w:rsidRPr="00AE0A39">
        <w:rPr>
          <w:rFonts w:asciiTheme="minorHAnsi" w:eastAsia="Calibri" w:hAnsiTheme="minorHAnsi" w:cstheme="minorHAnsi"/>
          <w:sz w:val="26"/>
          <w:szCs w:val="26"/>
          <w:lang w:eastAsia="ro-RO"/>
        </w:rPr>
        <w:t xml:space="preserve">admise </w:t>
      </w:r>
      <w:r w:rsidR="00D454FD" w:rsidRPr="00AE0A39">
        <w:rPr>
          <w:rFonts w:asciiTheme="minorHAnsi" w:eastAsia="Calibri" w:hAnsiTheme="minorHAnsi" w:cstheme="minorHAnsi"/>
          <w:sz w:val="26"/>
          <w:szCs w:val="26"/>
          <w:lang w:eastAsia="ro-RO"/>
        </w:rPr>
        <w:t>în Etapa I şi 12 cereri</w:t>
      </w:r>
      <w:r w:rsidR="00824074" w:rsidRPr="00AE0A39">
        <w:rPr>
          <w:rFonts w:asciiTheme="minorHAnsi" w:eastAsia="Calibri" w:hAnsiTheme="minorHAnsi" w:cstheme="minorHAnsi"/>
          <w:sz w:val="26"/>
          <w:szCs w:val="26"/>
          <w:lang w:eastAsia="ro-RO"/>
        </w:rPr>
        <w:t xml:space="preserve"> admise </w:t>
      </w:r>
      <w:r w:rsidR="00D454FD" w:rsidRPr="00AE0A39">
        <w:rPr>
          <w:rFonts w:asciiTheme="minorHAnsi" w:eastAsia="Calibri" w:hAnsiTheme="minorHAnsi" w:cstheme="minorHAnsi"/>
          <w:sz w:val="26"/>
          <w:szCs w:val="26"/>
          <w:lang w:eastAsia="ro-RO"/>
        </w:rPr>
        <w:t>în Etapa a II-a.</w:t>
      </w:r>
    </w:p>
    <w:p w14:paraId="4682C2FA" w14:textId="268189E4" w:rsidR="00E04AB9" w:rsidRPr="00CB6E26" w:rsidRDefault="00E04AB9" w:rsidP="009E3AD8">
      <w:pPr>
        <w:tabs>
          <w:tab w:val="left" w:pos="8550"/>
        </w:tabs>
        <w:spacing w:line="276" w:lineRule="auto"/>
        <w:ind w:right="6" w:firstLine="720"/>
        <w:jc w:val="both"/>
        <w:rPr>
          <w:rFonts w:asciiTheme="minorHAnsi" w:eastAsia="Calibri" w:hAnsiTheme="minorHAnsi" w:cstheme="minorHAnsi"/>
          <w:sz w:val="26"/>
          <w:szCs w:val="26"/>
          <w:lang w:eastAsia="ro-RO"/>
        </w:rPr>
      </w:pPr>
      <w:r w:rsidRPr="005B3466">
        <w:rPr>
          <w:rFonts w:asciiTheme="minorHAnsi" w:eastAsia="Calibri" w:hAnsiTheme="minorHAnsi" w:cstheme="minorHAnsi"/>
          <w:sz w:val="26"/>
          <w:szCs w:val="26"/>
          <w:lang w:eastAsia="ro-RO"/>
        </w:rPr>
        <w:t xml:space="preserve">Totodată, </w:t>
      </w:r>
      <w:r w:rsidRPr="001B09DD">
        <w:rPr>
          <w:rFonts w:asciiTheme="minorHAnsi" w:eastAsia="Calibri" w:hAnsiTheme="minorHAnsi" w:cstheme="minorHAnsi"/>
          <w:sz w:val="26"/>
          <w:szCs w:val="26"/>
          <w:lang w:eastAsia="ro-RO"/>
        </w:rPr>
        <w:t xml:space="preserve">în luna </w:t>
      </w:r>
      <w:r w:rsidR="006E362E" w:rsidRPr="001B09DD">
        <w:rPr>
          <w:rFonts w:asciiTheme="minorHAnsi" w:eastAsia="Calibri" w:hAnsiTheme="minorHAnsi" w:cstheme="minorHAnsi"/>
          <w:sz w:val="26"/>
          <w:szCs w:val="26"/>
          <w:lang w:eastAsia="ro-RO"/>
        </w:rPr>
        <w:t>februarie</w:t>
      </w:r>
      <w:r w:rsidRPr="001B09DD">
        <w:rPr>
          <w:rFonts w:asciiTheme="minorHAnsi" w:eastAsia="Calibri" w:hAnsiTheme="minorHAnsi" w:cstheme="minorHAnsi"/>
          <w:sz w:val="26"/>
          <w:szCs w:val="26"/>
          <w:lang w:eastAsia="ro-RO"/>
        </w:rPr>
        <w:t xml:space="preserve"> 2025 a </w:t>
      </w:r>
      <w:r w:rsidRPr="005B3466">
        <w:rPr>
          <w:rFonts w:asciiTheme="minorHAnsi" w:eastAsia="Calibri" w:hAnsiTheme="minorHAnsi" w:cstheme="minorHAnsi"/>
          <w:sz w:val="26"/>
          <w:szCs w:val="26"/>
          <w:lang w:eastAsia="ro-RO"/>
        </w:rPr>
        <w:t xml:space="preserve">fost declanşată procedura de transfer de la instanțele civile la instanțele militare, iar dintre cele </w:t>
      </w:r>
      <w:r w:rsidRPr="00CB6E26">
        <w:rPr>
          <w:rFonts w:asciiTheme="minorHAnsi" w:eastAsia="Calibri" w:hAnsiTheme="minorHAnsi" w:cstheme="minorHAnsi"/>
          <w:sz w:val="26"/>
          <w:szCs w:val="26"/>
          <w:lang w:eastAsia="ro-RO"/>
        </w:rPr>
        <w:t>10 cereri depuse, au fost admise 3 cereri.</w:t>
      </w:r>
    </w:p>
    <w:p w14:paraId="217ED47A" w14:textId="5E18AD70" w:rsidR="00E04AB9" w:rsidRPr="004A72CD" w:rsidRDefault="00FD6793" w:rsidP="00347670">
      <w:pPr>
        <w:spacing w:line="276" w:lineRule="auto"/>
        <w:ind w:firstLine="706"/>
        <w:jc w:val="both"/>
        <w:rPr>
          <w:rFonts w:asciiTheme="minorHAnsi" w:hAnsiTheme="minorHAnsi" w:cstheme="minorHAnsi"/>
          <w:sz w:val="26"/>
          <w:szCs w:val="26"/>
        </w:rPr>
      </w:pPr>
      <w:r>
        <w:rPr>
          <w:rFonts w:asciiTheme="minorHAnsi" w:eastAsia="Calibri" w:hAnsiTheme="minorHAnsi" w:cstheme="minorHAnsi"/>
          <w:sz w:val="26"/>
          <w:szCs w:val="26"/>
          <w:lang w:eastAsia="ro-RO"/>
        </w:rPr>
        <w:t>A</w:t>
      </w:r>
      <w:r w:rsidR="00E04AB9" w:rsidRPr="005B3466">
        <w:rPr>
          <w:rFonts w:asciiTheme="minorHAnsi" w:eastAsia="Calibri" w:hAnsiTheme="minorHAnsi" w:cstheme="minorHAnsi"/>
          <w:sz w:val="26"/>
          <w:szCs w:val="26"/>
          <w:lang w:eastAsia="ro-RO"/>
        </w:rPr>
        <w:t>ctivitatea Direcţiei a vizat şi elaborarea de puncte de vedere privind</w:t>
      </w:r>
      <w:r w:rsidR="00E04AB9" w:rsidRPr="004A72CD">
        <w:rPr>
          <w:rFonts w:asciiTheme="minorHAnsi" w:hAnsiTheme="minorHAnsi" w:cstheme="minorHAnsi"/>
          <w:sz w:val="26"/>
          <w:szCs w:val="26"/>
        </w:rPr>
        <w:t xml:space="preserve"> solicitările de continuare a activităţii în condiţiile art. 216 alin. (1) din Legea nr. 303/2022 privind statutul </w:t>
      </w:r>
      <w:r w:rsidR="00E04AB9" w:rsidRPr="004A72CD">
        <w:rPr>
          <w:rFonts w:asciiTheme="minorHAnsi" w:hAnsiTheme="minorHAnsi" w:cstheme="minorHAnsi"/>
          <w:sz w:val="26"/>
          <w:szCs w:val="26"/>
        </w:rPr>
        <w:lastRenderedPageBreak/>
        <w:t>judecătorilor şi procurorilor, respectiv au fost întocmite lucrările pentru analizarea propunerilor de delegare/încetare</w:t>
      </w:r>
      <w:r>
        <w:rPr>
          <w:rFonts w:asciiTheme="minorHAnsi" w:hAnsiTheme="minorHAnsi" w:cstheme="minorHAnsi"/>
          <w:sz w:val="26"/>
          <w:szCs w:val="26"/>
        </w:rPr>
        <w:t xml:space="preserve"> a delegării</w:t>
      </w:r>
      <w:r w:rsidR="00E04AB9" w:rsidRPr="004A72CD">
        <w:rPr>
          <w:rFonts w:asciiTheme="minorHAnsi" w:hAnsiTheme="minorHAnsi" w:cstheme="minorHAnsi"/>
          <w:sz w:val="26"/>
          <w:szCs w:val="26"/>
        </w:rPr>
        <w:t xml:space="preserve">/prelungire </w:t>
      </w:r>
      <w:r>
        <w:rPr>
          <w:rFonts w:asciiTheme="minorHAnsi" w:hAnsiTheme="minorHAnsi" w:cstheme="minorHAnsi"/>
          <w:sz w:val="26"/>
          <w:szCs w:val="26"/>
        </w:rPr>
        <w:t xml:space="preserve">a </w:t>
      </w:r>
      <w:r w:rsidR="00E04AB9" w:rsidRPr="004A72CD">
        <w:rPr>
          <w:rFonts w:asciiTheme="minorHAnsi" w:hAnsiTheme="minorHAnsi" w:cstheme="minorHAnsi"/>
          <w:sz w:val="26"/>
          <w:szCs w:val="26"/>
        </w:rPr>
        <w:t>deleg</w:t>
      </w:r>
      <w:r>
        <w:rPr>
          <w:rFonts w:asciiTheme="minorHAnsi" w:hAnsiTheme="minorHAnsi" w:cstheme="minorHAnsi"/>
          <w:sz w:val="26"/>
          <w:szCs w:val="26"/>
        </w:rPr>
        <w:t>ării</w:t>
      </w:r>
      <w:r w:rsidR="00E04AB9" w:rsidRPr="004A72CD">
        <w:rPr>
          <w:rFonts w:asciiTheme="minorHAnsi" w:hAnsiTheme="minorHAnsi" w:cstheme="minorHAnsi"/>
          <w:sz w:val="26"/>
          <w:szCs w:val="26"/>
        </w:rPr>
        <w:t xml:space="preserve"> în funcţii de conducere a judecătorilor, inclusiv pentru funcţiile de vicepreşedinte, precum şi cele vizând plângerile prealabile înaintate Consiliului de către judecători.</w:t>
      </w:r>
    </w:p>
    <w:p w14:paraId="19AA1621" w14:textId="5B431716" w:rsidR="00E04AB9" w:rsidRPr="004A72CD" w:rsidRDefault="00E04AB9" w:rsidP="00347670">
      <w:pPr>
        <w:spacing w:line="276" w:lineRule="auto"/>
        <w:ind w:firstLine="706"/>
        <w:jc w:val="both"/>
        <w:rPr>
          <w:rFonts w:asciiTheme="minorHAnsi" w:hAnsiTheme="minorHAnsi" w:cstheme="minorHAnsi"/>
          <w:sz w:val="26"/>
          <w:szCs w:val="26"/>
          <w:shd w:val="clear" w:color="auto" w:fill="FFFFFF"/>
        </w:rPr>
      </w:pPr>
      <w:r w:rsidRPr="004A72CD">
        <w:rPr>
          <w:rFonts w:asciiTheme="minorHAnsi" w:hAnsiTheme="minorHAnsi" w:cstheme="minorHAnsi"/>
          <w:sz w:val="26"/>
          <w:szCs w:val="26"/>
        </w:rPr>
        <w:t>Un alt element în activitatea Serviciului resurse umane pentru instanţele judecătoreşti îl constituie</w:t>
      </w:r>
      <w:r w:rsidRPr="004A72CD">
        <w:rPr>
          <w:rFonts w:asciiTheme="minorHAnsi" w:hAnsiTheme="minorHAnsi" w:cstheme="minorHAnsi"/>
          <w:bCs/>
          <w:sz w:val="26"/>
          <w:szCs w:val="26"/>
        </w:rPr>
        <w:t xml:space="preserve"> </w:t>
      </w:r>
      <w:r w:rsidR="00C631CE">
        <w:rPr>
          <w:rFonts w:asciiTheme="minorHAnsi" w:hAnsiTheme="minorHAnsi" w:cstheme="minorHAnsi"/>
          <w:bCs/>
          <w:sz w:val="26"/>
          <w:szCs w:val="26"/>
        </w:rPr>
        <w:t xml:space="preserve">aplicarea </w:t>
      </w:r>
      <w:r w:rsidRPr="004A72CD">
        <w:rPr>
          <w:rFonts w:asciiTheme="minorHAnsi" w:hAnsiTheme="minorHAnsi" w:cstheme="minorHAnsi"/>
          <w:bCs/>
          <w:sz w:val="26"/>
          <w:szCs w:val="26"/>
        </w:rPr>
        <w:t>dispoziţiil</w:t>
      </w:r>
      <w:r w:rsidR="00C631CE">
        <w:rPr>
          <w:rFonts w:asciiTheme="minorHAnsi" w:hAnsiTheme="minorHAnsi" w:cstheme="minorHAnsi"/>
          <w:bCs/>
          <w:sz w:val="26"/>
          <w:szCs w:val="26"/>
        </w:rPr>
        <w:t>or</w:t>
      </w:r>
      <w:r w:rsidRPr="004A72CD">
        <w:rPr>
          <w:rFonts w:asciiTheme="minorHAnsi" w:hAnsiTheme="minorHAnsi" w:cstheme="minorHAnsi"/>
          <w:bCs/>
          <w:sz w:val="26"/>
          <w:szCs w:val="26"/>
        </w:rPr>
        <w:t xml:space="preserve"> Legii</w:t>
      </w:r>
      <w:r w:rsidRPr="004A72CD">
        <w:rPr>
          <w:rFonts w:asciiTheme="minorHAnsi" w:hAnsiTheme="minorHAnsi" w:cstheme="minorHAnsi"/>
          <w:sz w:val="26"/>
          <w:szCs w:val="26"/>
        </w:rPr>
        <w:t xml:space="preserve"> </w:t>
      </w:r>
      <w:r w:rsidRPr="004A72CD">
        <w:rPr>
          <w:rFonts w:asciiTheme="minorHAnsi" w:hAnsiTheme="minorHAnsi" w:cstheme="minorHAnsi"/>
          <w:bCs/>
          <w:sz w:val="26"/>
          <w:szCs w:val="26"/>
        </w:rPr>
        <w:t xml:space="preserve">nr. 304/2022 privind organizarea judiciară, care prevăd, printre altele, atribuţia Secţiei pentru judecători a Consiliului Superior al Magistraturii de a înfiinţa, prin hotărâre, la </w:t>
      </w:r>
      <w:r w:rsidRPr="004A72CD">
        <w:rPr>
          <w:rFonts w:asciiTheme="minorHAnsi" w:hAnsiTheme="minorHAnsi" w:cstheme="minorHAnsi"/>
          <w:sz w:val="26"/>
          <w:szCs w:val="26"/>
          <w:shd w:val="clear" w:color="auto" w:fill="FFFFFF"/>
        </w:rPr>
        <w:t>propunerea preşedintelui instanţei, completurile specializate, la curţile de apel şi tribunale, în cazul în care prin lege specială se prevede obligativitatea constituirii acestora, potrivit art. 45 alin. (2) din lege.</w:t>
      </w:r>
    </w:p>
    <w:p w14:paraId="2D1FA03E" w14:textId="77777777" w:rsidR="00E04AB9" w:rsidRPr="00CB6E26" w:rsidRDefault="00E04AB9" w:rsidP="009E3AD8">
      <w:pPr>
        <w:spacing w:line="276" w:lineRule="auto"/>
        <w:ind w:right="-2" w:firstLine="709"/>
        <w:jc w:val="both"/>
        <w:rPr>
          <w:rFonts w:asciiTheme="minorHAnsi" w:hAnsiTheme="minorHAnsi" w:cstheme="minorHAnsi"/>
          <w:sz w:val="26"/>
          <w:szCs w:val="26"/>
          <w:shd w:val="clear" w:color="auto" w:fill="FFFFFF"/>
        </w:rPr>
      </w:pPr>
      <w:r w:rsidRPr="00CB6E26">
        <w:rPr>
          <w:rFonts w:asciiTheme="minorHAnsi" w:hAnsiTheme="minorHAnsi" w:cstheme="minorHAnsi"/>
          <w:sz w:val="26"/>
          <w:szCs w:val="26"/>
          <w:shd w:val="clear" w:color="auto" w:fill="FFFFFF"/>
        </w:rPr>
        <w:t>Din acest punct de vedere, esenţiale au fost măsurile dispuse în şedinţa Comisiei nr. 1 – judecători – „Legislaţie şi cooperare interinstituţională” din data de 19 ianuarie 2023 privind posibilitatea constituirii completurilor specializate la nivelul instanţelor judecătoreşti, care şi-au menţinut valabilitatea şi în cursul anului 2025.</w:t>
      </w:r>
    </w:p>
    <w:p w14:paraId="31534377" w14:textId="37D99FC7" w:rsidR="00E04AB9" w:rsidRPr="00CB6E26" w:rsidRDefault="00E04AB9" w:rsidP="009E3AD8">
      <w:pPr>
        <w:spacing w:line="276" w:lineRule="auto"/>
        <w:ind w:firstLine="708"/>
        <w:jc w:val="both"/>
        <w:rPr>
          <w:rFonts w:ascii="Calibri" w:hAnsi="Calibri"/>
          <w:sz w:val="26"/>
          <w:szCs w:val="26"/>
          <w:lang w:eastAsia="en-GB"/>
        </w:rPr>
      </w:pPr>
      <w:r w:rsidRPr="00CB6E26">
        <w:rPr>
          <w:rFonts w:ascii="Calibri" w:hAnsi="Calibri"/>
          <w:sz w:val="26"/>
          <w:szCs w:val="26"/>
          <w:lang w:eastAsia="en-GB"/>
        </w:rPr>
        <w:t>La data de 15</w:t>
      </w:r>
      <w:r w:rsidR="00C411D3">
        <w:rPr>
          <w:rFonts w:ascii="Calibri" w:hAnsi="Calibri"/>
          <w:sz w:val="26"/>
          <w:szCs w:val="26"/>
          <w:lang w:eastAsia="en-GB"/>
        </w:rPr>
        <w:t xml:space="preserve"> mai </w:t>
      </w:r>
      <w:r w:rsidRPr="00CB6E26">
        <w:rPr>
          <w:rFonts w:ascii="Calibri" w:hAnsi="Calibri"/>
          <w:sz w:val="26"/>
          <w:szCs w:val="26"/>
          <w:lang w:eastAsia="en-GB"/>
        </w:rPr>
        <w:t xml:space="preserve">2025, Comisia nr. 2 Judecători – </w:t>
      </w:r>
      <w:r w:rsidR="00C411D3">
        <w:rPr>
          <w:rFonts w:ascii="Calibri" w:hAnsi="Calibri"/>
          <w:sz w:val="26"/>
          <w:szCs w:val="26"/>
          <w:lang w:eastAsia="en-GB"/>
        </w:rPr>
        <w:t>„</w:t>
      </w:r>
      <w:r w:rsidRPr="00CB6E26">
        <w:rPr>
          <w:rFonts w:ascii="Calibri" w:hAnsi="Calibri"/>
          <w:sz w:val="26"/>
          <w:szCs w:val="26"/>
          <w:lang w:eastAsia="en-GB"/>
        </w:rPr>
        <w:t>Resurse umane și organiza</w:t>
      </w:r>
      <w:r w:rsidR="00C411D3">
        <w:rPr>
          <w:rFonts w:ascii="Calibri" w:hAnsi="Calibri"/>
          <w:sz w:val="26"/>
          <w:szCs w:val="26"/>
          <w:lang w:eastAsia="en-GB"/>
        </w:rPr>
        <w:t>re</w:t>
      </w:r>
      <w:r w:rsidR="00C411D3" w:rsidRPr="00A35EF2">
        <w:rPr>
          <w:rFonts w:ascii="Calibri" w:hAnsi="Calibri"/>
          <w:sz w:val="26"/>
          <w:szCs w:val="26"/>
          <w:lang w:val="fr-FR" w:eastAsia="en-GB"/>
        </w:rPr>
        <w:t>”</w:t>
      </w:r>
      <w:r w:rsidRPr="00CB6E26">
        <w:rPr>
          <w:rFonts w:ascii="Calibri" w:hAnsi="Calibri"/>
          <w:sz w:val="26"/>
          <w:szCs w:val="26"/>
          <w:lang w:eastAsia="en-GB"/>
        </w:rPr>
        <w:t xml:space="preserve"> și-a însușit nota D</w:t>
      </w:r>
      <w:r w:rsidR="00392735">
        <w:rPr>
          <w:rFonts w:ascii="Calibri" w:hAnsi="Calibri"/>
          <w:sz w:val="26"/>
          <w:szCs w:val="26"/>
          <w:lang w:eastAsia="en-GB"/>
        </w:rPr>
        <w:t>.</w:t>
      </w:r>
      <w:r w:rsidRPr="00CB6E26">
        <w:rPr>
          <w:rFonts w:ascii="Calibri" w:hAnsi="Calibri"/>
          <w:sz w:val="26"/>
          <w:szCs w:val="26"/>
          <w:lang w:eastAsia="en-GB"/>
        </w:rPr>
        <w:t>R</w:t>
      </w:r>
      <w:r w:rsidR="00392735">
        <w:rPr>
          <w:rFonts w:ascii="Calibri" w:hAnsi="Calibri"/>
          <w:sz w:val="26"/>
          <w:szCs w:val="26"/>
          <w:lang w:eastAsia="en-GB"/>
        </w:rPr>
        <w:t>.</w:t>
      </w:r>
      <w:r w:rsidRPr="00CB6E26">
        <w:rPr>
          <w:rFonts w:ascii="Calibri" w:hAnsi="Calibri"/>
          <w:sz w:val="26"/>
          <w:szCs w:val="26"/>
          <w:lang w:eastAsia="en-GB"/>
        </w:rPr>
        <w:t>U</w:t>
      </w:r>
      <w:r w:rsidR="00392735">
        <w:rPr>
          <w:rFonts w:ascii="Calibri" w:hAnsi="Calibri"/>
          <w:sz w:val="26"/>
          <w:szCs w:val="26"/>
          <w:lang w:eastAsia="en-GB"/>
        </w:rPr>
        <w:t>.</w:t>
      </w:r>
      <w:r w:rsidRPr="00CB6E26">
        <w:rPr>
          <w:rFonts w:ascii="Calibri" w:hAnsi="Calibri"/>
          <w:sz w:val="26"/>
          <w:szCs w:val="26"/>
          <w:lang w:eastAsia="en-GB"/>
        </w:rPr>
        <w:t>O</w:t>
      </w:r>
      <w:r w:rsidR="00392735">
        <w:rPr>
          <w:rFonts w:ascii="Calibri" w:hAnsi="Calibri"/>
          <w:sz w:val="26"/>
          <w:szCs w:val="26"/>
          <w:lang w:eastAsia="en-GB"/>
        </w:rPr>
        <w:t>.</w:t>
      </w:r>
      <w:r w:rsidRPr="00CB6E26">
        <w:rPr>
          <w:rFonts w:ascii="Calibri" w:hAnsi="Calibri"/>
          <w:sz w:val="26"/>
          <w:szCs w:val="26"/>
          <w:lang w:eastAsia="en-GB"/>
        </w:rPr>
        <w:t xml:space="preserve"> cu privire la propunerile de redistribuire a posturilor vacante de judecător și a apreciat că se impune continuarea analizei și formularea de propuneri concrete pentru redistribuirea posturilor vacante de judecător.</w:t>
      </w:r>
    </w:p>
    <w:p w14:paraId="624FF702" w14:textId="77777777" w:rsidR="00E04AB9" w:rsidRPr="004A72CD" w:rsidRDefault="00E04AB9" w:rsidP="009E3AD8">
      <w:pPr>
        <w:spacing w:line="276" w:lineRule="auto"/>
        <w:ind w:right="-2" w:firstLine="709"/>
        <w:jc w:val="both"/>
        <w:rPr>
          <w:rFonts w:asciiTheme="minorHAnsi" w:hAnsiTheme="minorHAnsi" w:cstheme="minorHAnsi"/>
          <w:sz w:val="26"/>
          <w:szCs w:val="26"/>
        </w:rPr>
      </w:pPr>
      <w:r>
        <w:rPr>
          <w:rFonts w:asciiTheme="minorHAnsi" w:hAnsiTheme="minorHAnsi" w:cstheme="minorHAnsi"/>
          <w:sz w:val="26"/>
          <w:szCs w:val="26"/>
        </w:rPr>
        <w:t>În tot cursul anului 2025</w:t>
      </w:r>
      <w:r w:rsidRPr="004A72CD">
        <w:rPr>
          <w:rFonts w:asciiTheme="minorHAnsi" w:hAnsiTheme="minorHAnsi" w:cstheme="minorHAnsi"/>
          <w:sz w:val="26"/>
          <w:szCs w:val="26"/>
        </w:rPr>
        <w:t>, personalul din cadrul direcţiei a participat la activităţile comisiilor şi grupurilor de lucru constituite atât la nivelul Consiliului, cât şi la nivel interinstituţional, precum şi în cadrul proiectelor derulate de către instituţie.</w:t>
      </w:r>
    </w:p>
    <w:p w14:paraId="264BDD83" w14:textId="37F92143" w:rsidR="008D6D48" w:rsidRPr="009A2238" w:rsidRDefault="00E04AB9" w:rsidP="009E3AD8">
      <w:pPr>
        <w:spacing w:line="276" w:lineRule="auto"/>
        <w:ind w:right="-2" w:firstLine="709"/>
        <w:jc w:val="both"/>
        <w:rPr>
          <w:rFonts w:asciiTheme="minorHAnsi" w:hAnsiTheme="minorHAnsi" w:cstheme="minorHAnsi"/>
          <w:sz w:val="26"/>
          <w:szCs w:val="26"/>
        </w:rPr>
      </w:pPr>
      <w:r w:rsidRPr="004A72CD">
        <w:rPr>
          <w:rFonts w:asciiTheme="minorHAnsi" w:hAnsiTheme="minorHAnsi" w:cstheme="minorHAnsi"/>
          <w:sz w:val="26"/>
          <w:szCs w:val="26"/>
        </w:rPr>
        <w:t xml:space="preserve">În egală măsură, Serviciul resurse umane pentru instanţele judecătoreşti şi Serviciul resurse umane pentru parchete au exercitat şi atribuţiile </w:t>
      </w:r>
      <w:r w:rsidR="00C631CE">
        <w:rPr>
          <w:rFonts w:asciiTheme="minorHAnsi" w:hAnsiTheme="minorHAnsi" w:cstheme="minorHAnsi"/>
          <w:sz w:val="26"/>
          <w:szCs w:val="26"/>
        </w:rPr>
        <w:t>conferite</w:t>
      </w:r>
      <w:r w:rsidRPr="004A72CD">
        <w:rPr>
          <w:rFonts w:asciiTheme="minorHAnsi" w:hAnsiTheme="minorHAnsi" w:cstheme="minorHAnsi"/>
          <w:sz w:val="26"/>
          <w:szCs w:val="26"/>
        </w:rPr>
        <w:t xml:space="preserve"> de lege în sarcina Consiliului în domeniul declaraţiilor de avere şi de interese ale judecătorilor, procurorilor şi altor categorii de personal, în acord cu modificările legislative intervenite în privinţa modului de completare şi de transmitere a declaraţiilor de avere şi de interese. Astfel, operaţiunile ce se efectuau pe suport de hârtie (formulare, registre, etc.) au fost realizate în format electronic, prin intermediul aplicaţiei E-DAI a Agenţiei Naţionale de Integritate.</w:t>
      </w:r>
    </w:p>
    <w:p w14:paraId="0285E0D2" w14:textId="4EA6E6FB" w:rsidR="00D24A1E" w:rsidRPr="009A12AC" w:rsidRDefault="00D24A1E" w:rsidP="009E3AD8">
      <w:pPr>
        <w:spacing w:line="276" w:lineRule="auto"/>
        <w:ind w:firstLine="720"/>
        <w:jc w:val="both"/>
        <w:rPr>
          <w:rFonts w:asciiTheme="minorHAnsi" w:hAnsiTheme="minorHAnsi" w:cstheme="minorHAnsi"/>
          <w:b/>
          <w:sz w:val="26"/>
          <w:szCs w:val="26"/>
        </w:rPr>
      </w:pPr>
      <w:r w:rsidRPr="009A12AC">
        <w:rPr>
          <w:rFonts w:asciiTheme="minorHAnsi" w:hAnsiTheme="minorHAnsi" w:cstheme="minorHAnsi"/>
          <w:sz w:val="26"/>
          <w:szCs w:val="26"/>
        </w:rPr>
        <w:t xml:space="preserve">Volumul de activitate la nivelul Serviciului resurse umane pentru </w:t>
      </w:r>
      <w:r w:rsidR="00C631CE">
        <w:rPr>
          <w:rFonts w:asciiTheme="minorHAnsi" w:hAnsiTheme="minorHAnsi" w:cstheme="minorHAnsi"/>
          <w:sz w:val="26"/>
          <w:szCs w:val="26"/>
        </w:rPr>
        <w:t>parchete</w:t>
      </w:r>
      <w:r w:rsidRPr="009A12AC">
        <w:rPr>
          <w:rFonts w:asciiTheme="minorHAnsi" w:hAnsiTheme="minorHAnsi" w:cstheme="minorHAnsi"/>
          <w:sz w:val="26"/>
          <w:szCs w:val="26"/>
        </w:rPr>
        <w:t xml:space="preserve"> a fost ridicat, fiind în continuare înregistrate numeroase solicitări de eliberare din funcţie prin pensionare, propuneri de delegare/încetare </w:t>
      </w:r>
      <w:r w:rsidR="00C631CE">
        <w:rPr>
          <w:rFonts w:asciiTheme="minorHAnsi" w:hAnsiTheme="minorHAnsi" w:cstheme="minorHAnsi"/>
          <w:sz w:val="26"/>
          <w:szCs w:val="26"/>
        </w:rPr>
        <w:t xml:space="preserve">a </w:t>
      </w:r>
      <w:r w:rsidRPr="009A12AC">
        <w:rPr>
          <w:rFonts w:asciiTheme="minorHAnsi" w:hAnsiTheme="minorHAnsi" w:cstheme="minorHAnsi"/>
          <w:sz w:val="26"/>
          <w:szCs w:val="26"/>
        </w:rPr>
        <w:t>deleg</w:t>
      </w:r>
      <w:r w:rsidR="00C631CE">
        <w:rPr>
          <w:rFonts w:asciiTheme="minorHAnsi" w:hAnsiTheme="minorHAnsi" w:cstheme="minorHAnsi"/>
          <w:sz w:val="26"/>
          <w:szCs w:val="26"/>
        </w:rPr>
        <w:t>ării</w:t>
      </w:r>
      <w:r w:rsidRPr="009A12AC">
        <w:rPr>
          <w:rFonts w:asciiTheme="minorHAnsi" w:hAnsiTheme="minorHAnsi" w:cstheme="minorHAnsi"/>
          <w:sz w:val="26"/>
          <w:szCs w:val="26"/>
        </w:rPr>
        <w:t xml:space="preserve">/prelungire </w:t>
      </w:r>
      <w:r w:rsidR="00C631CE">
        <w:rPr>
          <w:rFonts w:asciiTheme="minorHAnsi" w:hAnsiTheme="minorHAnsi" w:cstheme="minorHAnsi"/>
          <w:sz w:val="26"/>
          <w:szCs w:val="26"/>
        </w:rPr>
        <w:t>a delegării</w:t>
      </w:r>
      <w:r w:rsidRPr="009A12AC">
        <w:rPr>
          <w:rFonts w:asciiTheme="minorHAnsi" w:hAnsiTheme="minorHAnsi" w:cstheme="minorHAnsi"/>
          <w:sz w:val="26"/>
          <w:szCs w:val="26"/>
        </w:rPr>
        <w:t>, solicitări de numire în alte funcții de conducere decât cele care potrivit legii pot fi ocupate prin concurs sau examen, solicitări de continuare a activității la încetarea mandatului în funcția de conducere, solicitări privind acordarea de avize și alte lucrări,</w:t>
      </w:r>
      <w:r w:rsidRPr="009A12AC">
        <w:rPr>
          <w:rFonts w:asciiTheme="minorHAnsi" w:hAnsiTheme="minorHAnsi" w:cstheme="minorHAnsi"/>
          <w:b/>
          <w:sz w:val="26"/>
          <w:szCs w:val="26"/>
        </w:rPr>
        <w:t xml:space="preserve"> </w:t>
      </w:r>
      <w:r w:rsidRPr="009A12AC">
        <w:rPr>
          <w:rFonts w:asciiTheme="minorHAnsi" w:hAnsiTheme="minorHAnsi" w:cstheme="minorHAnsi"/>
          <w:sz w:val="26"/>
          <w:szCs w:val="26"/>
        </w:rPr>
        <w:t>de competența Serviciului conform dispozițiilor art. 85 alin.</w:t>
      </w:r>
      <w:r w:rsidR="00F220DE" w:rsidRPr="009A12AC">
        <w:rPr>
          <w:rFonts w:asciiTheme="minorHAnsi" w:hAnsiTheme="minorHAnsi" w:cstheme="minorHAnsi"/>
          <w:sz w:val="26"/>
          <w:szCs w:val="26"/>
        </w:rPr>
        <w:t xml:space="preserve"> </w:t>
      </w:r>
      <w:r w:rsidRPr="009A12AC">
        <w:rPr>
          <w:rFonts w:asciiTheme="minorHAnsi" w:hAnsiTheme="minorHAnsi" w:cstheme="minorHAnsi"/>
          <w:sz w:val="26"/>
          <w:szCs w:val="26"/>
        </w:rPr>
        <w:t>(4) din Regulamentul de organizare şi funcţionare a Consiliului Superior al Magistraturii, aprobat prin Hotărârea Plenului C</w:t>
      </w:r>
      <w:r w:rsidR="000F05F2">
        <w:rPr>
          <w:rFonts w:asciiTheme="minorHAnsi" w:hAnsiTheme="minorHAnsi" w:cstheme="minorHAnsi"/>
          <w:sz w:val="26"/>
          <w:szCs w:val="26"/>
        </w:rPr>
        <w:t xml:space="preserve">.S.M. </w:t>
      </w:r>
      <w:r w:rsidRPr="009A12AC">
        <w:rPr>
          <w:rFonts w:asciiTheme="minorHAnsi" w:hAnsiTheme="minorHAnsi" w:cstheme="minorHAnsi"/>
          <w:sz w:val="26"/>
          <w:szCs w:val="26"/>
        </w:rPr>
        <w:t>nr. 122/2023</w:t>
      </w:r>
      <w:r w:rsidRPr="009A12AC">
        <w:rPr>
          <w:rFonts w:asciiTheme="minorHAnsi" w:hAnsiTheme="minorHAnsi" w:cstheme="minorHAnsi"/>
          <w:bCs/>
          <w:sz w:val="26"/>
          <w:szCs w:val="26"/>
        </w:rPr>
        <w:t>, astfel cum a fost modificat prin Hotărârea Plenului C</w:t>
      </w:r>
      <w:r w:rsidR="000F05F2">
        <w:rPr>
          <w:rFonts w:asciiTheme="minorHAnsi" w:hAnsiTheme="minorHAnsi" w:cstheme="minorHAnsi"/>
          <w:bCs/>
          <w:sz w:val="26"/>
          <w:szCs w:val="26"/>
        </w:rPr>
        <w:t xml:space="preserve">.S.M. </w:t>
      </w:r>
      <w:r w:rsidR="00F220DE" w:rsidRPr="009A12AC">
        <w:rPr>
          <w:rFonts w:asciiTheme="minorHAnsi" w:hAnsiTheme="minorHAnsi" w:cstheme="minorHAnsi"/>
          <w:bCs/>
          <w:sz w:val="26"/>
          <w:szCs w:val="26"/>
        </w:rPr>
        <w:t xml:space="preserve">nr. </w:t>
      </w:r>
      <w:r w:rsidRPr="009A12AC">
        <w:rPr>
          <w:rFonts w:asciiTheme="minorHAnsi" w:hAnsiTheme="minorHAnsi" w:cstheme="minorHAnsi"/>
          <w:bCs/>
          <w:sz w:val="26"/>
          <w:szCs w:val="26"/>
        </w:rPr>
        <w:t>140/18.06.2024.</w:t>
      </w:r>
    </w:p>
    <w:p w14:paraId="5C568316" w14:textId="6F6E5683" w:rsidR="00364271" w:rsidRPr="001B09DD" w:rsidRDefault="001B09DD" w:rsidP="00364271">
      <w:pPr>
        <w:spacing w:line="276" w:lineRule="auto"/>
        <w:ind w:firstLine="720"/>
        <w:jc w:val="both"/>
        <w:rPr>
          <w:rFonts w:asciiTheme="minorHAnsi" w:hAnsiTheme="minorHAnsi" w:cstheme="minorHAnsi"/>
          <w:sz w:val="26"/>
          <w:szCs w:val="26"/>
        </w:rPr>
      </w:pPr>
      <w:r w:rsidRPr="001B09DD">
        <w:rPr>
          <w:rFonts w:asciiTheme="minorHAnsi" w:hAnsiTheme="minorHAnsi" w:cstheme="minorHAnsi"/>
          <w:sz w:val="26"/>
          <w:szCs w:val="26"/>
        </w:rPr>
        <w:t>La</w:t>
      </w:r>
      <w:r w:rsidR="00D24A1E" w:rsidRPr="001B09DD">
        <w:rPr>
          <w:rFonts w:asciiTheme="minorHAnsi" w:hAnsiTheme="minorHAnsi" w:cstheme="minorHAnsi"/>
          <w:sz w:val="26"/>
          <w:szCs w:val="26"/>
        </w:rPr>
        <w:t xml:space="preserve"> data de 25</w:t>
      </w:r>
      <w:r w:rsidR="00F220DE" w:rsidRPr="001B09DD">
        <w:rPr>
          <w:rFonts w:asciiTheme="minorHAnsi" w:hAnsiTheme="minorHAnsi" w:cstheme="minorHAnsi"/>
          <w:sz w:val="26"/>
          <w:szCs w:val="26"/>
        </w:rPr>
        <w:t xml:space="preserve"> septembrie </w:t>
      </w:r>
      <w:r w:rsidR="00D24A1E" w:rsidRPr="001B09DD">
        <w:rPr>
          <w:rFonts w:asciiTheme="minorHAnsi" w:hAnsiTheme="minorHAnsi" w:cstheme="minorHAnsi"/>
          <w:sz w:val="26"/>
          <w:szCs w:val="26"/>
        </w:rPr>
        <w:t>2025 a fost declanșată o procedură de transfer a procurorilor</w:t>
      </w:r>
      <w:r w:rsidR="00364271" w:rsidRPr="001B09DD">
        <w:rPr>
          <w:rFonts w:asciiTheme="minorHAnsi" w:hAnsiTheme="minorHAnsi" w:cstheme="minorHAnsi"/>
          <w:sz w:val="26"/>
          <w:szCs w:val="26"/>
        </w:rPr>
        <w:t>, în urma căreia au fost admise 54 de cereri.</w:t>
      </w:r>
    </w:p>
    <w:p w14:paraId="2CCE15A7" w14:textId="356354E9" w:rsidR="00364271" w:rsidRPr="001B09DD" w:rsidRDefault="001B09DD" w:rsidP="00364271">
      <w:pPr>
        <w:spacing w:line="276" w:lineRule="auto"/>
        <w:ind w:firstLine="720"/>
        <w:jc w:val="both"/>
        <w:rPr>
          <w:rFonts w:asciiTheme="minorHAnsi" w:hAnsiTheme="minorHAnsi" w:cstheme="minorHAnsi"/>
          <w:sz w:val="26"/>
          <w:szCs w:val="26"/>
        </w:rPr>
      </w:pPr>
      <w:r w:rsidRPr="001B09DD">
        <w:rPr>
          <w:rFonts w:asciiTheme="minorHAnsi" w:hAnsiTheme="minorHAnsi" w:cstheme="minorHAnsi"/>
          <w:sz w:val="26"/>
          <w:szCs w:val="26"/>
        </w:rPr>
        <w:t xml:space="preserve">La </w:t>
      </w:r>
      <w:r w:rsidR="00364271" w:rsidRPr="001B09DD">
        <w:rPr>
          <w:rFonts w:asciiTheme="minorHAnsi" w:hAnsiTheme="minorHAnsi" w:cstheme="minorHAnsi"/>
          <w:sz w:val="26"/>
          <w:szCs w:val="26"/>
        </w:rPr>
        <w:t>data de 12</w:t>
      </w:r>
      <w:r w:rsidR="00DB442D" w:rsidRPr="001B09DD">
        <w:rPr>
          <w:rFonts w:asciiTheme="minorHAnsi" w:hAnsiTheme="minorHAnsi" w:cstheme="minorHAnsi"/>
          <w:sz w:val="26"/>
          <w:szCs w:val="26"/>
        </w:rPr>
        <w:t xml:space="preserve"> noiembrie </w:t>
      </w:r>
      <w:r w:rsidR="00364271" w:rsidRPr="001B09DD">
        <w:rPr>
          <w:rFonts w:asciiTheme="minorHAnsi" w:hAnsiTheme="minorHAnsi" w:cstheme="minorHAnsi"/>
          <w:sz w:val="26"/>
          <w:szCs w:val="26"/>
        </w:rPr>
        <w:t>2025 a fost declanșată o sesiune de transfer a procurorilor de la parchetele civile la cele militare. În ședința din data de 16</w:t>
      </w:r>
      <w:r w:rsidR="00DB442D" w:rsidRPr="001B09DD">
        <w:rPr>
          <w:rFonts w:asciiTheme="minorHAnsi" w:hAnsiTheme="minorHAnsi" w:cstheme="minorHAnsi"/>
          <w:sz w:val="26"/>
          <w:szCs w:val="26"/>
        </w:rPr>
        <w:t xml:space="preserve"> decembrie </w:t>
      </w:r>
      <w:r w:rsidR="00364271" w:rsidRPr="001B09DD">
        <w:rPr>
          <w:rFonts w:asciiTheme="minorHAnsi" w:hAnsiTheme="minorHAnsi" w:cstheme="minorHAnsi"/>
          <w:sz w:val="26"/>
          <w:szCs w:val="26"/>
        </w:rPr>
        <w:t>2025 au fost admise 5 cereri de transfer la parchetele militare.</w:t>
      </w:r>
    </w:p>
    <w:p w14:paraId="6C110E2E" w14:textId="77777777" w:rsidR="00B56B7F" w:rsidRPr="00B56B7F" w:rsidRDefault="00B56B7F" w:rsidP="009E3AD8">
      <w:pPr>
        <w:spacing w:line="276" w:lineRule="auto"/>
        <w:ind w:firstLine="720"/>
        <w:jc w:val="both"/>
        <w:rPr>
          <w:rFonts w:ascii="Calibri" w:hAnsi="Calibri" w:cs="Calibri"/>
          <w:bCs/>
          <w:noProof/>
          <w:sz w:val="26"/>
          <w:szCs w:val="26"/>
          <w:shd w:val="clear" w:color="auto" w:fill="FFFFFF"/>
        </w:rPr>
      </w:pPr>
      <w:r w:rsidRPr="00B56B7F">
        <w:rPr>
          <w:rFonts w:ascii="Calibri" w:hAnsi="Calibri" w:cs="Calibri"/>
          <w:bCs/>
          <w:noProof/>
          <w:sz w:val="26"/>
          <w:szCs w:val="26"/>
          <w:shd w:val="clear" w:color="auto" w:fill="FFFFFF"/>
        </w:rPr>
        <w:lastRenderedPageBreak/>
        <w:t>În anul 2025, Serviciul concursuri şi formare profesională a fost implicat în derularea următoarelor concursuri/examene:</w:t>
      </w:r>
    </w:p>
    <w:p w14:paraId="6559F07F" w14:textId="77777777" w:rsidR="00B56B7F" w:rsidRPr="00846BCB" w:rsidRDefault="00B56B7F" w:rsidP="00281400">
      <w:pPr>
        <w:numPr>
          <w:ilvl w:val="0"/>
          <w:numId w:val="11"/>
        </w:numPr>
        <w:spacing w:line="276" w:lineRule="auto"/>
        <w:jc w:val="both"/>
        <w:rPr>
          <w:rFonts w:ascii="Calibri" w:hAnsi="Calibri" w:cs="Calibri"/>
          <w:bCs/>
          <w:noProof/>
          <w:sz w:val="26"/>
          <w:szCs w:val="26"/>
          <w:shd w:val="clear" w:color="auto" w:fill="FFFFFF"/>
        </w:rPr>
      </w:pPr>
      <w:bookmarkStart w:id="138" w:name="_Hlk117501378"/>
      <w:r w:rsidRPr="00846BCB">
        <w:rPr>
          <w:rFonts w:ascii="Calibri" w:hAnsi="Calibri" w:cs="Calibri"/>
          <w:bCs/>
          <w:noProof/>
          <w:sz w:val="26"/>
          <w:szCs w:val="26"/>
          <w:shd w:val="clear" w:color="auto" w:fill="FFFFFF"/>
        </w:rPr>
        <w:t xml:space="preserve">Examenul de </w:t>
      </w:r>
      <w:bookmarkStart w:id="139" w:name="_Hlk117502882"/>
      <w:r w:rsidRPr="00846BCB">
        <w:rPr>
          <w:rFonts w:ascii="Calibri" w:hAnsi="Calibri" w:cs="Calibri"/>
          <w:bCs/>
          <w:noProof/>
          <w:sz w:val="26"/>
          <w:szCs w:val="26"/>
          <w:shd w:val="clear" w:color="auto" w:fill="FFFFFF"/>
        </w:rPr>
        <w:t>capacitate</w:t>
      </w:r>
      <w:bookmarkEnd w:id="139"/>
      <w:r w:rsidRPr="00846BCB">
        <w:rPr>
          <w:rFonts w:ascii="Calibri" w:hAnsi="Calibri" w:cs="Calibri"/>
          <w:bCs/>
          <w:noProof/>
          <w:sz w:val="26"/>
          <w:szCs w:val="26"/>
          <w:shd w:val="clear" w:color="auto" w:fill="FFFFFF"/>
        </w:rPr>
        <w:t xml:space="preserve"> al judecătorilor și procurorilor stagiari </w:t>
      </w:r>
    </w:p>
    <w:bookmarkEnd w:id="138"/>
    <w:p w14:paraId="466C26A8" w14:textId="3567EA12" w:rsidR="00B56B7F" w:rsidRPr="00846BCB" w:rsidRDefault="00B56B7F" w:rsidP="00281400">
      <w:pPr>
        <w:numPr>
          <w:ilvl w:val="0"/>
          <w:numId w:val="34"/>
        </w:numPr>
        <w:spacing w:line="276" w:lineRule="auto"/>
        <w:jc w:val="both"/>
        <w:rPr>
          <w:rFonts w:ascii="Calibri" w:hAnsi="Calibri" w:cs="Calibri"/>
          <w:bCs/>
          <w:noProof/>
          <w:sz w:val="26"/>
          <w:szCs w:val="26"/>
          <w:shd w:val="clear" w:color="auto" w:fill="FFFFFF"/>
        </w:rPr>
      </w:pPr>
      <w:r w:rsidRPr="00846BCB">
        <w:rPr>
          <w:rFonts w:ascii="Calibri" w:hAnsi="Calibri" w:cs="Calibri"/>
          <w:bCs/>
          <w:iCs/>
          <w:noProof/>
          <w:sz w:val="26"/>
          <w:szCs w:val="26"/>
          <w:shd w:val="clear" w:color="auto" w:fill="FFFFFF"/>
        </w:rPr>
        <w:t>Examenul de capacitate al judecătorilor stagiari și procurorilor stagiari</w:t>
      </w:r>
      <w:r w:rsidRPr="00846BCB">
        <w:rPr>
          <w:rFonts w:ascii="Calibri" w:hAnsi="Calibri" w:cs="Calibri"/>
          <w:bCs/>
          <w:noProof/>
          <w:sz w:val="26"/>
          <w:szCs w:val="26"/>
          <w:shd w:val="clear" w:color="auto" w:fill="FFFFFF"/>
        </w:rPr>
        <w:t xml:space="preserve"> organizat în perioada octombrie 2024 - aprilie 2025, </w:t>
      </w:r>
      <w:r w:rsidRPr="00846BCB">
        <w:rPr>
          <w:rFonts w:ascii="Calibri" w:hAnsi="Calibri" w:cs="Calibri"/>
          <w:bCs/>
          <w:iCs/>
          <w:noProof/>
          <w:sz w:val="26"/>
          <w:szCs w:val="26"/>
          <w:shd w:val="clear" w:color="auto" w:fill="FFFFFF"/>
        </w:rPr>
        <w:t>în temeiul Regulamentului privind examenul de capacitate al judecătorilor stagiari şi al procurorilor stagiari, aprobat prin Hotărârea Plenului C</w:t>
      </w:r>
      <w:r w:rsidR="00846BCB" w:rsidRPr="00846BCB">
        <w:rPr>
          <w:rFonts w:ascii="Calibri" w:hAnsi="Calibri" w:cs="Calibri"/>
          <w:bCs/>
          <w:iCs/>
          <w:noProof/>
          <w:sz w:val="26"/>
          <w:szCs w:val="26"/>
          <w:shd w:val="clear" w:color="auto" w:fill="FFFFFF"/>
        </w:rPr>
        <w:t xml:space="preserve">.S.M. </w:t>
      </w:r>
      <w:r w:rsidRPr="00846BCB">
        <w:rPr>
          <w:rFonts w:ascii="Calibri" w:hAnsi="Calibri" w:cs="Calibri"/>
          <w:bCs/>
          <w:iCs/>
          <w:noProof/>
          <w:sz w:val="26"/>
          <w:szCs w:val="26"/>
          <w:shd w:val="clear" w:color="auto" w:fill="FFFFFF"/>
        </w:rPr>
        <w:t>nr. 123/2023</w:t>
      </w:r>
      <w:r w:rsidRPr="00846BCB">
        <w:rPr>
          <w:rFonts w:ascii="Calibri" w:hAnsi="Calibri" w:cs="Calibri"/>
          <w:bCs/>
          <w:noProof/>
          <w:sz w:val="26"/>
          <w:szCs w:val="26"/>
          <w:shd w:val="clear" w:color="auto" w:fill="FFFFFF"/>
        </w:rPr>
        <w:t>;</w:t>
      </w:r>
    </w:p>
    <w:p w14:paraId="3E13D1CC" w14:textId="55514721" w:rsidR="00B56B7F" w:rsidRPr="001B09DD" w:rsidRDefault="00B56B7F" w:rsidP="00281400">
      <w:pPr>
        <w:numPr>
          <w:ilvl w:val="0"/>
          <w:numId w:val="34"/>
        </w:numPr>
        <w:spacing w:line="276" w:lineRule="auto"/>
        <w:jc w:val="both"/>
        <w:rPr>
          <w:rFonts w:ascii="Calibri" w:hAnsi="Calibri" w:cs="Calibri"/>
          <w:bCs/>
          <w:noProof/>
          <w:sz w:val="26"/>
          <w:szCs w:val="26"/>
          <w:shd w:val="clear" w:color="auto" w:fill="FFFFFF"/>
        </w:rPr>
      </w:pPr>
      <w:r w:rsidRPr="00846BCB">
        <w:rPr>
          <w:rFonts w:ascii="Calibri" w:hAnsi="Calibri" w:cs="Calibri"/>
          <w:bCs/>
          <w:iCs/>
          <w:noProof/>
          <w:sz w:val="26"/>
          <w:szCs w:val="26"/>
          <w:shd w:val="clear" w:color="auto" w:fill="FFFFFF"/>
        </w:rPr>
        <w:t>Examenul de capacitate al judecătorilor stagiari și procurorilor stagiari</w:t>
      </w:r>
      <w:r w:rsidRPr="00846BCB">
        <w:rPr>
          <w:rFonts w:ascii="Calibri" w:hAnsi="Calibri" w:cs="Calibri"/>
          <w:bCs/>
          <w:noProof/>
          <w:sz w:val="26"/>
          <w:szCs w:val="26"/>
          <w:shd w:val="clear" w:color="auto" w:fill="FFFFFF"/>
        </w:rPr>
        <w:t xml:space="preserve"> organizat în perioada octombrie 2024 - aprilie 2025, în temeiul Regulamentului </w:t>
      </w:r>
      <w:r w:rsidRPr="00846BCB">
        <w:rPr>
          <w:rFonts w:ascii="Calibri" w:hAnsi="Calibri" w:cs="Calibri"/>
          <w:bCs/>
          <w:iCs/>
          <w:noProof/>
          <w:sz w:val="26"/>
          <w:szCs w:val="26"/>
          <w:shd w:val="clear" w:color="auto" w:fill="FFFFFF"/>
        </w:rPr>
        <w:t>privind examenul de capacitate al judecătorilor stagiari şi al procurorilor stagiari</w:t>
      </w:r>
      <w:r w:rsidRPr="00846BCB">
        <w:rPr>
          <w:rFonts w:ascii="Calibri" w:hAnsi="Calibri" w:cs="Calibri"/>
          <w:bCs/>
          <w:noProof/>
          <w:sz w:val="26"/>
          <w:szCs w:val="26"/>
          <w:shd w:val="clear" w:color="auto" w:fill="FFFFFF"/>
        </w:rPr>
        <w:t xml:space="preserve"> aprobat prin Hotărârea Plenului C</w:t>
      </w:r>
      <w:r w:rsidR="00846BCB" w:rsidRPr="00846BCB">
        <w:rPr>
          <w:rFonts w:ascii="Calibri" w:hAnsi="Calibri" w:cs="Calibri"/>
          <w:bCs/>
          <w:noProof/>
          <w:sz w:val="26"/>
          <w:szCs w:val="26"/>
          <w:shd w:val="clear" w:color="auto" w:fill="FFFFFF"/>
        </w:rPr>
        <w:t xml:space="preserve">.S.M. </w:t>
      </w:r>
      <w:r w:rsidRPr="00846BCB">
        <w:rPr>
          <w:rFonts w:ascii="Calibri" w:hAnsi="Calibri" w:cs="Calibri"/>
          <w:bCs/>
          <w:noProof/>
          <w:sz w:val="26"/>
          <w:szCs w:val="26"/>
          <w:shd w:val="clear" w:color="auto" w:fill="FFFFFF"/>
        </w:rPr>
        <w:t xml:space="preserve">nr. </w:t>
      </w:r>
      <w:r w:rsidRPr="001B09DD">
        <w:rPr>
          <w:rFonts w:ascii="Calibri" w:hAnsi="Calibri" w:cs="Calibri"/>
          <w:bCs/>
          <w:noProof/>
          <w:sz w:val="26"/>
          <w:szCs w:val="26"/>
          <w:shd w:val="clear" w:color="auto" w:fill="FFFFFF"/>
        </w:rPr>
        <w:t>103/2019</w:t>
      </w:r>
      <w:r w:rsidR="006968C0" w:rsidRPr="001B09DD">
        <w:rPr>
          <w:rFonts w:ascii="Calibri" w:hAnsi="Calibri" w:cs="Calibri"/>
          <w:bCs/>
          <w:noProof/>
          <w:sz w:val="26"/>
          <w:szCs w:val="26"/>
          <w:shd w:val="clear" w:color="auto" w:fill="FFFFFF"/>
        </w:rPr>
        <w:t>;</w:t>
      </w:r>
    </w:p>
    <w:p w14:paraId="4AC84825" w14:textId="1008105D" w:rsidR="001172D0" w:rsidRPr="001B09DD" w:rsidRDefault="001172D0" w:rsidP="001172D0">
      <w:pPr>
        <w:numPr>
          <w:ilvl w:val="0"/>
          <w:numId w:val="34"/>
        </w:numPr>
        <w:tabs>
          <w:tab w:val="left" w:pos="851"/>
          <w:tab w:val="left" w:pos="993"/>
        </w:tabs>
        <w:spacing w:line="276" w:lineRule="auto"/>
        <w:ind w:left="709" w:hanging="283"/>
        <w:jc w:val="both"/>
        <w:rPr>
          <w:rFonts w:ascii="Calibri" w:hAnsi="Calibri" w:cs="Calibri"/>
          <w:bCs/>
          <w:noProof/>
          <w:sz w:val="26"/>
          <w:szCs w:val="26"/>
          <w:shd w:val="clear" w:color="auto" w:fill="FFFFFF"/>
        </w:rPr>
      </w:pPr>
      <w:r w:rsidRPr="001B09DD">
        <w:rPr>
          <w:rFonts w:ascii="Calibri" w:hAnsi="Calibri" w:cs="Calibri"/>
          <w:bCs/>
          <w:noProof/>
          <w:sz w:val="26"/>
          <w:szCs w:val="26"/>
          <w:shd w:val="clear" w:color="auto" w:fill="FFFFFF"/>
        </w:rPr>
        <w:t>Examenul de capacitate al judecătorilor stagiari și procurorilor stagiari organizat în perioada decembrie 2025 - iunie 2026, în temeiul Regulamentului privind examenul de capacitate al judecătorilor stagiari şi al procurorilor stagiari aprobat prin Hotărârea Plenului C.S.M. nr. 123/2023.</w:t>
      </w:r>
    </w:p>
    <w:p w14:paraId="196465FD" w14:textId="0DD7FC55" w:rsidR="00B56B7F" w:rsidRPr="00846BCB" w:rsidRDefault="00B56B7F" w:rsidP="00281400">
      <w:pPr>
        <w:numPr>
          <w:ilvl w:val="0"/>
          <w:numId w:val="11"/>
        </w:numPr>
        <w:spacing w:line="276" w:lineRule="auto"/>
        <w:jc w:val="both"/>
        <w:rPr>
          <w:rFonts w:ascii="Calibri" w:hAnsi="Calibri" w:cs="Calibri"/>
          <w:bCs/>
          <w:noProof/>
          <w:sz w:val="26"/>
          <w:szCs w:val="26"/>
          <w:shd w:val="clear" w:color="auto" w:fill="FFFFFF"/>
        </w:rPr>
      </w:pPr>
      <w:r w:rsidRPr="00846BCB">
        <w:rPr>
          <w:rFonts w:ascii="Calibri" w:hAnsi="Calibri" w:cs="Calibri"/>
          <w:bCs/>
          <w:noProof/>
          <w:sz w:val="26"/>
          <w:szCs w:val="26"/>
          <w:shd w:val="clear" w:color="auto" w:fill="FFFFFF"/>
        </w:rPr>
        <w:t xml:space="preserve">Concursul de admitere la </w:t>
      </w:r>
      <w:r w:rsidR="00F822C2" w:rsidRPr="00846BCB">
        <w:rPr>
          <w:rFonts w:ascii="Calibri" w:hAnsi="Calibri" w:cs="Calibri"/>
          <w:bCs/>
          <w:noProof/>
          <w:sz w:val="26"/>
          <w:szCs w:val="26"/>
          <w:shd w:val="clear" w:color="auto" w:fill="FFFFFF"/>
        </w:rPr>
        <w:t xml:space="preserve">Școala </w:t>
      </w:r>
      <w:r w:rsidRPr="00846BCB">
        <w:rPr>
          <w:rFonts w:ascii="Calibri" w:hAnsi="Calibri" w:cs="Calibri"/>
          <w:bCs/>
          <w:noProof/>
          <w:sz w:val="26"/>
          <w:szCs w:val="26"/>
          <w:shd w:val="clear" w:color="auto" w:fill="FFFFFF"/>
        </w:rPr>
        <w:t>N</w:t>
      </w:r>
      <w:r w:rsidR="00F822C2" w:rsidRPr="00846BCB">
        <w:rPr>
          <w:rFonts w:ascii="Calibri" w:hAnsi="Calibri" w:cs="Calibri"/>
          <w:bCs/>
          <w:noProof/>
          <w:sz w:val="26"/>
          <w:szCs w:val="26"/>
          <w:shd w:val="clear" w:color="auto" w:fill="FFFFFF"/>
        </w:rPr>
        <w:t xml:space="preserve">ațională de </w:t>
      </w:r>
      <w:r w:rsidRPr="00846BCB">
        <w:rPr>
          <w:rFonts w:ascii="Calibri" w:hAnsi="Calibri" w:cs="Calibri"/>
          <w:bCs/>
          <w:noProof/>
          <w:sz w:val="26"/>
          <w:szCs w:val="26"/>
          <w:shd w:val="clear" w:color="auto" w:fill="FFFFFF"/>
        </w:rPr>
        <w:t>G</w:t>
      </w:r>
      <w:r w:rsidR="00F822C2" w:rsidRPr="00846BCB">
        <w:rPr>
          <w:rFonts w:ascii="Calibri" w:hAnsi="Calibri" w:cs="Calibri"/>
          <w:bCs/>
          <w:noProof/>
          <w:sz w:val="26"/>
          <w:szCs w:val="26"/>
          <w:shd w:val="clear" w:color="auto" w:fill="FFFFFF"/>
        </w:rPr>
        <w:t>refieri</w:t>
      </w:r>
      <w:r w:rsidRPr="00846BCB">
        <w:rPr>
          <w:rFonts w:ascii="Calibri" w:hAnsi="Calibri" w:cs="Calibri"/>
          <w:bCs/>
          <w:noProof/>
          <w:sz w:val="26"/>
          <w:szCs w:val="26"/>
          <w:shd w:val="clear" w:color="auto" w:fill="FFFFFF"/>
        </w:rPr>
        <w:t xml:space="preserve"> </w:t>
      </w:r>
      <w:r w:rsidR="00D25E5F" w:rsidRPr="00846BCB">
        <w:rPr>
          <w:rFonts w:ascii="Calibri" w:hAnsi="Calibri" w:cs="Calibri"/>
          <w:bCs/>
          <w:noProof/>
          <w:sz w:val="26"/>
          <w:szCs w:val="26"/>
          <w:shd w:val="clear" w:color="auto" w:fill="FFFFFF"/>
        </w:rPr>
        <w:t>organizat la data de</w:t>
      </w:r>
      <w:r w:rsidRPr="00846BCB">
        <w:rPr>
          <w:rFonts w:ascii="Calibri" w:hAnsi="Calibri" w:cs="Calibri"/>
          <w:bCs/>
          <w:noProof/>
          <w:sz w:val="26"/>
          <w:szCs w:val="26"/>
          <w:shd w:val="clear" w:color="auto" w:fill="FFFFFF"/>
        </w:rPr>
        <w:t xml:space="preserve"> 25 mai 2025</w:t>
      </w:r>
      <w:r w:rsidR="00D25E5F" w:rsidRPr="00846BCB">
        <w:rPr>
          <w:rFonts w:ascii="Calibri" w:hAnsi="Calibri" w:cs="Calibri"/>
          <w:bCs/>
          <w:noProof/>
          <w:sz w:val="26"/>
          <w:szCs w:val="26"/>
          <w:shd w:val="clear" w:color="auto" w:fill="FFFFFF"/>
        </w:rPr>
        <w:t>,</w:t>
      </w:r>
      <w:r w:rsidRPr="00846BCB">
        <w:rPr>
          <w:rFonts w:ascii="Calibri" w:hAnsi="Calibri" w:cs="Calibri"/>
          <w:bCs/>
          <w:noProof/>
          <w:sz w:val="26"/>
          <w:szCs w:val="26"/>
          <w:shd w:val="clear" w:color="auto" w:fill="FFFFFF"/>
        </w:rPr>
        <w:t xml:space="preserve"> aprobat prin Hotărârea Plenului C</w:t>
      </w:r>
      <w:r w:rsidR="00846BCB" w:rsidRPr="00846BCB">
        <w:rPr>
          <w:rFonts w:ascii="Calibri" w:hAnsi="Calibri" w:cs="Calibri"/>
          <w:bCs/>
          <w:noProof/>
          <w:sz w:val="26"/>
          <w:szCs w:val="26"/>
          <w:shd w:val="clear" w:color="auto" w:fill="FFFFFF"/>
        </w:rPr>
        <w:t>.S.M. n</w:t>
      </w:r>
      <w:r w:rsidRPr="00846BCB">
        <w:rPr>
          <w:rFonts w:ascii="Calibri" w:hAnsi="Calibri" w:cs="Calibri"/>
          <w:bCs/>
          <w:noProof/>
          <w:sz w:val="26"/>
          <w:szCs w:val="26"/>
          <w:shd w:val="clear" w:color="auto" w:fill="FFFFFF"/>
        </w:rPr>
        <w:t>r. 25/12.03.2025;</w:t>
      </w:r>
    </w:p>
    <w:p w14:paraId="3BA95D72" w14:textId="77777777" w:rsidR="00B56B7F" w:rsidRPr="00846BCB" w:rsidRDefault="00B56B7F" w:rsidP="00281400">
      <w:pPr>
        <w:numPr>
          <w:ilvl w:val="0"/>
          <w:numId w:val="11"/>
        </w:numPr>
        <w:spacing w:line="276" w:lineRule="auto"/>
        <w:jc w:val="both"/>
        <w:rPr>
          <w:rFonts w:ascii="Calibri" w:hAnsi="Calibri" w:cs="Calibri"/>
          <w:bCs/>
          <w:noProof/>
          <w:sz w:val="26"/>
          <w:szCs w:val="26"/>
          <w:shd w:val="clear" w:color="auto" w:fill="FFFFFF"/>
        </w:rPr>
      </w:pPr>
      <w:r w:rsidRPr="00846BCB">
        <w:rPr>
          <w:rFonts w:ascii="Calibri" w:hAnsi="Calibri" w:cs="Calibri"/>
          <w:bCs/>
          <w:noProof/>
          <w:sz w:val="26"/>
          <w:szCs w:val="26"/>
          <w:shd w:val="clear" w:color="auto" w:fill="FFFFFF"/>
        </w:rPr>
        <w:t>Numiri în funcții de conducere:</w:t>
      </w:r>
    </w:p>
    <w:p w14:paraId="6B72C3A4" w14:textId="77777777" w:rsidR="00B56B7F" w:rsidRPr="00B56B7F" w:rsidRDefault="00B56B7F" w:rsidP="00281400">
      <w:pPr>
        <w:numPr>
          <w:ilvl w:val="0"/>
          <w:numId w:val="35"/>
        </w:numPr>
        <w:spacing w:line="276" w:lineRule="auto"/>
        <w:ind w:left="709"/>
        <w:jc w:val="both"/>
        <w:rPr>
          <w:rFonts w:ascii="Calibri" w:hAnsi="Calibri" w:cs="Calibri"/>
          <w:bCs/>
          <w:noProof/>
          <w:sz w:val="26"/>
          <w:szCs w:val="26"/>
          <w:shd w:val="clear" w:color="auto" w:fill="FFFFFF"/>
        </w:rPr>
      </w:pPr>
      <w:r w:rsidRPr="00B56B7F">
        <w:rPr>
          <w:rFonts w:ascii="Calibri" w:hAnsi="Calibri" w:cs="Calibri"/>
          <w:b/>
          <w:i/>
          <w:noProof/>
          <w:sz w:val="26"/>
          <w:szCs w:val="26"/>
          <w:shd w:val="clear" w:color="auto" w:fill="FFFFFF"/>
        </w:rPr>
        <w:t xml:space="preserve"> </w:t>
      </w:r>
      <w:r w:rsidRPr="00D25E5F">
        <w:rPr>
          <w:rFonts w:ascii="Calibri" w:hAnsi="Calibri" w:cs="Calibri"/>
          <w:bCs/>
          <w:iCs/>
          <w:noProof/>
          <w:sz w:val="26"/>
          <w:szCs w:val="26"/>
          <w:shd w:val="clear" w:color="auto" w:fill="FFFFFF"/>
        </w:rPr>
        <w:t>Concurs sau examen pentru numirea în funcţii de conducere a judecătorilor</w:t>
      </w:r>
      <w:r w:rsidRPr="00B56B7F">
        <w:rPr>
          <w:rFonts w:ascii="Calibri" w:hAnsi="Calibri" w:cs="Calibri"/>
          <w:bCs/>
          <w:noProof/>
          <w:sz w:val="26"/>
          <w:szCs w:val="26"/>
          <w:shd w:val="clear" w:color="auto" w:fill="FFFFFF"/>
        </w:rPr>
        <w:t xml:space="preserve"> la curţile de apel, tribunale, tribunale specializate, judecătorii și instanțele militare organizat în perioada august - decembrie 2025;</w:t>
      </w:r>
    </w:p>
    <w:p w14:paraId="2CC853A1" w14:textId="77777777" w:rsidR="00B56B7F" w:rsidRPr="00B56B7F" w:rsidRDefault="00B56B7F" w:rsidP="00281400">
      <w:pPr>
        <w:numPr>
          <w:ilvl w:val="0"/>
          <w:numId w:val="35"/>
        </w:numPr>
        <w:spacing w:line="276" w:lineRule="auto"/>
        <w:ind w:left="709"/>
        <w:jc w:val="both"/>
        <w:rPr>
          <w:rFonts w:ascii="Calibri" w:hAnsi="Calibri" w:cs="Calibri"/>
          <w:bCs/>
          <w:noProof/>
          <w:sz w:val="26"/>
          <w:szCs w:val="26"/>
          <w:shd w:val="clear" w:color="auto" w:fill="FFFFFF"/>
        </w:rPr>
      </w:pPr>
      <w:r w:rsidRPr="00D25E5F">
        <w:rPr>
          <w:rFonts w:ascii="Calibri" w:hAnsi="Calibri" w:cs="Calibri"/>
          <w:bCs/>
          <w:iCs/>
          <w:noProof/>
          <w:sz w:val="26"/>
          <w:szCs w:val="26"/>
          <w:shd w:val="clear" w:color="auto" w:fill="FFFFFF"/>
        </w:rPr>
        <w:t>Concurs sau examen pentru numirea în funcţii de conducere a procurorilor</w:t>
      </w:r>
      <w:r w:rsidRPr="00B56B7F">
        <w:rPr>
          <w:rFonts w:ascii="Calibri" w:hAnsi="Calibri" w:cs="Calibri"/>
          <w:bCs/>
          <w:noProof/>
          <w:sz w:val="26"/>
          <w:szCs w:val="26"/>
          <w:shd w:val="clear" w:color="auto" w:fill="FFFFFF"/>
        </w:rPr>
        <w:t xml:space="preserve"> la parchetele de pe lângă curţile de apel, tribunale, tribunale specializate si judecătorii, organizat în perioada august - decembrie 2025.</w:t>
      </w:r>
    </w:p>
    <w:p w14:paraId="1C3D1471" w14:textId="77777777" w:rsidR="00B56B7F" w:rsidRPr="00846BCB" w:rsidRDefault="00B56B7F" w:rsidP="00281400">
      <w:pPr>
        <w:numPr>
          <w:ilvl w:val="0"/>
          <w:numId w:val="11"/>
        </w:numPr>
        <w:spacing w:line="276" w:lineRule="auto"/>
        <w:jc w:val="both"/>
        <w:rPr>
          <w:rFonts w:ascii="Calibri" w:hAnsi="Calibri" w:cs="Calibri"/>
          <w:bCs/>
          <w:noProof/>
          <w:sz w:val="26"/>
          <w:szCs w:val="26"/>
          <w:shd w:val="clear" w:color="auto" w:fill="FFFFFF"/>
        </w:rPr>
      </w:pPr>
      <w:r w:rsidRPr="00846BCB">
        <w:rPr>
          <w:rFonts w:ascii="Calibri" w:hAnsi="Calibri" w:cs="Calibri"/>
          <w:bCs/>
          <w:noProof/>
          <w:sz w:val="26"/>
          <w:szCs w:val="26"/>
          <w:shd w:val="clear" w:color="auto" w:fill="FFFFFF"/>
        </w:rPr>
        <w:t>Promovări în funcții de execuție:</w:t>
      </w:r>
    </w:p>
    <w:p w14:paraId="6E45FB6E" w14:textId="77777777" w:rsidR="00B56B7F" w:rsidRPr="00846BCB" w:rsidRDefault="00B56B7F" w:rsidP="00281400">
      <w:pPr>
        <w:numPr>
          <w:ilvl w:val="0"/>
          <w:numId w:val="36"/>
        </w:numPr>
        <w:spacing w:line="276" w:lineRule="auto"/>
        <w:ind w:left="709"/>
        <w:jc w:val="both"/>
        <w:rPr>
          <w:rFonts w:ascii="Calibri" w:hAnsi="Calibri" w:cs="Calibri"/>
          <w:bCs/>
          <w:noProof/>
          <w:sz w:val="26"/>
          <w:szCs w:val="26"/>
          <w:shd w:val="clear" w:color="auto" w:fill="FFFFFF"/>
        </w:rPr>
      </w:pPr>
      <w:r w:rsidRPr="00846BCB">
        <w:rPr>
          <w:rFonts w:ascii="Calibri" w:hAnsi="Calibri" w:cs="Calibri"/>
          <w:bCs/>
          <w:iCs/>
          <w:noProof/>
          <w:sz w:val="26"/>
          <w:szCs w:val="26"/>
          <w:shd w:val="clear" w:color="auto" w:fill="FFFFFF"/>
        </w:rPr>
        <w:t>Concurs de promovare efectivă în funcţii de execuţie a judecătorilor,</w:t>
      </w:r>
      <w:r w:rsidRPr="00846BCB">
        <w:rPr>
          <w:rFonts w:ascii="Calibri" w:hAnsi="Calibri" w:cs="Calibri"/>
          <w:bCs/>
          <w:noProof/>
          <w:sz w:val="26"/>
          <w:szCs w:val="26"/>
          <w:shd w:val="clear" w:color="auto" w:fill="FFFFFF"/>
        </w:rPr>
        <w:t xml:space="preserve"> organizat în perioada septembrie – decembrie 2025;</w:t>
      </w:r>
    </w:p>
    <w:p w14:paraId="0DCB96A3" w14:textId="682FEB2A" w:rsidR="00B56B7F" w:rsidRDefault="00B56B7F" w:rsidP="00281400">
      <w:pPr>
        <w:numPr>
          <w:ilvl w:val="0"/>
          <w:numId w:val="36"/>
        </w:numPr>
        <w:spacing w:line="276" w:lineRule="auto"/>
        <w:ind w:left="709"/>
        <w:jc w:val="both"/>
        <w:rPr>
          <w:rFonts w:ascii="Calibri" w:hAnsi="Calibri" w:cs="Calibri"/>
          <w:bCs/>
          <w:noProof/>
          <w:sz w:val="26"/>
          <w:szCs w:val="26"/>
          <w:shd w:val="clear" w:color="auto" w:fill="FFFFFF"/>
        </w:rPr>
      </w:pPr>
      <w:r w:rsidRPr="00846BCB">
        <w:rPr>
          <w:rFonts w:ascii="Calibri" w:hAnsi="Calibri" w:cs="Calibri"/>
          <w:bCs/>
          <w:iCs/>
          <w:noProof/>
          <w:sz w:val="26"/>
          <w:szCs w:val="26"/>
          <w:shd w:val="clear" w:color="auto" w:fill="FFFFFF"/>
        </w:rPr>
        <w:t xml:space="preserve">Concurs de promovare efectivă în funcții de execuție a procurorilor, </w:t>
      </w:r>
      <w:r w:rsidRPr="00846BCB">
        <w:rPr>
          <w:rFonts w:ascii="Calibri" w:hAnsi="Calibri" w:cs="Calibri"/>
          <w:bCs/>
          <w:noProof/>
          <w:sz w:val="26"/>
          <w:szCs w:val="26"/>
          <w:shd w:val="clear" w:color="auto" w:fill="FFFFFF"/>
        </w:rPr>
        <w:t>organizat în perioada martie - septembrie 2025</w:t>
      </w:r>
      <w:r w:rsidR="006968C0">
        <w:rPr>
          <w:rFonts w:ascii="Calibri" w:hAnsi="Calibri" w:cs="Calibri"/>
          <w:bCs/>
          <w:noProof/>
          <w:sz w:val="26"/>
          <w:szCs w:val="26"/>
          <w:shd w:val="clear" w:color="auto" w:fill="FFFFFF"/>
        </w:rPr>
        <w:t>;</w:t>
      </w:r>
    </w:p>
    <w:p w14:paraId="0E00BDAC" w14:textId="0648B48E" w:rsidR="006968C0" w:rsidRPr="001B09DD" w:rsidRDefault="006968C0" w:rsidP="00281400">
      <w:pPr>
        <w:numPr>
          <w:ilvl w:val="0"/>
          <w:numId w:val="36"/>
        </w:numPr>
        <w:spacing w:line="276" w:lineRule="auto"/>
        <w:ind w:left="709"/>
        <w:jc w:val="both"/>
        <w:rPr>
          <w:rFonts w:ascii="Calibri" w:hAnsi="Calibri" w:cs="Calibri"/>
          <w:bCs/>
          <w:noProof/>
          <w:sz w:val="26"/>
          <w:szCs w:val="26"/>
          <w:shd w:val="clear" w:color="auto" w:fill="FFFFFF"/>
        </w:rPr>
      </w:pPr>
      <w:r w:rsidRPr="001B09DD">
        <w:rPr>
          <w:rFonts w:ascii="Calibri" w:hAnsi="Calibri" w:cs="Calibri"/>
          <w:bCs/>
          <w:noProof/>
          <w:sz w:val="26"/>
          <w:szCs w:val="26"/>
          <w:shd w:val="clear" w:color="auto" w:fill="FFFFFF"/>
        </w:rPr>
        <w:t>Concurs de promovare efectivă în funcții de execuție a judecătorilorla tribunale, organizat în perioada decembrie 2025 - aprilie 2026.</w:t>
      </w:r>
    </w:p>
    <w:p w14:paraId="565E9F70" w14:textId="77777777" w:rsidR="00B56B7F" w:rsidRPr="00846BCB" w:rsidRDefault="00B56B7F" w:rsidP="00281400">
      <w:pPr>
        <w:numPr>
          <w:ilvl w:val="0"/>
          <w:numId w:val="11"/>
        </w:numPr>
        <w:spacing w:line="276" w:lineRule="auto"/>
        <w:jc w:val="both"/>
        <w:rPr>
          <w:rFonts w:ascii="Calibri" w:hAnsi="Calibri" w:cs="Calibri"/>
          <w:bCs/>
          <w:noProof/>
          <w:sz w:val="26"/>
          <w:szCs w:val="26"/>
          <w:shd w:val="clear" w:color="auto" w:fill="FFFFFF"/>
        </w:rPr>
      </w:pPr>
      <w:r w:rsidRPr="00846BCB">
        <w:rPr>
          <w:rFonts w:ascii="Calibri" w:hAnsi="Calibri" w:cs="Calibri"/>
          <w:bCs/>
          <w:noProof/>
          <w:sz w:val="26"/>
          <w:szCs w:val="26"/>
          <w:shd w:val="clear" w:color="auto" w:fill="FFFFFF"/>
        </w:rPr>
        <w:t>Concursul de promovare în funcția de judecător la Înalta Curte de Casație și Justiție</w:t>
      </w:r>
    </w:p>
    <w:p w14:paraId="07177CAF" w14:textId="6110196A" w:rsidR="00B56B7F" w:rsidRPr="001F11E7" w:rsidRDefault="00B56B7F" w:rsidP="00281400">
      <w:pPr>
        <w:numPr>
          <w:ilvl w:val="0"/>
          <w:numId w:val="37"/>
        </w:numPr>
        <w:spacing w:line="276" w:lineRule="auto"/>
        <w:jc w:val="both"/>
        <w:rPr>
          <w:rFonts w:ascii="Calibri" w:hAnsi="Calibri" w:cs="Calibri"/>
          <w:bCs/>
          <w:noProof/>
          <w:sz w:val="26"/>
          <w:szCs w:val="26"/>
          <w:shd w:val="clear" w:color="auto" w:fill="FFFFFF"/>
        </w:rPr>
      </w:pPr>
      <w:r w:rsidRPr="00846BCB">
        <w:rPr>
          <w:rFonts w:ascii="Calibri" w:hAnsi="Calibri" w:cs="Calibri"/>
          <w:bCs/>
          <w:iCs/>
          <w:noProof/>
          <w:sz w:val="26"/>
          <w:szCs w:val="26"/>
          <w:shd w:val="clear" w:color="auto" w:fill="FFFFFF"/>
        </w:rPr>
        <w:t>Concurs</w:t>
      </w:r>
      <w:r w:rsidR="00D25E5F" w:rsidRPr="00846BCB">
        <w:rPr>
          <w:rFonts w:ascii="Calibri" w:hAnsi="Calibri" w:cs="Calibri"/>
          <w:bCs/>
          <w:iCs/>
          <w:noProof/>
          <w:sz w:val="26"/>
          <w:szCs w:val="26"/>
          <w:shd w:val="clear" w:color="auto" w:fill="FFFFFF"/>
        </w:rPr>
        <w:t>ul</w:t>
      </w:r>
      <w:r w:rsidRPr="00846BCB">
        <w:rPr>
          <w:rFonts w:ascii="Calibri" w:hAnsi="Calibri" w:cs="Calibri"/>
          <w:bCs/>
          <w:iCs/>
          <w:noProof/>
          <w:sz w:val="26"/>
          <w:szCs w:val="26"/>
          <w:shd w:val="clear" w:color="auto" w:fill="FFFFFF"/>
        </w:rPr>
        <w:t xml:space="preserve"> de promovare în funcţia de judecător la Înalta Curte de Casaţie şi Justiţie</w:t>
      </w:r>
      <w:r w:rsidR="00D25E5F" w:rsidRPr="00846BCB">
        <w:rPr>
          <w:rFonts w:ascii="Calibri" w:hAnsi="Calibri" w:cs="Calibri"/>
          <w:bCs/>
          <w:noProof/>
          <w:sz w:val="26"/>
          <w:szCs w:val="26"/>
          <w:shd w:val="clear" w:color="auto" w:fill="FFFFFF"/>
        </w:rPr>
        <w:t>,</w:t>
      </w:r>
      <w:r w:rsidR="00D25E5F">
        <w:rPr>
          <w:rFonts w:ascii="Calibri" w:hAnsi="Calibri" w:cs="Calibri"/>
          <w:bCs/>
          <w:noProof/>
          <w:sz w:val="26"/>
          <w:szCs w:val="26"/>
          <w:shd w:val="clear" w:color="auto" w:fill="FFFFFF"/>
        </w:rPr>
        <w:t xml:space="preserve"> organizat </w:t>
      </w:r>
      <w:r w:rsidRPr="001F11E7">
        <w:rPr>
          <w:rFonts w:ascii="Calibri" w:hAnsi="Calibri" w:cs="Calibri"/>
          <w:bCs/>
          <w:noProof/>
          <w:sz w:val="26"/>
          <w:szCs w:val="26"/>
          <w:shd w:val="clear" w:color="auto" w:fill="FFFFFF"/>
        </w:rPr>
        <w:t>în perioada septembrie 2024 - ianuarie 2025;</w:t>
      </w:r>
    </w:p>
    <w:p w14:paraId="2B16F5C1" w14:textId="41ABEF05" w:rsidR="00B56B7F" w:rsidRPr="00B56B7F" w:rsidRDefault="00B56B7F" w:rsidP="00281400">
      <w:pPr>
        <w:numPr>
          <w:ilvl w:val="0"/>
          <w:numId w:val="37"/>
        </w:numPr>
        <w:spacing w:line="276" w:lineRule="auto"/>
        <w:jc w:val="both"/>
        <w:rPr>
          <w:rFonts w:ascii="Calibri" w:hAnsi="Calibri" w:cs="Calibri"/>
          <w:b/>
          <w:noProof/>
          <w:sz w:val="26"/>
          <w:szCs w:val="26"/>
          <w:shd w:val="clear" w:color="auto" w:fill="FFFFFF"/>
        </w:rPr>
      </w:pPr>
      <w:r w:rsidRPr="00D25E5F">
        <w:rPr>
          <w:rFonts w:ascii="Calibri" w:hAnsi="Calibri" w:cs="Calibri"/>
          <w:bCs/>
          <w:iCs/>
          <w:noProof/>
          <w:sz w:val="26"/>
          <w:szCs w:val="26"/>
          <w:shd w:val="clear" w:color="auto" w:fill="FFFFFF"/>
        </w:rPr>
        <w:t>Concurs</w:t>
      </w:r>
      <w:r w:rsidR="00D25E5F">
        <w:rPr>
          <w:rFonts w:ascii="Calibri" w:hAnsi="Calibri" w:cs="Calibri"/>
          <w:bCs/>
          <w:iCs/>
          <w:noProof/>
          <w:sz w:val="26"/>
          <w:szCs w:val="26"/>
          <w:shd w:val="clear" w:color="auto" w:fill="FFFFFF"/>
        </w:rPr>
        <w:t>ul</w:t>
      </w:r>
      <w:r w:rsidRPr="00D25E5F">
        <w:rPr>
          <w:rFonts w:ascii="Calibri" w:hAnsi="Calibri" w:cs="Calibri"/>
          <w:bCs/>
          <w:iCs/>
          <w:noProof/>
          <w:sz w:val="26"/>
          <w:szCs w:val="26"/>
          <w:shd w:val="clear" w:color="auto" w:fill="FFFFFF"/>
        </w:rPr>
        <w:t xml:space="preserve"> de promovare în funcţia de judecător la Înalta Curte de Casaţie şi Justiţi</w:t>
      </w:r>
      <w:r w:rsidRPr="001F11E7">
        <w:rPr>
          <w:rFonts w:ascii="Calibri" w:hAnsi="Calibri" w:cs="Calibri"/>
          <w:bCs/>
          <w:i/>
          <w:noProof/>
          <w:sz w:val="26"/>
          <w:szCs w:val="26"/>
          <w:shd w:val="clear" w:color="auto" w:fill="FFFFFF"/>
        </w:rPr>
        <w:t>e</w:t>
      </w:r>
      <w:r w:rsidRPr="00B56B7F">
        <w:rPr>
          <w:rFonts w:ascii="Calibri" w:hAnsi="Calibri" w:cs="Calibri"/>
          <w:b/>
          <w:noProof/>
          <w:sz w:val="26"/>
          <w:szCs w:val="26"/>
          <w:shd w:val="clear" w:color="auto" w:fill="FFFFFF"/>
        </w:rPr>
        <w:t xml:space="preserve"> </w:t>
      </w:r>
      <w:r w:rsidRPr="001F11E7">
        <w:rPr>
          <w:rFonts w:ascii="Calibri" w:hAnsi="Calibri" w:cs="Calibri"/>
          <w:bCs/>
          <w:noProof/>
          <w:sz w:val="26"/>
          <w:szCs w:val="26"/>
          <w:shd w:val="clear" w:color="auto" w:fill="FFFFFF"/>
        </w:rPr>
        <w:t>sesiunea august - decembrie 202</w:t>
      </w:r>
      <w:r w:rsidR="00D25E5F">
        <w:rPr>
          <w:rFonts w:ascii="Calibri" w:hAnsi="Calibri" w:cs="Calibri"/>
          <w:bCs/>
          <w:noProof/>
          <w:sz w:val="26"/>
          <w:szCs w:val="26"/>
          <w:shd w:val="clear" w:color="auto" w:fill="FFFFFF"/>
        </w:rPr>
        <w:t>5, aflat în derulare</w:t>
      </w:r>
      <w:r w:rsidR="00B91392">
        <w:rPr>
          <w:rFonts w:ascii="Calibri" w:hAnsi="Calibri" w:cs="Calibri"/>
          <w:bCs/>
          <w:noProof/>
          <w:sz w:val="26"/>
          <w:szCs w:val="26"/>
          <w:shd w:val="clear" w:color="auto" w:fill="FFFFFF"/>
        </w:rPr>
        <w:t>.</w:t>
      </w:r>
    </w:p>
    <w:p w14:paraId="2ADEBF16" w14:textId="6D991825" w:rsidR="00B56B7F" w:rsidRPr="00846BCB" w:rsidRDefault="00B56B7F" w:rsidP="00281400">
      <w:pPr>
        <w:numPr>
          <w:ilvl w:val="0"/>
          <w:numId w:val="11"/>
        </w:numPr>
        <w:spacing w:line="276" w:lineRule="auto"/>
        <w:jc w:val="both"/>
        <w:rPr>
          <w:rFonts w:ascii="Calibri" w:hAnsi="Calibri" w:cs="Calibri"/>
          <w:bCs/>
          <w:noProof/>
          <w:sz w:val="26"/>
          <w:szCs w:val="26"/>
          <w:shd w:val="clear" w:color="auto" w:fill="FFFFFF"/>
        </w:rPr>
      </w:pPr>
      <w:r w:rsidRPr="00846BCB">
        <w:rPr>
          <w:rFonts w:ascii="Calibri" w:hAnsi="Calibri" w:cs="Calibri"/>
          <w:bCs/>
          <w:noProof/>
          <w:sz w:val="26"/>
          <w:szCs w:val="26"/>
          <w:shd w:val="clear" w:color="auto" w:fill="FFFFFF"/>
        </w:rPr>
        <w:t xml:space="preserve">Concurs de admitere în magistratură </w:t>
      </w:r>
    </w:p>
    <w:p w14:paraId="3E557DE4" w14:textId="65D91637" w:rsidR="00B56B7F" w:rsidRPr="00846BCB" w:rsidRDefault="00B56B7F" w:rsidP="00281400">
      <w:pPr>
        <w:numPr>
          <w:ilvl w:val="0"/>
          <w:numId w:val="38"/>
        </w:numPr>
        <w:spacing w:line="276" w:lineRule="auto"/>
        <w:jc w:val="both"/>
        <w:rPr>
          <w:rFonts w:ascii="Calibri" w:hAnsi="Calibri" w:cs="Calibri"/>
          <w:bCs/>
          <w:iCs/>
          <w:noProof/>
          <w:sz w:val="26"/>
          <w:szCs w:val="26"/>
          <w:shd w:val="clear" w:color="auto" w:fill="FFFFFF"/>
        </w:rPr>
      </w:pPr>
      <w:r w:rsidRPr="00846BCB">
        <w:rPr>
          <w:rFonts w:ascii="Calibri" w:hAnsi="Calibri" w:cs="Calibri"/>
          <w:bCs/>
          <w:iCs/>
          <w:noProof/>
          <w:sz w:val="26"/>
          <w:szCs w:val="26"/>
          <w:shd w:val="clear" w:color="auto" w:fill="FFFFFF"/>
        </w:rPr>
        <w:t>Concurs</w:t>
      </w:r>
      <w:r w:rsidR="00D25E5F" w:rsidRPr="00846BCB">
        <w:rPr>
          <w:rFonts w:ascii="Calibri" w:hAnsi="Calibri" w:cs="Calibri"/>
          <w:bCs/>
          <w:iCs/>
          <w:noProof/>
          <w:sz w:val="26"/>
          <w:szCs w:val="26"/>
          <w:shd w:val="clear" w:color="auto" w:fill="FFFFFF"/>
        </w:rPr>
        <w:t>ul</w:t>
      </w:r>
      <w:r w:rsidRPr="00846BCB">
        <w:rPr>
          <w:rFonts w:ascii="Calibri" w:hAnsi="Calibri" w:cs="Calibri"/>
          <w:bCs/>
          <w:iCs/>
          <w:noProof/>
          <w:sz w:val="26"/>
          <w:szCs w:val="26"/>
          <w:shd w:val="clear" w:color="auto" w:fill="FFFFFF"/>
        </w:rPr>
        <w:t xml:space="preserve"> de admitere în magistratură, organizat în perioada iulie 2024</w:t>
      </w:r>
      <w:r w:rsidR="00B91392" w:rsidRPr="00846BCB">
        <w:rPr>
          <w:rFonts w:ascii="Calibri" w:hAnsi="Calibri" w:cs="Calibri"/>
          <w:bCs/>
          <w:iCs/>
          <w:noProof/>
          <w:sz w:val="26"/>
          <w:szCs w:val="26"/>
          <w:shd w:val="clear" w:color="auto" w:fill="FFFFFF"/>
        </w:rPr>
        <w:t xml:space="preserve"> </w:t>
      </w:r>
      <w:r w:rsidRPr="00846BCB">
        <w:rPr>
          <w:rFonts w:ascii="Calibri" w:hAnsi="Calibri" w:cs="Calibri"/>
          <w:bCs/>
          <w:iCs/>
          <w:noProof/>
          <w:sz w:val="26"/>
          <w:szCs w:val="26"/>
          <w:shd w:val="clear" w:color="auto" w:fill="FFFFFF"/>
        </w:rPr>
        <w:t>-</w:t>
      </w:r>
      <w:r w:rsidR="00B91392" w:rsidRPr="00846BCB">
        <w:rPr>
          <w:rFonts w:ascii="Calibri" w:hAnsi="Calibri" w:cs="Calibri"/>
          <w:bCs/>
          <w:iCs/>
          <w:noProof/>
          <w:sz w:val="26"/>
          <w:szCs w:val="26"/>
          <w:shd w:val="clear" w:color="auto" w:fill="FFFFFF"/>
        </w:rPr>
        <w:t xml:space="preserve"> </w:t>
      </w:r>
      <w:r w:rsidRPr="00846BCB">
        <w:rPr>
          <w:rFonts w:ascii="Calibri" w:hAnsi="Calibri" w:cs="Calibri"/>
          <w:bCs/>
          <w:iCs/>
          <w:noProof/>
          <w:sz w:val="26"/>
          <w:szCs w:val="26"/>
          <w:shd w:val="clear" w:color="auto" w:fill="FFFFFF"/>
        </w:rPr>
        <w:t>martie 2025</w:t>
      </w:r>
      <w:r w:rsidR="00B91392" w:rsidRPr="00846BCB">
        <w:rPr>
          <w:rFonts w:ascii="Calibri" w:hAnsi="Calibri" w:cs="Calibri"/>
          <w:bCs/>
          <w:iCs/>
          <w:noProof/>
          <w:sz w:val="26"/>
          <w:szCs w:val="26"/>
          <w:shd w:val="clear" w:color="auto" w:fill="FFFFFF"/>
        </w:rPr>
        <w:t>.</w:t>
      </w:r>
    </w:p>
    <w:p w14:paraId="70CB77EE" w14:textId="77777777" w:rsidR="00B56B7F" w:rsidRPr="00846BCB" w:rsidRDefault="00B56B7F" w:rsidP="00281400">
      <w:pPr>
        <w:numPr>
          <w:ilvl w:val="0"/>
          <w:numId w:val="11"/>
        </w:numPr>
        <w:spacing w:line="276" w:lineRule="auto"/>
        <w:jc w:val="both"/>
        <w:rPr>
          <w:rFonts w:ascii="Calibri" w:hAnsi="Calibri" w:cs="Calibri"/>
          <w:bCs/>
          <w:noProof/>
          <w:sz w:val="26"/>
          <w:szCs w:val="26"/>
          <w:shd w:val="clear" w:color="auto" w:fill="FFFFFF"/>
        </w:rPr>
      </w:pPr>
      <w:r w:rsidRPr="00846BCB">
        <w:rPr>
          <w:rFonts w:ascii="Calibri" w:hAnsi="Calibri" w:cs="Calibri"/>
          <w:bCs/>
          <w:noProof/>
          <w:sz w:val="26"/>
          <w:szCs w:val="26"/>
          <w:shd w:val="clear" w:color="auto" w:fill="FFFFFF"/>
        </w:rPr>
        <w:t>Concursul de admitere la Institutul Național al Magistraturii</w:t>
      </w:r>
    </w:p>
    <w:p w14:paraId="48C4D913" w14:textId="3F596CA0" w:rsidR="00B56B7F" w:rsidRPr="00846BCB" w:rsidRDefault="00B56B7F" w:rsidP="00281400">
      <w:pPr>
        <w:numPr>
          <w:ilvl w:val="0"/>
          <w:numId w:val="39"/>
        </w:numPr>
        <w:spacing w:line="276" w:lineRule="auto"/>
        <w:jc w:val="both"/>
        <w:rPr>
          <w:rFonts w:ascii="Calibri" w:hAnsi="Calibri" w:cs="Calibri"/>
          <w:bCs/>
          <w:noProof/>
          <w:sz w:val="26"/>
          <w:szCs w:val="26"/>
          <w:shd w:val="clear" w:color="auto" w:fill="FFFFFF"/>
        </w:rPr>
      </w:pPr>
      <w:r w:rsidRPr="00846BCB">
        <w:rPr>
          <w:rFonts w:ascii="Calibri" w:hAnsi="Calibri" w:cs="Calibri"/>
          <w:bCs/>
          <w:iCs/>
          <w:noProof/>
          <w:sz w:val="26"/>
          <w:szCs w:val="26"/>
          <w:shd w:val="clear" w:color="auto" w:fill="FFFFFF"/>
        </w:rPr>
        <w:t>Concurs</w:t>
      </w:r>
      <w:r w:rsidR="00D25E5F" w:rsidRPr="00846BCB">
        <w:rPr>
          <w:rFonts w:ascii="Calibri" w:hAnsi="Calibri" w:cs="Calibri"/>
          <w:bCs/>
          <w:iCs/>
          <w:noProof/>
          <w:sz w:val="26"/>
          <w:szCs w:val="26"/>
          <w:shd w:val="clear" w:color="auto" w:fill="FFFFFF"/>
        </w:rPr>
        <w:t>ul</w:t>
      </w:r>
      <w:r w:rsidRPr="00846BCB">
        <w:rPr>
          <w:rFonts w:ascii="Calibri" w:hAnsi="Calibri" w:cs="Calibri"/>
          <w:bCs/>
          <w:iCs/>
          <w:noProof/>
          <w:sz w:val="26"/>
          <w:szCs w:val="26"/>
          <w:shd w:val="clear" w:color="auto" w:fill="FFFFFF"/>
        </w:rPr>
        <w:t xml:space="preserve"> de admitere la Institutul Naţional al Magistraturii,</w:t>
      </w:r>
      <w:r w:rsidRPr="00846BCB">
        <w:rPr>
          <w:rFonts w:ascii="Calibri" w:hAnsi="Calibri" w:cs="Calibri"/>
          <w:bCs/>
          <w:noProof/>
          <w:sz w:val="26"/>
          <w:szCs w:val="26"/>
          <w:shd w:val="clear" w:color="auto" w:fill="FFFFFF"/>
        </w:rPr>
        <w:t xml:space="preserve"> organizat în perioada iulie 2024</w:t>
      </w:r>
      <w:r w:rsidR="00DD4BB8" w:rsidRPr="00846BCB">
        <w:rPr>
          <w:rFonts w:ascii="Calibri" w:hAnsi="Calibri" w:cs="Calibri"/>
          <w:bCs/>
          <w:noProof/>
          <w:sz w:val="26"/>
          <w:szCs w:val="26"/>
          <w:shd w:val="clear" w:color="auto" w:fill="FFFFFF"/>
        </w:rPr>
        <w:t xml:space="preserve"> </w:t>
      </w:r>
      <w:r w:rsidRPr="00846BCB">
        <w:rPr>
          <w:rFonts w:ascii="Calibri" w:hAnsi="Calibri" w:cs="Calibri"/>
          <w:bCs/>
          <w:noProof/>
          <w:sz w:val="26"/>
          <w:szCs w:val="26"/>
          <w:shd w:val="clear" w:color="auto" w:fill="FFFFFF"/>
        </w:rPr>
        <w:t>-</w:t>
      </w:r>
      <w:r w:rsidR="00DD4BB8" w:rsidRPr="00846BCB">
        <w:rPr>
          <w:rFonts w:ascii="Calibri" w:hAnsi="Calibri" w:cs="Calibri"/>
          <w:bCs/>
          <w:noProof/>
          <w:sz w:val="26"/>
          <w:szCs w:val="26"/>
          <w:shd w:val="clear" w:color="auto" w:fill="FFFFFF"/>
        </w:rPr>
        <w:t xml:space="preserve"> </w:t>
      </w:r>
      <w:r w:rsidRPr="00846BCB">
        <w:rPr>
          <w:rFonts w:ascii="Calibri" w:hAnsi="Calibri" w:cs="Calibri"/>
          <w:bCs/>
          <w:noProof/>
          <w:sz w:val="26"/>
          <w:szCs w:val="26"/>
          <w:shd w:val="clear" w:color="auto" w:fill="FFFFFF"/>
        </w:rPr>
        <w:t>martie 2025;</w:t>
      </w:r>
    </w:p>
    <w:p w14:paraId="42C8923B" w14:textId="429D6D75" w:rsidR="00B56B7F" w:rsidRPr="00846BCB" w:rsidRDefault="00B56B7F" w:rsidP="00281400">
      <w:pPr>
        <w:numPr>
          <w:ilvl w:val="0"/>
          <w:numId w:val="39"/>
        </w:numPr>
        <w:spacing w:line="276" w:lineRule="auto"/>
        <w:jc w:val="both"/>
        <w:rPr>
          <w:rFonts w:ascii="Calibri" w:hAnsi="Calibri" w:cs="Calibri"/>
          <w:bCs/>
          <w:noProof/>
          <w:sz w:val="26"/>
          <w:szCs w:val="26"/>
          <w:shd w:val="clear" w:color="auto" w:fill="FFFFFF"/>
        </w:rPr>
      </w:pPr>
      <w:r w:rsidRPr="00846BCB">
        <w:rPr>
          <w:rFonts w:ascii="Calibri" w:hAnsi="Calibri" w:cs="Calibri"/>
          <w:bCs/>
          <w:iCs/>
          <w:noProof/>
          <w:sz w:val="26"/>
          <w:szCs w:val="26"/>
          <w:shd w:val="clear" w:color="auto" w:fill="FFFFFF"/>
        </w:rPr>
        <w:t>Concurs</w:t>
      </w:r>
      <w:r w:rsidR="00D25E5F" w:rsidRPr="00846BCB">
        <w:rPr>
          <w:rFonts w:ascii="Calibri" w:hAnsi="Calibri" w:cs="Calibri"/>
          <w:bCs/>
          <w:iCs/>
          <w:noProof/>
          <w:sz w:val="26"/>
          <w:szCs w:val="26"/>
          <w:shd w:val="clear" w:color="auto" w:fill="FFFFFF"/>
        </w:rPr>
        <w:t>ul</w:t>
      </w:r>
      <w:r w:rsidRPr="00846BCB">
        <w:rPr>
          <w:rFonts w:ascii="Calibri" w:hAnsi="Calibri" w:cs="Calibri"/>
          <w:bCs/>
          <w:iCs/>
          <w:noProof/>
          <w:sz w:val="26"/>
          <w:szCs w:val="26"/>
          <w:shd w:val="clear" w:color="auto" w:fill="FFFFFF"/>
        </w:rPr>
        <w:t xml:space="preserve"> de admitere la Institutul Naţional al Magistraturii, </w:t>
      </w:r>
      <w:r w:rsidRPr="00846BCB">
        <w:rPr>
          <w:rFonts w:ascii="Calibri" w:hAnsi="Calibri" w:cs="Calibri"/>
          <w:bCs/>
          <w:noProof/>
          <w:sz w:val="26"/>
          <w:szCs w:val="26"/>
          <w:shd w:val="clear" w:color="auto" w:fill="FFFFFF"/>
        </w:rPr>
        <w:t>organizat în perioada iulie 2025 – martie 2026.</w:t>
      </w:r>
    </w:p>
    <w:p w14:paraId="239EC397" w14:textId="77777777" w:rsidR="00B56B7F" w:rsidRPr="00846BCB" w:rsidRDefault="00B56B7F" w:rsidP="00281400">
      <w:pPr>
        <w:numPr>
          <w:ilvl w:val="0"/>
          <w:numId w:val="11"/>
        </w:numPr>
        <w:spacing w:line="276" w:lineRule="auto"/>
        <w:ind w:left="567" w:hanging="207"/>
        <w:jc w:val="both"/>
        <w:rPr>
          <w:rFonts w:ascii="Calibri" w:hAnsi="Calibri" w:cs="Calibri"/>
          <w:bCs/>
          <w:noProof/>
          <w:sz w:val="26"/>
          <w:szCs w:val="26"/>
          <w:shd w:val="clear" w:color="auto" w:fill="FFFFFF"/>
        </w:rPr>
      </w:pPr>
      <w:r w:rsidRPr="00846BCB">
        <w:rPr>
          <w:rFonts w:ascii="Calibri" w:hAnsi="Calibri" w:cs="Calibri"/>
          <w:bCs/>
          <w:noProof/>
          <w:sz w:val="26"/>
          <w:szCs w:val="26"/>
          <w:shd w:val="clear" w:color="auto" w:fill="FFFFFF"/>
        </w:rPr>
        <w:lastRenderedPageBreak/>
        <w:t xml:space="preserve">  Concursuri în cadrul Inspecției judiciare</w:t>
      </w:r>
    </w:p>
    <w:p w14:paraId="1CC24FC0" w14:textId="6B8FFE80" w:rsidR="00B56B7F" w:rsidRPr="00D25E5F" w:rsidRDefault="00B56B7F" w:rsidP="00281400">
      <w:pPr>
        <w:numPr>
          <w:ilvl w:val="0"/>
          <w:numId w:val="40"/>
        </w:numPr>
        <w:spacing w:line="276" w:lineRule="auto"/>
        <w:jc w:val="both"/>
        <w:rPr>
          <w:rFonts w:ascii="Calibri" w:hAnsi="Calibri" w:cs="Calibri"/>
          <w:bCs/>
          <w:iCs/>
          <w:noProof/>
          <w:sz w:val="26"/>
          <w:szCs w:val="26"/>
          <w:shd w:val="clear" w:color="auto" w:fill="FFFFFF"/>
        </w:rPr>
      </w:pPr>
      <w:r w:rsidRPr="00D25E5F">
        <w:rPr>
          <w:rFonts w:ascii="Calibri" w:hAnsi="Calibri" w:cs="Calibri"/>
          <w:bCs/>
          <w:iCs/>
          <w:noProof/>
          <w:sz w:val="26"/>
          <w:szCs w:val="26"/>
          <w:shd w:val="clear" w:color="auto" w:fill="FFFFFF"/>
        </w:rPr>
        <w:t>Concursul pentru numirea în funcţia de inspector judiciar în cadrul direcţiei de inspecţie pentru procurori</w:t>
      </w:r>
      <w:r w:rsidR="00D25E5F">
        <w:rPr>
          <w:rFonts w:ascii="Calibri" w:hAnsi="Calibri" w:cs="Calibri"/>
          <w:bCs/>
          <w:iCs/>
          <w:noProof/>
          <w:sz w:val="26"/>
          <w:szCs w:val="26"/>
          <w:shd w:val="clear" w:color="auto" w:fill="FFFFFF"/>
        </w:rPr>
        <w:t>,</w:t>
      </w:r>
      <w:r w:rsidRPr="00D25E5F">
        <w:rPr>
          <w:rFonts w:ascii="Calibri" w:hAnsi="Calibri" w:cs="Calibri"/>
          <w:bCs/>
          <w:iCs/>
          <w:noProof/>
          <w:sz w:val="26"/>
          <w:szCs w:val="26"/>
          <w:shd w:val="clear" w:color="auto" w:fill="FFFFFF"/>
        </w:rPr>
        <w:t xml:space="preserve"> sesiunea  decembrie 2024 </w:t>
      </w:r>
      <w:r w:rsidR="00D25E5F">
        <w:rPr>
          <w:rFonts w:ascii="Calibri" w:hAnsi="Calibri" w:cs="Calibri"/>
          <w:bCs/>
          <w:iCs/>
          <w:noProof/>
          <w:sz w:val="26"/>
          <w:szCs w:val="26"/>
          <w:shd w:val="clear" w:color="auto" w:fill="FFFFFF"/>
        </w:rPr>
        <w:t>–</w:t>
      </w:r>
      <w:r w:rsidRPr="00D25E5F">
        <w:rPr>
          <w:rFonts w:ascii="Calibri" w:hAnsi="Calibri" w:cs="Calibri"/>
          <w:bCs/>
          <w:iCs/>
          <w:noProof/>
          <w:sz w:val="26"/>
          <w:szCs w:val="26"/>
          <w:shd w:val="clear" w:color="auto" w:fill="FFFFFF"/>
        </w:rPr>
        <w:t xml:space="preserve"> iulie 2025</w:t>
      </w:r>
      <w:r w:rsidR="00D25E5F">
        <w:rPr>
          <w:rFonts w:ascii="Calibri" w:hAnsi="Calibri" w:cs="Calibri"/>
          <w:bCs/>
          <w:iCs/>
          <w:noProof/>
          <w:sz w:val="26"/>
          <w:szCs w:val="26"/>
          <w:shd w:val="clear" w:color="auto" w:fill="FFFFFF"/>
        </w:rPr>
        <w:t> </w:t>
      </w:r>
      <w:r w:rsidR="00B91392" w:rsidRPr="00D25E5F">
        <w:rPr>
          <w:rFonts w:ascii="Calibri" w:hAnsi="Calibri" w:cs="Calibri"/>
          <w:bCs/>
          <w:iCs/>
          <w:noProof/>
          <w:sz w:val="26"/>
          <w:szCs w:val="26"/>
          <w:shd w:val="clear" w:color="auto" w:fill="FFFFFF"/>
          <w:lang w:val="fr-FR"/>
        </w:rPr>
        <w:t>;</w:t>
      </w:r>
      <w:r w:rsidRPr="00D25E5F">
        <w:rPr>
          <w:rFonts w:ascii="Calibri" w:hAnsi="Calibri" w:cs="Calibri"/>
          <w:bCs/>
          <w:iCs/>
          <w:noProof/>
          <w:sz w:val="26"/>
          <w:szCs w:val="26"/>
          <w:shd w:val="clear" w:color="auto" w:fill="FFFFFF"/>
        </w:rPr>
        <w:t xml:space="preserve"> </w:t>
      </w:r>
    </w:p>
    <w:p w14:paraId="657A2EB2" w14:textId="7CDA21D4" w:rsidR="00B56B7F" w:rsidRPr="00D25E5F" w:rsidRDefault="00B56B7F" w:rsidP="00281400">
      <w:pPr>
        <w:numPr>
          <w:ilvl w:val="0"/>
          <w:numId w:val="40"/>
        </w:numPr>
        <w:spacing w:line="276" w:lineRule="auto"/>
        <w:jc w:val="both"/>
        <w:rPr>
          <w:rFonts w:ascii="Calibri" w:hAnsi="Calibri" w:cs="Calibri"/>
          <w:bCs/>
          <w:iCs/>
          <w:noProof/>
          <w:sz w:val="26"/>
          <w:szCs w:val="26"/>
          <w:shd w:val="clear" w:color="auto" w:fill="FFFFFF"/>
        </w:rPr>
      </w:pPr>
      <w:r w:rsidRPr="00D25E5F">
        <w:rPr>
          <w:rFonts w:ascii="Calibri" w:hAnsi="Calibri" w:cs="Calibri"/>
          <w:bCs/>
          <w:iCs/>
          <w:noProof/>
          <w:sz w:val="26"/>
          <w:szCs w:val="26"/>
          <w:shd w:val="clear" w:color="auto" w:fill="FFFFFF"/>
        </w:rPr>
        <w:t>Concursul pentru numirea în funcţia de inspector judiciar în cadrul direcţiei de inspecţie pentru judecători a inspecţiei judiciare</w:t>
      </w:r>
      <w:r w:rsidR="00D25E5F">
        <w:rPr>
          <w:rFonts w:ascii="Calibri" w:hAnsi="Calibri" w:cs="Calibri"/>
          <w:bCs/>
          <w:iCs/>
          <w:noProof/>
          <w:sz w:val="26"/>
          <w:szCs w:val="26"/>
          <w:shd w:val="clear" w:color="auto" w:fill="FFFFFF"/>
        </w:rPr>
        <w:t>,</w:t>
      </w:r>
      <w:r w:rsidRPr="00D25E5F">
        <w:rPr>
          <w:rFonts w:ascii="Calibri" w:hAnsi="Calibri" w:cs="Calibri"/>
          <w:bCs/>
          <w:iCs/>
          <w:noProof/>
          <w:sz w:val="26"/>
          <w:szCs w:val="26"/>
          <w:shd w:val="clear" w:color="auto" w:fill="FFFFFF"/>
        </w:rPr>
        <w:t xml:space="preserve"> </w:t>
      </w:r>
      <w:r w:rsidR="00CB2882" w:rsidRPr="00D25E5F">
        <w:rPr>
          <w:rFonts w:ascii="Calibri" w:hAnsi="Calibri" w:cs="Calibri"/>
          <w:bCs/>
          <w:iCs/>
          <w:noProof/>
          <w:sz w:val="26"/>
          <w:szCs w:val="26"/>
          <w:shd w:val="clear" w:color="auto" w:fill="FFFFFF"/>
        </w:rPr>
        <w:t xml:space="preserve">sesiunea </w:t>
      </w:r>
      <w:r w:rsidRPr="00D25E5F">
        <w:rPr>
          <w:rFonts w:ascii="Calibri" w:hAnsi="Calibri" w:cs="Calibri"/>
          <w:bCs/>
          <w:iCs/>
          <w:noProof/>
          <w:sz w:val="26"/>
          <w:szCs w:val="26"/>
          <w:shd w:val="clear" w:color="auto" w:fill="FFFFFF"/>
        </w:rPr>
        <w:t>octombrie 2024</w:t>
      </w:r>
      <w:r w:rsidR="00CB2882" w:rsidRPr="00D25E5F">
        <w:rPr>
          <w:rFonts w:ascii="Calibri" w:hAnsi="Calibri" w:cs="Calibri"/>
          <w:bCs/>
          <w:iCs/>
          <w:noProof/>
          <w:sz w:val="26"/>
          <w:szCs w:val="26"/>
          <w:shd w:val="clear" w:color="auto" w:fill="FFFFFF"/>
        </w:rPr>
        <w:t xml:space="preserve"> </w:t>
      </w:r>
      <w:r w:rsidR="00D25E5F">
        <w:rPr>
          <w:rFonts w:ascii="Calibri" w:hAnsi="Calibri" w:cs="Calibri"/>
          <w:bCs/>
          <w:iCs/>
          <w:noProof/>
          <w:sz w:val="26"/>
          <w:szCs w:val="26"/>
          <w:shd w:val="clear" w:color="auto" w:fill="FFFFFF"/>
        </w:rPr>
        <w:t>–</w:t>
      </w:r>
      <w:r w:rsidR="00CB2882" w:rsidRPr="00D25E5F">
        <w:rPr>
          <w:rFonts w:ascii="Calibri" w:hAnsi="Calibri" w:cs="Calibri"/>
          <w:bCs/>
          <w:iCs/>
          <w:noProof/>
          <w:sz w:val="26"/>
          <w:szCs w:val="26"/>
          <w:shd w:val="clear" w:color="auto" w:fill="FFFFFF"/>
        </w:rPr>
        <w:t xml:space="preserve"> </w:t>
      </w:r>
      <w:r w:rsidRPr="00D25E5F">
        <w:rPr>
          <w:rFonts w:ascii="Calibri" w:hAnsi="Calibri" w:cs="Calibri"/>
          <w:bCs/>
          <w:iCs/>
          <w:noProof/>
          <w:sz w:val="26"/>
          <w:szCs w:val="26"/>
          <w:shd w:val="clear" w:color="auto" w:fill="FFFFFF"/>
        </w:rPr>
        <w:t>martie 2025;</w:t>
      </w:r>
    </w:p>
    <w:p w14:paraId="1B5E5A7A" w14:textId="77777777" w:rsidR="00B56B7F" w:rsidRPr="00D25E5F" w:rsidRDefault="00B56B7F" w:rsidP="00281400">
      <w:pPr>
        <w:numPr>
          <w:ilvl w:val="0"/>
          <w:numId w:val="40"/>
        </w:numPr>
        <w:spacing w:line="276" w:lineRule="auto"/>
        <w:jc w:val="both"/>
        <w:rPr>
          <w:rFonts w:ascii="Calibri" w:hAnsi="Calibri" w:cs="Calibri"/>
          <w:bCs/>
          <w:iCs/>
          <w:noProof/>
          <w:sz w:val="26"/>
          <w:szCs w:val="26"/>
          <w:shd w:val="clear" w:color="auto" w:fill="FFFFFF"/>
        </w:rPr>
      </w:pPr>
      <w:r w:rsidRPr="00D25E5F">
        <w:rPr>
          <w:rFonts w:ascii="Calibri" w:hAnsi="Calibri" w:cs="Calibri"/>
          <w:bCs/>
          <w:iCs/>
          <w:noProof/>
          <w:sz w:val="26"/>
          <w:szCs w:val="26"/>
          <w:shd w:val="clear" w:color="auto" w:fill="FFFFFF"/>
        </w:rPr>
        <w:t>Concursul pentru numirea în funcţiile de inspector-şef şi inspector-şef adjunct ai inspecţiei judiciare, sesiunea februarie – iulie 2025;</w:t>
      </w:r>
    </w:p>
    <w:p w14:paraId="0DC1BECF" w14:textId="77777777" w:rsidR="00B56B7F" w:rsidRPr="00D25E5F" w:rsidRDefault="00B56B7F" w:rsidP="00281400">
      <w:pPr>
        <w:numPr>
          <w:ilvl w:val="0"/>
          <w:numId w:val="40"/>
        </w:numPr>
        <w:spacing w:line="276" w:lineRule="auto"/>
        <w:jc w:val="both"/>
        <w:rPr>
          <w:rFonts w:ascii="Calibri" w:hAnsi="Calibri" w:cs="Calibri"/>
          <w:bCs/>
          <w:iCs/>
          <w:noProof/>
          <w:sz w:val="26"/>
          <w:szCs w:val="26"/>
          <w:shd w:val="clear" w:color="auto" w:fill="FFFFFF"/>
        </w:rPr>
      </w:pPr>
      <w:r w:rsidRPr="00D25E5F">
        <w:rPr>
          <w:rFonts w:ascii="Calibri" w:hAnsi="Calibri" w:cs="Calibri"/>
          <w:bCs/>
          <w:iCs/>
          <w:noProof/>
          <w:sz w:val="26"/>
          <w:szCs w:val="26"/>
          <w:shd w:val="clear" w:color="auto" w:fill="FFFFFF"/>
        </w:rPr>
        <w:t>Concursul pentru numirea în funcţia de director al direcţiei de inspecţie pentru judecători a inspecţiei judiciare, sesiunea februarie – iulie 2025.</w:t>
      </w:r>
    </w:p>
    <w:p w14:paraId="5CC1BF6C" w14:textId="7B2FE093" w:rsidR="00B56B7F" w:rsidRPr="00846BCB" w:rsidRDefault="00D25E5F" w:rsidP="00281400">
      <w:pPr>
        <w:keepNext/>
        <w:numPr>
          <w:ilvl w:val="0"/>
          <w:numId w:val="11"/>
        </w:numPr>
        <w:spacing w:line="276" w:lineRule="auto"/>
        <w:jc w:val="both"/>
        <w:rPr>
          <w:rFonts w:ascii="Calibri" w:hAnsi="Calibri" w:cs="Calibri"/>
          <w:noProof/>
          <w:sz w:val="26"/>
          <w:szCs w:val="26"/>
          <w:shd w:val="clear" w:color="auto" w:fill="FFFFFF"/>
          <w:lang w:val="fr-FR"/>
        </w:rPr>
      </w:pPr>
      <w:r w:rsidRPr="00846BCB">
        <w:rPr>
          <w:rFonts w:ascii="Calibri" w:hAnsi="Calibri" w:cs="Calibri"/>
          <w:noProof/>
          <w:sz w:val="26"/>
          <w:szCs w:val="26"/>
          <w:shd w:val="clear" w:color="auto" w:fill="FFFFFF"/>
          <w:lang w:val="fr-FR"/>
        </w:rPr>
        <w:t>Examenul de a</w:t>
      </w:r>
      <w:r w:rsidR="00B56B7F" w:rsidRPr="00846BCB">
        <w:rPr>
          <w:rFonts w:ascii="Calibri" w:hAnsi="Calibri" w:cs="Calibri"/>
          <w:noProof/>
          <w:sz w:val="26"/>
          <w:szCs w:val="26"/>
          <w:shd w:val="clear" w:color="auto" w:fill="FFFFFF"/>
          <w:lang w:val="fr-FR"/>
        </w:rPr>
        <w:t xml:space="preserve">bsolvire </w:t>
      </w:r>
      <w:r w:rsidRPr="00846BCB">
        <w:rPr>
          <w:rFonts w:ascii="Calibri" w:hAnsi="Calibri" w:cs="Calibri"/>
          <w:noProof/>
          <w:sz w:val="26"/>
          <w:szCs w:val="26"/>
          <w:shd w:val="clear" w:color="auto" w:fill="FFFFFF"/>
          <w:lang w:val="fr-FR"/>
        </w:rPr>
        <w:t xml:space="preserve">a </w:t>
      </w:r>
      <w:r w:rsidR="00B56B7F" w:rsidRPr="00846BCB">
        <w:rPr>
          <w:rFonts w:ascii="Calibri" w:hAnsi="Calibri" w:cs="Calibri"/>
          <w:noProof/>
          <w:sz w:val="26"/>
          <w:szCs w:val="26"/>
          <w:shd w:val="clear" w:color="auto" w:fill="FFFFFF"/>
          <w:lang w:val="fr-FR"/>
        </w:rPr>
        <w:t>I</w:t>
      </w:r>
      <w:r w:rsidR="00744225" w:rsidRPr="00846BCB">
        <w:rPr>
          <w:rFonts w:ascii="Calibri" w:hAnsi="Calibri" w:cs="Calibri"/>
          <w:noProof/>
          <w:sz w:val="26"/>
          <w:szCs w:val="26"/>
          <w:shd w:val="clear" w:color="auto" w:fill="FFFFFF"/>
          <w:lang w:val="fr-FR"/>
        </w:rPr>
        <w:t>nstitutul</w:t>
      </w:r>
      <w:r w:rsidRPr="00846BCB">
        <w:rPr>
          <w:rFonts w:ascii="Calibri" w:hAnsi="Calibri" w:cs="Calibri"/>
          <w:noProof/>
          <w:sz w:val="26"/>
          <w:szCs w:val="26"/>
          <w:shd w:val="clear" w:color="auto" w:fill="FFFFFF"/>
          <w:lang w:val="fr-FR"/>
        </w:rPr>
        <w:t>ui</w:t>
      </w:r>
      <w:r w:rsidR="00744225" w:rsidRPr="00846BCB">
        <w:rPr>
          <w:rFonts w:ascii="Calibri" w:hAnsi="Calibri" w:cs="Calibri"/>
          <w:noProof/>
          <w:sz w:val="26"/>
          <w:szCs w:val="26"/>
          <w:shd w:val="clear" w:color="auto" w:fill="FFFFFF"/>
          <w:lang w:val="fr-FR"/>
        </w:rPr>
        <w:t xml:space="preserve"> </w:t>
      </w:r>
      <w:r w:rsidR="00B56B7F" w:rsidRPr="00846BCB">
        <w:rPr>
          <w:rFonts w:ascii="Calibri" w:hAnsi="Calibri" w:cs="Calibri"/>
          <w:noProof/>
          <w:sz w:val="26"/>
          <w:szCs w:val="26"/>
          <w:shd w:val="clear" w:color="auto" w:fill="FFFFFF"/>
          <w:lang w:val="fr-FR"/>
        </w:rPr>
        <w:t>N</w:t>
      </w:r>
      <w:r w:rsidR="00744225" w:rsidRPr="00846BCB">
        <w:rPr>
          <w:rFonts w:ascii="Calibri" w:hAnsi="Calibri" w:cs="Calibri"/>
          <w:noProof/>
          <w:sz w:val="26"/>
          <w:szCs w:val="26"/>
          <w:shd w:val="clear" w:color="auto" w:fill="FFFFFF"/>
          <w:lang w:val="fr-FR"/>
        </w:rPr>
        <w:t xml:space="preserve">ațional al </w:t>
      </w:r>
      <w:r w:rsidR="00B56B7F" w:rsidRPr="00846BCB">
        <w:rPr>
          <w:rFonts w:ascii="Calibri" w:hAnsi="Calibri" w:cs="Calibri"/>
          <w:noProof/>
          <w:sz w:val="26"/>
          <w:szCs w:val="26"/>
          <w:shd w:val="clear" w:color="auto" w:fill="FFFFFF"/>
          <w:lang w:val="fr-FR"/>
        </w:rPr>
        <w:t>M</w:t>
      </w:r>
      <w:r w:rsidR="00744225" w:rsidRPr="00846BCB">
        <w:rPr>
          <w:rFonts w:ascii="Calibri" w:hAnsi="Calibri" w:cs="Calibri"/>
          <w:noProof/>
          <w:sz w:val="26"/>
          <w:szCs w:val="26"/>
          <w:shd w:val="clear" w:color="auto" w:fill="FFFFFF"/>
          <w:lang w:val="fr-FR"/>
        </w:rPr>
        <w:t>agistraturii</w:t>
      </w:r>
      <w:r w:rsidR="00B56B7F" w:rsidRPr="00846BCB">
        <w:rPr>
          <w:rFonts w:ascii="Calibri" w:hAnsi="Calibri" w:cs="Calibri"/>
          <w:noProof/>
          <w:sz w:val="26"/>
          <w:szCs w:val="26"/>
          <w:shd w:val="clear" w:color="auto" w:fill="FFFFFF"/>
          <w:lang w:val="fr-FR"/>
        </w:rPr>
        <w:t xml:space="preserve"> </w:t>
      </w:r>
    </w:p>
    <w:p w14:paraId="0FD9833B" w14:textId="44E25FA3" w:rsidR="00B56B7F" w:rsidRPr="00846BCB" w:rsidRDefault="00B56B7F" w:rsidP="00281400">
      <w:pPr>
        <w:keepNext/>
        <w:numPr>
          <w:ilvl w:val="0"/>
          <w:numId w:val="40"/>
        </w:numPr>
        <w:spacing w:line="276" w:lineRule="auto"/>
        <w:jc w:val="both"/>
        <w:rPr>
          <w:rFonts w:ascii="Calibri" w:hAnsi="Calibri" w:cs="Calibri"/>
          <w:iCs/>
          <w:noProof/>
          <w:sz w:val="26"/>
          <w:szCs w:val="26"/>
          <w:shd w:val="clear" w:color="auto" w:fill="FFFFFF"/>
        </w:rPr>
      </w:pPr>
      <w:r w:rsidRPr="00846BCB">
        <w:rPr>
          <w:rFonts w:ascii="Calibri" w:hAnsi="Calibri" w:cs="Calibri"/>
          <w:iCs/>
          <w:noProof/>
          <w:sz w:val="26"/>
          <w:szCs w:val="26"/>
          <w:shd w:val="clear" w:color="auto" w:fill="FFFFFF"/>
        </w:rPr>
        <w:t>Concursul/examenul de absolvire a Institutului Naţional al Magistraturii, sesiunea 2024-2025</w:t>
      </w:r>
      <w:r w:rsidR="00B91392" w:rsidRPr="00846BCB">
        <w:rPr>
          <w:rFonts w:ascii="Calibri" w:hAnsi="Calibri" w:cs="Calibri"/>
          <w:iCs/>
          <w:noProof/>
          <w:sz w:val="26"/>
          <w:szCs w:val="26"/>
          <w:shd w:val="clear" w:color="auto" w:fill="FFFFFF"/>
        </w:rPr>
        <w:t>;</w:t>
      </w:r>
    </w:p>
    <w:p w14:paraId="268C1E9D" w14:textId="244D8123" w:rsidR="00B56B7F" w:rsidRPr="00846BCB" w:rsidRDefault="00B56B7F" w:rsidP="00281400">
      <w:pPr>
        <w:numPr>
          <w:ilvl w:val="0"/>
          <w:numId w:val="40"/>
        </w:numPr>
        <w:spacing w:line="276" w:lineRule="auto"/>
        <w:jc w:val="both"/>
        <w:rPr>
          <w:rFonts w:ascii="Calibri" w:hAnsi="Calibri" w:cs="Calibri"/>
          <w:iCs/>
          <w:noProof/>
          <w:sz w:val="26"/>
          <w:szCs w:val="26"/>
          <w:shd w:val="clear" w:color="auto" w:fill="FFFFFF"/>
        </w:rPr>
      </w:pPr>
      <w:r w:rsidRPr="00846BCB">
        <w:rPr>
          <w:rFonts w:ascii="Calibri" w:hAnsi="Calibri" w:cs="Calibri"/>
          <w:iCs/>
          <w:noProof/>
          <w:sz w:val="26"/>
          <w:szCs w:val="26"/>
          <w:shd w:val="clear" w:color="auto" w:fill="FFFFFF"/>
        </w:rPr>
        <w:t>Concursul/examenul de absolvire a Institutului Naţional al Magistraturii, sesiunea iulie - septembrie 2025</w:t>
      </w:r>
      <w:r w:rsidR="00B91392" w:rsidRPr="00846BCB">
        <w:rPr>
          <w:rFonts w:ascii="Calibri" w:hAnsi="Calibri" w:cs="Calibri"/>
          <w:iCs/>
          <w:noProof/>
          <w:sz w:val="26"/>
          <w:szCs w:val="26"/>
          <w:shd w:val="clear" w:color="auto" w:fill="FFFFFF"/>
        </w:rPr>
        <w:t>.</w:t>
      </w:r>
    </w:p>
    <w:p w14:paraId="687F3F01" w14:textId="6CC338CD" w:rsidR="00B56B7F" w:rsidRPr="00846BCB" w:rsidRDefault="00D25E5F" w:rsidP="00281400">
      <w:pPr>
        <w:numPr>
          <w:ilvl w:val="0"/>
          <w:numId w:val="11"/>
        </w:numPr>
        <w:spacing w:line="276" w:lineRule="auto"/>
        <w:jc w:val="both"/>
        <w:rPr>
          <w:rFonts w:ascii="Calibri" w:hAnsi="Calibri" w:cs="Calibri"/>
          <w:noProof/>
          <w:sz w:val="26"/>
          <w:szCs w:val="26"/>
          <w:shd w:val="clear" w:color="auto" w:fill="FFFFFF"/>
          <w:lang w:val="fr-FR"/>
        </w:rPr>
      </w:pPr>
      <w:r w:rsidRPr="00846BCB">
        <w:rPr>
          <w:rFonts w:ascii="Calibri" w:hAnsi="Calibri" w:cs="Calibri"/>
          <w:noProof/>
          <w:sz w:val="26"/>
          <w:szCs w:val="26"/>
          <w:shd w:val="clear" w:color="auto" w:fill="FFFFFF"/>
          <w:lang w:val="fr-FR"/>
        </w:rPr>
        <w:t>Examenul de a</w:t>
      </w:r>
      <w:r w:rsidR="00B56B7F" w:rsidRPr="00846BCB">
        <w:rPr>
          <w:rFonts w:ascii="Calibri" w:hAnsi="Calibri" w:cs="Calibri"/>
          <w:noProof/>
          <w:sz w:val="26"/>
          <w:szCs w:val="26"/>
          <w:shd w:val="clear" w:color="auto" w:fill="FFFFFF"/>
          <w:lang w:val="fr-FR"/>
        </w:rPr>
        <w:t xml:space="preserve">bsolvire </w:t>
      </w:r>
      <w:r w:rsidRPr="00846BCB">
        <w:rPr>
          <w:rFonts w:ascii="Calibri" w:hAnsi="Calibri" w:cs="Calibri"/>
          <w:noProof/>
          <w:sz w:val="26"/>
          <w:szCs w:val="26"/>
          <w:shd w:val="clear" w:color="auto" w:fill="FFFFFF"/>
          <w:lang w:val="fr-FR"/>
        </w:rPr>
        <w:t xml:space="preserve">a </w:t>
      </w:r>
      <w:r w:rsidR="00744225" w:rsidRPr="00846BCB">
        <w:rPr>
          <w:rFonts w:ascii="Calibri" w:hAnsi="Calibri" w:cs="Calibri"/>
          <w:noProof/>
          <w:sz w:val="26"/>
          <w:szCs w:val="26"/>
          <w:shd w:val="clear" w:color="auto" w:fill="FFFFFF"/>
          <w:lang w:val="fr-FR"/>
        </w:rPr>
        <w:t>Școl</w:t>
      </w:r>
      <w:r w:rsidRPr="00846BCB">
        <w:rPr>
          <w:rFonts w:ascii="Calibri" w:hAnsi="Calibri" w:cs="Calibri"/>
          <w:noProof/>
          <w:sz w:val="26"/>
          <w:szCs w:val="26"/>
          <w:shd w:val="clear" w:color="auto" w:fill="FFFFFF"/>
          <w:lang w:val="fr-FR"/>
        </w:rPr>
        <w:t xml:space="preserve">ii </w:t>
      </w:r>
      <w:r w:rsidR="00B56B7F" w:rsidRPr="00846BCB">
        <w:rPr>
          <w:rFonts w:ascii="Calibri" w:hAnsi="Calibri" w:cs="Calibri"/>
          <w:noProof/>
          <w:sz w:val="26"/>
          <w:szCs w:val="26"/>
          <w:shd w:val="clear" w:color="auto" w:fill="FFFFFF"/>
          <w:lang w:val="fr-FR"/>
        </w:rPr>
        <w:t>N</w:t>
      </w:r>
      <w:r w:rsidR="00744225" w:rsidRPr="00846BCB">
        <w:rPr>
          <w:rFonts w:ascii="Calibri" w:hAnsi="Calibri" w:cs="Calibri"/>
          <w:noProof/>
          <w:sz w:val="26"/>
          <w:szCs w:val="26"/>
          <w:shd w:val="clear" w:color="auto" w:fill="FFFFFF"/>
          <w:lang w:val="fr-FR"/>
        </w:rPr>
        <w:t>ațional</w:t>
      </w:r>
      <w:r w:rsidRPr="00846BCB">
        <w:rPr>
          <w:rFonts w:ascii="Calibri" w:hAnsi="Calibri" w:cs="Calibri"/>
          <w:noProof/>
          <w:sz w:val="26"/>
          <w:szCs w:val="26"/>
          <w:shd w:val="clear" w:color="auto" w:fill="FFFFFF"/>
          <w:lang w:val="fr-FR"/>
        </w:rPr>
        <w:t>e</w:t>
      </w:r>
      <w:r w:rsidR="00744225" w:rsidRPr="00846BCB">
        <w:rPr>
          <w:rFonts w:ascii="Calibri" w:hAnsi="Calibri" w:cs="Calibri"/>
          <w:noProof/>
          <w:sz w:val="26"/>
          <w:szCs w:val="26"/>
          <w:shd w:val="clear" w:color="auto" w:fill="FFFFFF"/>
          <w:lang w:val="fr-FR"/>
        </w:rPr>
        <w:t xml:space="preserve"> de </w:t>
      </w:r>
      <w:r w:rsidR="00B56B7F" w:rsidRPr="00846BCB">
        <w:rPr>
          <w:rFonts w:ascii="Calibri" w:hAnsi="Calibri" w:cs="Calibri"/>
          <w:noProof/>
          <w:sz w:val="26"/>
          <w:szCs w:val="26"/>
          <w:shd w:val="clear" w:color="auto" w:fill="FFFFFF"/>
          <w:lang w:val="fr-FR"/>
        </w:rPr>
        <w:t>G</w:t>
      </w:r>
      <w:r w:rsidR="00744225" w:rsidRPr="00846BCB">
        <w:rPr>
          <w:rFonts w:ascii="Calibri" w:hAnsi="Calibri" w:cs="Calibri"/>
          <w:noProof/>
          <w:sz w:val="26"/>
          <w:szCs w:val="26"/>
          <w:shd w:val="clear" w:color="auto" w:fill="FFFFFF"/>
          <w:lang w:val="fr-FR"/>
        </w:rPr>
        <w:t>refieri</w:t>
      </w:r>
    </w:p>
    <w:p w14:paraId="74A0FEA0" w14:textId="3FC03F20" w:rsidR="00B56B7F" w:rsidRPr="00D25E5F" w:rsidRDefault="00B56B7F" w:rsidP="00281400">
      <w:pPr>
        <w:numPr>
          <w:ilvl w:val="0"/>
          <w:numId w:val="40"/>
        </w:numPr>
        <w:spacing w:line="276" w:lineRule="auto"/>
        <w:jc w:val="both"/>
        <w:rPr>
          <w:rFonts w:ascii="Calibri" w:hAnsi="Calibri" w:cs="Calibri"/>
          <w:bCs/>
          <w:noProof/>
          <w:sz w:val="26"/>
          <w:szCs w:val="26"/>
          <w:shd w:val="clear" w:color="auto" w:fill="FFFFFF"/>
        </w:rPr>
      </w:pPr>
      <w:r w:rsidRPr="00D25E5F">
        <w:rPr>
          <w:rFonts w:ascii="Calibri" w:hAnsi="Calibri" w:cs="Calibri"/>
          <w:bCs/>
          <w:noProof/>
          <w:sz w:val="26"/>
          <w:szCs w:val="26"/>
          <w:shd w:val="clear" w:color="auto" w:fill="FFFFFF"/>
        </w:rPr>
        <w:t>Concursul/examenul de absolvire a Școlii Naționale de Grefieri promoția 2024 – 2025, seiunea februarie -martie 2025</w:t>
      </w:r>
      <w:r w:rsidR="00744225" w:rsidRPr="00D25E5F">
        <w:rPr>
          <w:rFonts w:ascii="Calibri" w:hAnsi="Calibri" w:cs="Calibri"/>
          <w:bCs/>
          <w:noProof/>
          <w:sz w:val="26"/>
          <w:szCs w:val="26"/>
          <w:shd w:val="clear" w:color="auto" w:fill="FFFFFF"/>
        </w:rPr>
        <w:t>.</w:t>
      </w:r>
    </w:p>
    <w:p w14:paraId="5F55243A" w14:textId="3BAA712E" w:rsidR="00B56B7F" w:rsidRPr="001F11E7" w:rsidRDefault="00B56B7F" w:rsidP="009E3AD8">
      <w:pPr>
        <w:spacing w:line="276" w:lineRule="auto"/>
        <w:ind w:firstLine="720"/>
        <w:jc w:val="both"/>
        <w:rPr>
          <w:rFonts w:asciiTheme="minorHAnsi" w:eastAsiaTheme="majorEastAsia" w:hAnsiTheme="minorHAnsi" w:cstheme="minorHAnsi"/>
          <w:b/>
          <w:sz w:val="26"/>
          <w:szCs w:val="26"/>
        </w:rPr>
      </w:pPr>
      <w:r w:rsidRPr="001F11E7">
        <w:rPr>
          <w:rFonts w:ascii="Calibri" w:hAnsi="Calibri" w:cs="Calibri"/>
          <w:bCs/>
          <w:noProof/>
          <w:sz w:val="26"/>
          <w:szCs w:val="26"/>
          <w:shd w:val="clear" w:color="auto" w:fill="FFFFFF"/>
        </w:rPr>
        <w:t xml:space="preserve">Având în vedere specificul fiecărui tip de concurs și activitățile ce se circumscriu sferei de competență </w:t>
      </w:r>
      <w:r w:rsidR="00111DDA">
        <w:rPr>
          <w:rFonts w:ascii="Calibri" w:hAnsi="Calibri" w:cs="Calibri"/>
          <w:bCs/>
          <w:noProof/>
          <w:sz w:val="26"/>
          <w:szCs w:val="26"/>
          <w:shd w:val="clear" w:color="auto" w:fill="FFFFFF"/>
        </w:rPr>
        <w:t xml:space="preserve">a </w:t>
      </w:r>
      <w:r w:rsidRPr="001F11E7">
        <w:rPr>
          <w:rFonts w:ascii="Calibri" w:hAnsi="Calibri" w:cs="Calibri"/>
          <w:bCs/>
          <w:noProof/>
          <w:sz w:val="26"/>
          <w:szCs w:val="26"/>
          <w:shd w:val="clear" w:color="auto" w:fill="FFFFFF"/>
        </w:rPr>
        <w:t>compartiment</w:t>
      </w:r>
      <w:r w:rsidR="00111DDA">
        <w:rPr>
          <w:rFonts w:ascii="Calibri" w:hAnsi="Calibri" w:cs="Calibri"/>
          <w:bCs/>
          <w:noProof/>
          <w:sz w:val="26"/>
          <w:szCs w:val="26"/>
          <w:shd w:val="clear" w:color="auto" w:fill="FFFFFF"/>
        </w:rPr>
        <w:t>ului</w:t>
      </w:r>
      <w:r w:rsidRPr="001F11E7">
        <w:rPr>
          <w:rFonts w:ascii="Calibri" w:hAnsi="Calibri" w:cs="Calibri"/>
          <w:bCs/>
          <w:noProof/>
          <w:sz w:val="26"/>
          <w:szCs w:val="26"/>
          <w:shd w:val="clear" w:color="auto" w:fill="FFFFFF"/>
        </w:rPr>
        <w:t>, Serviciul concursuri şi formare profesională a realizat, în principal, următoarele tipuri de lucrări: documentația privind organizarea</w:t>
      </w:r>
      <w:r w:rsidRPr="001F11E7">
        <w:rPr>
          <w:rFonts w:ascii="Calibri" w:hAnsi="Calibri" w:cs="Calibri"/>
          <w:bCs/>
          <w:i/>
          <w:noProof/>
          <w:sz w:val="26"/>
          <w:szCs w:val="26"/>
          <w:shd w:val="clear" w:color="auto" w:fill="FFFFFF"/>
        </w:rPr>
        <w:t xml:space="preserve"> </w:t>
      </w:r>
      <w:r w:rsidRPr="001F11E7">
        <w:rPr>
          <w:rFonts w:ascii="Calibri" w:hAnsi="Calibri" w:cs="Calibri"/>
          <w:bCs/>
          <w:noProof/>
          <w:sz w:val="26"/>
          <w:szCs w:val="26"/>
          <w:shd w:val="clear" w:color="auto" w:fill="FFFFFF"/>
        </w:rPr>
        <w:t>concursurilor menționate, lucrările privind desemnarea componenței comisiilor de concurs, contractele de prestări servicii ale membrilor comisiilor de concurs, instrucțiunile privind desfășurarea probelor de concurs, analizarea și formularea de puncte de vedere asupra memoriilor formulate de candidați, instituții sau alte categorii de petenți, verificările privind îndeplinirea condiției de bună reputație a candidaților admiși la concursurile de admitere în magistratură, de admitere la Institutul Național al Magistraturii şi de admitere la Școala Națională de Grefieri, documentația privind validarea rezultatelor concursurilor și ale examenelor care se organizează de Consiliu, lucrările privind avizul Consiliului în vederea organizării concursurilor pentru ocuparea posturilor vacante de grefier la instanțe și parchete, elaborarea sau analizarea propunerilor de modificare a regulamentelor de concurs sau a dispozițiilor legale referitoare la concursuri.</w:t>
      </w:r>
      <w:r w:rsidRPr="001F11E7">
        <w:rPr>
          <w:rFonts w:asciiTheme="minorHAnsi" w:eastAsiaTheme="majorEastAsia" w:hAnsiTheme="minorHAnsi" w:cstheme="minorHAnsi"/>
          <w:b/>
          <w:sz w:val="26"/>
          <w:szCs w:val="26"/>
        </w:rPr>
        <w:tab/>
      </w:r>
    </w:p>
    <w:p w14:paraId="025CA234" w14:textId="787005F5" w:rsidR="006C1588" w:rsidRPr="00F2176C" w:rsidRDefault="006C1588" w:rsidP="009E3AD8">
      <w:pPr>
        <w:pStyle w:val="Heading2"/>
        <w:keepNext w:val="0"/>
        <w:keepLines w:val="0"/>
        <w:suppressLineNumbers/>
        <w:suppressAutoHyphens/>
        <w:jc w:val="both"/>
        <w:rPr>
          <w:rFonts w:cstheme="minorHAnsi"/>
          <w:color w:val="auto"/>
          <w:lang w:val="ro-RO"/>
        </w:rPr>
      </w:pPr>
      <w:bookmarkStart w:id="140" w:name="_Toc219287977"/>
      <w:r w:rsidRPr="00F2176C">
        <w:rPr>
          <w:rFonts w:cstheme="minorHAnsi"/>
          <w:color w:val="auto"/>
          <w:lang w:val="ro-RO"/>
        </w:rPr>
        <w:t>VI.2. Activitatea Direcţiei legislaţie, documentare şi contencios</w:t>
      </w:r>
      <w:bookmarkEnd w:id="137"/>
      <w:bookmarkEnd w:id="140"/>
    </w:p>
    <w:p w14:paraId="78331E9A" w14:textId="767EBCAB" w:rsidR="00F2176C" w:rsidRPr="001B09DD" w:rsidRDefault="00F2176C" w:rsidP="009E3AD8">
      <w:pPr>
        <w:autoSpaceDE w:val="0"/>
        <w:autoSpaceDN w:val="0"/>
        <w:adjustRightInd w:val="0"/>
        <w:spacing w:line="276" w:lineRule="auto"/>
        <w:ind w:firstLine="709"/>
        <w:jc w:val="both"/>
        <w:rPr>
          <w:rFonts w:asciiTheme="minorHAnsi" w:hAnsiTheme="minorHAnsi" w:cstheme="minorHAnsi"/>
          <w:sz w:val="26"/>
          <w:szCs w:val="26"/>
        </w:rPr>
      </w:pPr>
      <w:r w:rsidRPr="001B09DD">
        <w:rPr>
          <w:rFonts w:asciiTheme="minorHAnsi" w:hAnsiTheme="minorHAnsi" w:cstheme="minorHAnsi"/>
          <w:sz w:val="26"/>
          <w:szCs w:val="26"/>
        </w:rPr>
        <w:t xml:space="preserve">La nivelul Direcţiei </w:t>
      </w:r>
      <w:r w:rsidR="00BD2983" w:rsidRPr="001B09DD">
        <w:rPr>
          <w:rFonts w:asciiTheme="minorHAnsi" w:hAnsiTheme="minorHAnsi" w:cstheme="minorHAnsi"/>
          <w:sz w:val="26"/>
          <w:szCs w:val="26"/>
        </w:rPr>
        <w:t>l</w:t>
      </w:r>
      <w:r w:rsidRPr="001B09DD">
        <w:rPr>
          <w:rFonts w:asciiTheme="minorHAnsi" w:hAnsiTheme="minorHAnsi" w:cstheme="minorHAnsi"/>
          <w:sz w:val="26"/>
          <w:szCs w:val="26"/>
        </w:rPr>
        <w:t xml:space="preserve">egislaţie, documentare şi contencios au fost înregistrate în perioada de referinţă </w:t>
      </w:r>
      <w:r w:rsidR="00E3751B" w:rsidRPr="001B09DD">
        <w:rPr>
          <w:rFonts w:asciiTheme="minorHAnsi" w:hAnsiTheme="minorHAnsi" w:cstheme="minorHAnsi"/>
          <w:sz w:val="26"/>
          <w:szCs w:val="26"/>
        </w:rPr>
        <w:t>739</w:t>
      </w:r>
      <w:r w:rsidRPr="001B09DD">
        <w:rPr>
          <w:rFonts w:asciiTheme="minorHAnsi" w:hAnsiTheme="minorHAnsi" w:cstheme="minorHAnsi"/>
          <w:sz w:val="26"/>
          <w:szCs w:val="26"/>
        </w:rPr>
        <w:t xml:space="preserve"> de lucrări, din</w:t>
      </w:r>
      <w:r w:rsidR="00094E76" w:rsidRPr="001B09DD">
        <w:rPr>
          <w:rFonts w:asciiTheme="minorHAnsi" w:hAnsiTheme="minorHAnsi" w:cstheme="minorHAnsi"/>
          <w:sz w:val="26"/>
          <w:szCs w:val="26"/>
        </w:rPr>
        <w:t>tre</w:t>
      </w:r>
      <w:r w:rsidRPr="001B09DD">
        <w:rPr>
          <w:rFonts w:asciiTheme="minorHAnsi" w:hAnsiTheme="minorHAnsi" w:cstheme="minorHAnsi"/>
          <w:sz w:val="26"/>
          <w:szCs w:val="26"/>
        </w:rPr>
        <w:t xml:space="preserve"> care </w:t>
      </w:r>
      <w:r w:rsidR="00E3751B" w:rsidRPr="001B09DD">
        <w:rPr>
          <w:rFonts w:asciiTheme="minorHAnsi" w:hAnsiTheme="minorHAnsi" w:cstheme="minorHAnsi"/>
          <w:sz w:val="26"/>
          <w:szCs w:val="26"/>
        </w:rPr>
        <w:t>392</w:t>
      </w:r>
      <w:r w:rsidR="00094E76" w:rsidRPr="001B09DD">
        <w:rPr>
          <w:rFonts w:asciiTheme="minorHAnsi" w:hAnsiTheme="minorHAnsi" w:cstheme="minorHAnsi"/>
          <w:sz w:val="26"/>
          <w:szCs w:val="26"/>
        </w:rPr>
        <w:t xml:space="preserve"> </w:t>
      </w:r>
      <w:r w:rsidR="00E9407C" w:rsidRPr="001B09DD">
        <w:rPr>
          <w:rFonts w:asciiTheme="minorHAnsi" w:hAnsiTheme="minorHAnsi" w:cstheme="minorHAnsi"/>
          <w:sz w:val="26"/>
          <w:szCs w:val="26"/>
        </w:rPr>
        <w:t xml:space="preserve">de </w:t>
      </w:r>
      <w:r w:rsidR="00094E76" w:rsidRPr="001B09DD">
        <w:rPr>
          <w:rFonts w:asciiTheme="minorHAnsi" w:hAnsiTheme="minorHAnsi" w:cstheme="minorHAnsi"/>
          <w:sz w:val="26"/>
          <w:szCs w:val="26"/>
        </w:rPr>
        <w:t>lucrări</w:t>
      </w:r>
      <w:r w:rsidRPr="001B09DD">
        <w:rPr>
          <w:rFonts w:asciiTheme="minorHAnsi" w:hAnsiTheme="minorHAnsi" w:cstheme="minorHAnsi"/>
          <w:sz w:val="26"/>
          <w:szCs w:val="26"/>
        </w:rPr>
        <w:t xml:space="preserve"> la Serviciul legislaţie şi documentare şi </w:t>
      </w:r>
      <w:r w:rsidR="00E3751B" w:rsidRPr="001B09DD">
        <w:rPr>
          <w:rFonts w:asciiTheme="minorHAnsi" w:hAnsiTheme="minorHAnsi" w:cstheme="minorHAnsi"/>
          <w:sz w:val="26"/>
          <w:szCs w:val="26"/>
        </w:rPr>
        <w:t>347</w:t>
      </w:r>
      <w:r w:rsidR="009C708B" w:rsidRPr="001B09DD">
        <w:rPr>
          <w:rFonts w:asciiTheme="minorHAnsi" w:hAnsiTheme="minorHAnsi" w:cstheme="minorHAnsi"/>
          <w:sz w:val="26"/>
          <w:szCs w:val="26"/>
        </w:rPr>
        <w:t xml:space="preserve"> de lucrări</w:t>
      </w:r>
      <w:r w:rsidRPr="001B09DD">
        <w:rPr>
          <w:rFonts w:asciiTheme="minorHAnsi" w:hAnsiTheme="minorHAnsi" w:cstheme="minorHAnsi"/>
          <w:sz w:val="26"/>
          <w:szCs w:val="26"/>
        </w:rPr>
        <w:t xml:space="preserve"> la Serviciul contencios.</w:t>
      </w:r>
    </w:p>
    <w:p w14:paraId="5C29F3B4" w14:textId="13582710" w:rsidR="00F2176C" w:rsidRPr="00F2176C" w:rsidRDefault="00F2176C" w:rsidP="009E3AD8">
      <w:pPr>
        <w:autoSpaceDE w:val="0"/>
        <w:autoSpaceDN w:val="0"/>
        <w:adjustRightInd w:val="0"/>
        <w:spacing w:line="276" w:lineRule="auto"/>
        <w:ind w:firstLine="709"/>
        <w:jc w:val="both"/>
        <w:rPr>
          <w:rFonts w:asciiTheme="minorHAnsi" w:hAnsiTheme="minorHAnsi" w:cstheme="minorHAnsi"/>
          <w:sz w:val="26"/>
          <w:szCs w:val="26"/>
        </w:rPr>
      </w:pPr>
      <w:r w:rsidRPr="001B09DD">
        <w:rPr>
          <w:rFonts w:asciiTheme="minorHAnsi" w:hAnsiTheme="minorHAnsi" w:cstheme="minorHAnsi"/>
          <w:sz w:val="26"/>
          <w:szCs w:val="26"/>
        </w:rPr>
        <w:t xml:space="preserve">Activitatea derulată la nivelul </w:t>
      </w:r>
      <w:r w:rsidRPr="009C708B">
        <w:rPr>
          <w:rFonts w:asciiTheme="minorHAnsi" w:hAnsiTheme="minorHAnsi" w:cstheme="minorHAnsi"/>
          <w:iCs/>
          <w:sz w:val="26"/>
          <w:szCs w:val="26"/>
        </w:rPr>
        <w:t>Serviciului legislaţie şi documentare</w:t>
      </w:r>
      <w:r w:rsidRPr="00F2176C">
        <w:rPr>
          <w:rFonts w:asciiTheme="minorHAnsi" w:hAnsiTheme="minorHAnsi" w:cstheme="minorHAnsi"/>
          <w:sz w:val="26"/>
          <w:szCs w:val="26"/>
        </w:rPr>
        <w:t xml:space="preserve"> este reflectată la Cap. I - secţiunea I.7. - Raporturile Consiliului Superior al Magistraturii cu puterea legislativă şi cea executivă şi la Cap. III – Activitatea derulată în legătură cu atribuţiile în materie legislativă ale Consiliului Superior al Magistraturii, astfel </w:t>
      </w:r>
      <w:r w:rsidR="009C708B">
        <w:rPr>
          <w:rFonts w:asciiTheme="minorHAnsi" w:hAnsiTheme="minorHAnsi" w:cstheme="minorHAnsi"/>
          <w:sz w:val="26"/>
          <w:szCs w:val="26"/>
        </w:rPr>
        <w:t>încât</w:t>
      </w:r>
      <w:r w:rsidRPr="00F2176C">
        <w:rPr>
          <w:rFonts w:asciiTheme="minorHAnsi" w:hAnsiTheme="minorHAnsi" w:cstheme="minorHAnsi"/>
          <w:sz w:val="26"/>
          <w:szCs w:val="26"/>
        </w:rPr>
        <w:t xml:space="preserve"> nu va fi reluată.</w:t>
      </w:r>
    </w:p>
    <w:p w14:paraId="052D4FFD" w14:textId="10A0AC1D" w:rsidR="00F2176C" w:rsidRPr="00F2176C" w:rsidRDefault="00F2176C" w:rsidP="009C708B">
      <w:pPr>
        <w:autoSpaceDE w:val="0"/>
        <w:autoSpaceDN w:val="0"/>
        <w:adjustRightInd w:val="0"/>
        <w:spacing w:line="276" w:lineRule="auto"/>
        <w:ind w:firstLine="709"/>
        <w:jc w:val="both"/>
        <w:rPr>
          <w:rFonts w:asciiTheme="minorHAnsi" w:hAnsiTheme="minorHAnsi" w:cstheme="minorHAnsi"/>
          <w:sz w:val="26"/>
          <w:szCs w:val="26"/>
        </w:rPr>
      </w:pPr>
      <w:r w:rsidRPr="00F2176C">
        <w:rPr>
          <w:rFonts w:asciiTheme="minorHAnsi" w:hAnsiTheme="minorHAnsi" w:cstheme="minorHAnsi"/>
          <w:sz w:val="26"/>
          <w:szCs w:val="26"/>
        </w:rPr>
        <w:t>De asemenea, acest serviciu a sprijinit activitatea grupurilor de lucru constituite la nivelul Consiliului</w:t>
      </w:r>
      <w:r w:rsidR="009C708B">
        <w:rPr>
          <w:rFonts w:asciiTheme="minorHAnsi" w:hAnsiTheme="minorHAnsi" w:cstheme="minorHAnsi"/>
          <w:sz w:val="26"/>
          <w:szCs w:val="26"/>
        </w:rPr>
        <w:t xml:space="preserve">, </w:t>
      </w:r>
      <w:r w:rsidRPr="00F2176C">
        <w:rPr>
          <w:rFonts w:asciiTheme="minorHAnsi" w:hAnsiTheme="minorHAnsi" w:cstheme="minorHAnsi"/>
          <w:sz w:val="26"/>
          <w:szCs w:val="26"/>
        </w:rPr>
        <w:t>a asigurat participarea şi în cadrul şedinţelor comisiilor de specialitate</w:t>
      </w:r>
      <w:r w:rsidR="009C708B">
        <w:rPr>
          <w:rFonts w:asciiTheme="minorHAnsi" w:hAnsiTheme="minorHAnsi" w:cstheme="minorHAnsi"/>
          <w:sz w:val="26"/>
          <w:szCs w:val="26"/>
        </w:rPr>
        <w:t xml:space="preserve"> şi a </w:t>
      </w:r>
      <w:r w:rsidRPr="00F2176C">
        <w:rPr>
          <w:rFonts w:asciiTheme="minorHAnsi" w:hAnsiTheme="minorHAnsi" w:cstheme="minorHAnsi"/>
          <w:sz w:val="26"/>
          <w:szCs w:val="26"/>
        </w:rPr>
        <w:t xml:space="preserve">efectuat toate demersurile în situațiile în care s-a impus consultarea instanțelor în legătură cu anumite propuneri sau proiecte legislative </w:t>
      </w:r>
      <w:r w:rsidR="00846BCB">
        <w:rPr>
          <w:rFonts w:asciiTheme="minorHAnsi" w:hAnsiTheme="minorHAnsi" w:cstheme="minorHAnsi"/>
          <w:sz w:val="26"/>
          <w:szCs w:val="26"/>
        </w:rPr>
        <w:t>ori</w:t>
      </w:r>
      <w:r w:rsidRPr="00F2176C">
        <w:rPr>
          <w:rFonts w:asciiTheme="minorHAnsi" w:hAnsiTheme="minorHAnsi" w:cstheme="minorHAnsi"/>
          <w:sz w:val="26"/>
          <w:szCs w:val="26"/>
        </w:rPr>
        <w:t xml:space="preserve"> informarea instanțelor la solicitarea unor autorități.</w:t>
      </w:r>
    </w:p>
    <w:p w14:paraId="366246CC" w14:textId="2344DEEC" w:rsidR="00F2176C" w:rsidRPr="00F2176C" w:rsidRDefault="00F2176C" w:rsidP="009E3AD8">
      <w:pPr>
        <w:spacing w:line="276" w:lineRule="auto"/>
        <w:ind w:firstLine="720"/>
        <w:jc w:val="both"/>
        <w:rPr>
          <w:rFonts w:asciiTheme="minorHAnsi" w:hAnsiTheme="minorHAnsi" w:cstheme="minorHAnsi"/>
          <w:sz w:val="26"/>
          <w:szCs w:val="26"/>
        </w:rPr>
      </w:pPr>
      <w:r w:rsidRPr="00F2176C">
        <w:rPr>
          <w:rFonts w:asciiTheme="minorHAnsi" w:hAnsiTheme="minorHAnsi" w:cstheme="minorHAnsi"/>
          <w:sz w:val="26"/>
          <w:szCs w:val="26"/>
        </w:rPr>
        <w:lastRenderedPageBreak/>
        <w:t xml:space="preserve">Astfel, prin Hotărârea </w:t>
      </w:r>
      <w:r w:rsidR="00846BCB">
        <w:rPr>
          <w:rFonts w:asciiTheme="minorHAnsi" w:hAnsiTheme="minorHAnsi" w:cstheme="minorHAnsi"/>
          <w:sz w:val="26"/>
          <w:szCs w:val="26"/>
        </w:rPr>
        <w:t xml:space="preserve">Secţiei pentru judecători </w:t>
      </w:r>
      <w:r w:rsidRPr="00F2176C">
        <w:rPr>
          <w:rFonts w:asciiTheme="minorHAnsi" w:hAnsiTheme="minorHAnsi" w:cstheme="minorHAnsi"/>
          <w:sz w:val="26"/>
          <w:szCs w:val="26"/>
        </w:rPr>
        <w:t>nr. 156</w:t>
      </w:r>
      <w:r w:rsidR="00A66FA0">
        <w:rPr>
          <w:rFonts w:asciiTheme="minorHAnsi" w:hAnsiTheme="minorHAnsi" w:cstheme="minorHAnsi"/>
          <w:sz w:val="26"/>
          <w:szCs w:val="26"/>
        </w:rPr>
        <w:t>/</w:t>
      </w:r>
      <w:r w:rsidRPr="00F2176C">
        <w:rPr>
          <w:rFonts w:asciiTheme="minorHAnsi" w:hAnsiTheme="minorHAnsi" w:cstheme="minorHAnsi"/>
          <w:sz w:val="26"/>
          <w:szCs w:val="26"/>
        </w:rPr>
        <w:t>04</w:t>
      </w:r>
      <w:r w:rsidR="00A66FA0">
        <w:rPr>
          <w:rFonts w:asciiTheme="minorHAnsi" w:hAnsiTheme="minorHAnsi" w:cstheme="minorHAnsi"/>
          <w:sz w:val="26"/>
          <w:szCs w:val="26"/>
        </w:rPr>
        <w:t>.02.</w:t>
      </w:r>
      <w:r w:rsidRPr="00F2176C">
        <w:rPr>
          <w:rFonts w:asciiTheme="minorHAnsi" w:hAnsiTheme="minorHAnsi" w:cstheme="minorHAnsi"/>
          <w:sz w:val="26"/>
          <w:szCs w:val="26"/>
        </w:rPr>
        <w:t>2025 s-a decis constituirea unui grup de lucru la nivelul Consiliului având ca principal obiectiv identificarea unor măsuri privind eficientizarea/monitorizarea activității judecătorului de supraveghere a privării de libertate. În vederea formulării unor propuneri concrete de reglementare, Serviciul legislaţie şi documentare a consultat judecătorii de supraveghere a privării de libertate, Administraţia Naţională a Penitenciarelor,</w:t>
      </w:r>
      <w:r w:rsidR="00846BCB">
        <w:rPr>
          <w:rFonts w:asciiTheme="minorHAnsi" w:hAnsiTheme="minorHAnsi" w:cstheme="minorHAnsi"/>
          <w:sz w:val="26"/>
          <w:szCs w:val="26"/>
        </w:rPr>
        <w:t xml:space="preserve"> </w:t>
      </w:r>
      <w:r w:rsidRPr="00F2176C">
        <w:rPr>
          <w:rFonts w:asciiTheme="minorHAnsi" w:hAnsiTheme="minorHAnsi" w:cstheme="minorHAnsi"/>
          <w:sz w:val="26"/>
          <w:szCs w:val="26"/>
        </w:rPr>
        <w:t>Ministerul Justiţiei, Ministerul Afacerilor Interne, precum şi Agentul guvernamental pentru Curtea Europeană a Drepturilor Omului, cu privire la aspectele agreate în cadrul primei şedinţe a grupului de lucru (din data de 07</w:t>
      </w:r>
      <w:r w:rsidR="00846BCB">
        <w:rPr>
          <w:rFonts w:asciiTheme="minorHAnsi" w:hAnsiTheme="minorHAnsi" w:cstheme="minorHAnsi"/>
          <w:sz w:val="26"/>
          <w:szCs w:val="26"/>
        </w:rPr>
        <w:t xml:space="preserve"> mai </w:t>
      </w:r>
      <w:r w:rsidRPr="00F2176C">
        <w:rPr>
          <w:rFonts w:asciiTheme="minorHAnsi" w:hAnsiTheme="minorHAnsi" w:cstheme="minorHAnsi"/>
          <w:sz w:val="26"/>
          <w:szCs w:val="26"/>
        </w:rPr>
        <w:t>2025). Totodată, judecătorii de supraveghere a privării de libertate au fost consultaţi și cu privire la orice alte dificultăţi întâmpinate în activitate. Serviciul legislație şi documentare a întocmit centralizarea punctelor de vedere transmise de toate entităţile consultate.</w:t>
      </w:r>
    </w:p>
    <w:p w14:paraId="7342C830" w14:textId="64A1EB37" w:rsidR="00F2176C" w:rsidRPr="00F2176C" w:rsidRDefault="00F2176C" w:rsidP="009E3AD8">
      <w:pPr>
        <w:spacing w:line="276" w:lineRule="auto"/>
        <w:ind w:firstLine="706"/>
        <w:jc w:val="both"/>
        <w:rPr>
          <w:rFonts w:asciiTheme="minorHAnsi" w:hAnsiTheme="minorHAnsi" w:cstheme="minorHAnsi"/>
          <w:sz w:val="26"/>
          <w:szCs w:val="26"/>
        </w:rPr>
      </w:pPr>
      <w:r w:rsidRPr="00F2176C">
        <w:rPr>
          <w:rFonts w:asciiTheme="minorHAnsi" w:hAnsiTheme="minorHAnsi" w:cstheme="minorHAnsi"/>
          <w:sz w:val="26"/>
          <w:szCs w:val="26"/>
        </w:rPr>
        <w:t xml:space="preserve">Serviciul </w:t>
      </w:r>
      <w:r w:rsidR="00BD2983">
        <w:rPr>
          <w:rFonts w:asciiTheme="minorHAnsi" w:hAnsiTheme="minorHAnsi" w:cstheme="minorHAnsi"/>
          <w:sz w:val="26"/>
          <w:szCs w:val="26"/>
        </w:rPr>
        <w:t>l</w:t>
      </w:r>
      <w:r w:rsidRPr="00F2176C">
        <w:rPr>
          <w:rFonts w:asciiTheme="minorHAnsi" w:hAnsiTheme="minorHAnsi" w:cstheme="minorHAnsi"/>
          <w:sz w:val="26"/>
          <w:szCs w:val="26"/>
        </w:rPr>
        <w:t>egislaţie şi documentare a realizat centralizarea şi analiza propunerilor de reglementare formulate de instanţele judecătoreşti şi organismele profesionale în vederea degrevării instanţelor judecătoreşti, atât în materiile non-penale, cât şi în materie penală (notele centralizatoare din lucrarea nr. 8922/2024). De menţionat că în contextul preocupărilor C</w:t>
      </w:r>
      <w:r w:rsidR="00846BCB">
        <w:rPr>
          <w:rFonts w:asciiTheme="minorHAnsi" w:hAnsiTheme="minorHAnsi" w:cstheme="minorHAnsi"/>
          <w:sz w:val="26"/>
          <w:szCs w:val="26"/>
        </w:rPr>
        <w:t xml:space="preserve">.S.M. </w:t>
      </w:r>
      <w:r w:rsidRPr="00F2176C">
        <w:rPr>
          <w:rFonts w:asciiTheme="minorHAnsi" w:hAnsiTheme="minorHAnsi" w:cstheme="minorHAnsi"/>
          <w:sz w:val="26"/>
          <w:szCs w:val="26"/>
        </w:rPr>
        <w:t>pentru reducerea volumului de activitate al judecătorilor, în şedinţa din data de 11 aprilie 2024 a Comisiei nr. 1 judecători – „Legislaţie şi cooperare interinstituţională” s-a decis constituirea unui grup de lucru care să identifice soluţii adecvate şi să formuleze propuneri legislative în vederea degrevării instanţelor judecătoreşti şi a activităţii judecătorilor. În cadrul şedinţei grupului de lucru din data de 21</w:t>
      </w:r>
      <w:r w:rsidR="004B443C">
        <w:rPr>
          <w:rFonts w:asciiTheme="minorHAnsi" w:hAnsiTheme="minorHAnsi" w:cstheme="minorHAnsi"/>
          <w:sz w:val="26"/>
          <w:szCs w:val="26"/>
        </w:rPr>
        <w:t xml:space="preserve"> mai </w:t>
      </w:r>
      <w:r w:rsidRPr="00F2176C">
        <w:rPr>
          <w:rFonts w:asciiTheme="minorHAnsi" w:hAnsiTheme="minorHAnsi" w:cstheme="minorHAnsi"/>
          <w:sz w:val="26"/>
          <w:szCs w:val="26"/>
        </w:rPr>
        <w:t>2024 s-a hotărât consultarea instanţelor judecătoreşti şi a organismelor profesionale ale altor profesii juridice cu privire la propunerile de reglementare care ar putea fi formulate pentru atingerea scopului asumat.</w:t>
      </w:r>
    </w:p>
    <w:p w14:paraId="6406CF99" w14:textId="50A5F1E4" w:rsidR="00F2176C" w:rsidRPr="00F2176C" w:rsidRDefault="00F2176C" w:rsidP="009E3AD8">
      <w:pPr>
        <w:autoSpaceDE w:val="0"/>
        <w:autoSpaceDN w:val="0"/>
        <w:adjustRightInd w:val="0"/>
        <w:spacing w:line="276" w:lineRule="auto"/>
        <w:ind w:firstLine="706"/>
        <w:jc w:val="both"/>
        <w:rPr>
          <w:rFonts w:asciiTheme="minorHAnsi" w:hAnsiTheme="minorHAnsi" w:cstheme="minorHAnsi"/>
          <w:sz w:val="26"/>
          <w:szCs w:val="26"/>
        </w:rPr>
      </w:pPr>
      <w:r w:rsidRPr="00F2176C">
        <w:rPr>
          <w:rFonts w:asciiTheme="minorHAnsi" w:hAnsiTheme="minorHAnsi" w:cstheme="minorHAnsi"/>
          <w:sz w:val="26"/>
          <w:szCs w:val="26"/>
        </w:rPr>
        <w:t>Prin adresa nr. 3/935 din data de 13</w:t>
      </w:r>
      <w:r w:rsidR="00E907E9">
        <w:rPr>
          <w:rFonts w:asciiTheme="minorHAnsi" w:hAnsiTheme="minorHAnsi" w:cstheme="minorHAnsi"/>
          <w:sz w:val="26"/>
          <w:szCs w:val="26"/>
        </w:rPr>
        <w:t xml:space="preserve"> februarie</w:t>
      </w:r>
      <w:r w:rsidR="00E907E9" w:rsidRPr="00F2176C">
        <w:rPr>
          <w:rFonts w:asciiTheme="minorHAnsi" w:hAnsiTheme="minorHAnsi" w:cstheme="minorHAnsi"/>
          <w:sz w:val="26"/>
          <w:szCs w:val="26"/>
        </w:rPr>
        <w:t xml:space="preserve"> </w:t>
      </w:r>
      <w:r w:rsidRPr="00F2176C">
        <w:rPr>
          <w:rFonts w:asciiTheme="minorHAnsi" w:hAnsiTheme="minorHAnsi" w:cstheme="minorHAnsi"/>
          <w:sz w:val="26"/>
          <w:szCs w:val="26"/>
        </w:rPr>
        <w:t>2025, Serviciul legislaţie şi documentare a informat instanţele judecătoreşti în legătură cu crearea unei adrese de e-mail de către Agenţia Naţională a Funcţionarilor Publici în vederea simplificării procedurilor de comunicare a hotărârilor judecătoreşti sau a oricăror acte emise de instanţele de judecată către această instituţie.</w:t>
      </w:r>
    </w:p>
    <w:p w14:paraId="74570BA7" w14:textId="16189AB2" w:rsidR="00F2176C" w:rsidRPr="00F2176C" w:rsidRDefault="00F2176C" w:rsidP="009E3AD8">
      <w:pPr>
        <w:tabs>
          <w:tab w:val="left" w:pos="709"/>
        </w:tabs>
        <w:spacing w:line="276" w:lineRule="auto"/>
        <w:jc w:val="both"/>
        <w:rPr>
          <w:rFonts w:asciiTheme="minorHAnsi" w:hAnsiTheme="minorHAnsi" w:cstheme="minorHAnsi"/>
          <w:sz w:val="26"/>
          <w:szCs w:val="26"/>
        </w:rPr>
      </w:pPr>
      <w:r w:rsidRPr="00F2176C">
        <w:rPr>
          <w:rFonts w:asciiTheme="minorHAnsi" w:hAnsiTheme="minorHAnsi" w:cstheme="minorHAnsi"/>
          <w:sz w:val="26"/>
          <w:szCs w:val="26"/>
        </w:rPr>
        <w:tab/>
        <w:t xml:space="preserve">În şedinţa din data de 18 septembrie 2025, Comisia nr. 1 – judecători „Legislaţie şi cooperare interinstituţională” a analizat solicitarea Ministerului Justiţiei de diseminare către instanţele de judecată a adresei Agenţiei Naţionale de Administrare Fiscală vizând solicitarea </w:t>
      </w:r>
      <w:r w:rsidR="00846BCB">
        <w:rPr>
          <w:rFonts w:asciiTheme="minorHAnsi" w:hAnsiTheme="minorHAnsi" w:cstheme="minorHAnsi"/>
          <w:sz w:val="26"/>
          <w:szCs w:val="26"/>
        </w:rPr>
        <w:t xml:space="preserve">unui birou al executorului judecătoresc </w:t>
      </w:r>
      <w:r w:rsidRPr="00F2176C">
        <w:rPr>
          <w:rFonts w:asciiTheme="minorHAnsi" w:hAnsiTheme="minorHAnsi" w:cstheme="minorHAnsi"/>
          <w:sz w:val="26"/>
          <w:szCs w:val="26"/>
        </w:rPr>
        <w:t xml:space="preserve">referitoare la punerea în executare a titlului executoriu reprezentat de Hotărârea pronunţată de către Tribunalul regional Mannheim, Germania, privind recuperarea creanţelor deţinute de EuroChem Agro GMBH. Serviciul </w:t>
      </w:r>
      <w:r w:rsidR="00BD2983">
        <w:rPr>
          <w:rFonts w:asciiTheme="minorHAnsi" w:hAnsiTheme="minorHAnsi" w:cstheme="minorHAnsi"/>
          <w:sz w:val="26"/>
          <w:szCs w:val="26"/>
        </w:rPr>
        <w:t>l</w:t>
      </w:r>
      <w:r w:rsidRPr="00F2176C">
        <w:rPr>
          <w:rFonts w:asciiTheme="minorHAnsi" w:hAnsiTheme="minorHAnsi" w:cstheme="minorHAnsi"/>
          <w:sz w:val="26"/>
          <w:szCs w:val="26"/>
        </w:rPr>
        <w:t>egislaţie şi documentare a transmis adresa nr. A_DIF 970/04.09.2025 a Agenţiei Naţionale de Administrare Fiscală către instanţele de judecată (judecătorii şi tribunale).</w:t>
      </w:r>
    </w:p>
    <w:p w14:paraId="4A66F529" w14:textId="32F52943" w:rsidR="00F2176C" w:rsidRPr="00F2176C" w:rsidRDefault="00F2176C" w:rsidP="009E3AD8">
      <w:pPr>
        <w:autoSpaceDE w:val="0"/>
        <w:autoSpaceDN w:val="0"/>
        <w:adjustRightInd w:val="0"/>
        <w:spacing w:line="276" w:lineRule="auto"/>
        <w:ind w:firstLine="706"/>
        <w:jc w:val="both"/>
        <w:rPr>
          <w:rFonts w:asciiTheme="minorHAnsi" w:hAnsiTheme="minorHAnsi" w:cstheme="minorHAnsi"/>
          <w:sz w:val="26"/>
          <w:szCs w:val="26"/>
        </w:rPr>
      </w:pPr>
      <w:r w:rsidRPr="00F2176C">
        <w:rPr>
          <w:rFonts w:asciiTheme="minorHAnsi" w:hAnsiTheme="minorHAnsi" w:cstheme="minorHAnsi"/>
          <w:sz w:val="26"/>
          <w:szCs w:val="26"/>
        </w:rPr>
        <w:t>Prin adresa nr. 3/3671 din data de 10</w:t>
      </w:r>
      <w:r w:rsidR="00E907E9">
        <w:rPr>
          <w:rFonts w:asciiTheme="minorHAnsi" w:hAnsiTheme="minorHAnsi" w:cstheme="minorHAnsi"/>
          <w:sz w:val="26"/>
          <w:szCs w:val="26"/>
        </w:rPr>
        <w:t xml:space="preserve"> aprilie </w:t>
      </w:r>
      <w:r w:rsidRPr="00F2176C">
        <w:rPr>
          <w:rFonts w:asciiTheme="minorHAnsi" w:hAnsiTheme="minorHAnsi" w:cstheme="minorHAnsi"/>
          <w:sz w:val="26"/>
          <w:szCs w:val="26"/>
        </w:rPr>
        <w:t>2025, Serviciul legislaţie şi documentare a informat instanţele judecătoreşti şi parchetele de pe lângă acestea în legătură cu problematica aplicabilităţii în cazul instanţelor judecătoreşti şi a parchetele de pe lângă acestea a H.G. nr. 970/2023 pentru aprobarea Metodologiei privind prevenirea şi combaterea hăr</w:t>
      </w:r>
      <w:r w:rsidR="00133421">
        <w:rPr>
          <w:rFonts w:asciiTheme="minorHAnsi" w:hAnsiTheme="minorHAnsi" w:cstheme="minorHAnsi"/>
          <w:sz w:val="26"/>
          <w:szCs w:val="26"/>
        </w:rPr>
        <w:t>țuirii</w:t>
      </w:r>
      <w:r w:rsidRPr="00F2176C">
        <w:rPr>
          <w:rFonts w:asciiTheme="minorHAnsi" w:hAnsiTheme="minorHAnsi" w:cstheme="minorHAnsi"/>
          <w:sz w:val="26"/>
          <w:szCs w:val="26"/>
        </w:rPr>
        <w:t xml:space="preserve"> pe criteriul de sex, precum şi a hărţuirii morale la locul de muncă.</w:t>
      </w:r>
    </w:p>
    <w:p w14:paraId="6AD80A85" w14:textId="4ACFF2D5" w:rsidR="00F2176C" w:rsidRPr="00B41651" w:rsidRDefault="00F2176C" w:rsidP="009E3AD8">
      <w:pPr>
        <w:spacing w:line="276" w:lineRule="auto"/>
        <w:ind w:right="6" w:firstLine="720"/>
        <w:jc w:val="both"/>
        <w:rPr>
          <w:rFonts w:asciiTheme="minorHAnsi" w:hAnsiTheme="minorHAnsi" w:cstheme="minorHAnsi"/>
          <w:iCs/>
          <w:sz w:val="26"/>
          <w:szCs w:val="26"/>
          <w14:shadow w14:blurRad="63500" w14:dist="50800" w14:dir="13500000" w14:sx="0" w14:sy="0" w14:kx="0" w14:ky="0" w14:algn="none">
            <w14:srgbClr w14:val="000000">
              <w14:alpha w14:val="50000"/>
            </w14:srgbClr>
          </w14:shadow>
        </w:rPr>
      </w:pPr>
      <w:r w:rsidRPr="00F2176C">
        <w:rPr>
          <w:rFonts w:asciiTheme="minorHAnsi" w:hAnsiTheme="minorHAnsi" w:cstheme="minorHAnsi"/>
          <w:bCs/>
          <w:sz w:val="26"/>
          <w:szCs w:val="26"/>
        </w:rPr>
        <w:t>Dat fiind rolul C</w:t>
      </w:r>
      <w:r w:rsidR="00846BCB">
        <w:rPr>
          <w:rFonts w:asciiTheme="minorHAnsi" w:hAnsiTheme="minorHAnsi" w:cstheme="minorHAnsi"/>
          <w:bCs/>
          <w:sz w:val="26"/>
          <w:szCs w:val="26"/>
        </w:rPr>
        <w:t>.S.M. î</w:t>
      </w:r>
      <w:r w:rsidRPr="00F2176C">
        <w:rPr>
          <w:rFonts w:asciiTheme="minorHAnsi" w:hAnsiTheme="minorHAnsi" w:cstheme="minorHAnsi"/>
          <w:bCs/>
          <w:sz w:val="26"/>
          <w:szCs w:val="26"/>
        </w:rPr>
        <w:t>n îndeplinirea condiționalităților stabilite prin mecanismul de monitorizare a Strategiei naționale anticorupție 2021 - 2025, raportările privind implementarea noii strategii sunt centralizate la nivelul Consiliului pentru întregul sistem judiciar și ulterior transmise Secretariatului tehnic al S</w:t>
      </w:r>
      <w:r w:rsidR="00881DA4">
        <w:rPr>
          <w:rFonts w:asciiTheme="minorHAnsi" w:hAnsiTheme="minorHAnsi" w:cstheme="minorHAnsi"/>
          <w:bCs/>
          <w:sz w:val="26"/>
          <w:szCs w:val="26"/>
        </w:rPr>
        <w:t>.</w:t>
      </w:r>
      <w:r w:rsidRPr="00F2176C">
        <w:rPr>
          <w:rFonts w:asciiTheme="minorHAnsi" w:hAnsiTheme="minorHAnsi" w:cstheme="minorHAnsi"/>
          <w:bCs/>
          <w:sz w:val="26"/>
          <w:szCs w:val="26"/>
        </w:rPr>
        <w:t>N</w:t>
      </w:r>
      <w:r w:rsidR="00881DA4">
        <w:rPr>
          <w:rFonts w:asciiTheme="minorHAnsi" w:hAnsiTheme="minorHAnsi" w:cstheme="minorHAnsi"/>
          <w:bCs/>
          <w:sz w:val="26"/>
          <w:szCs w:val="26"/>
        </w:rPr>
        <w:t>.</w:t>
      </w:r>
      <w:r w:rsidRPr="00F2176C">
        <w:rPr>
          <w:rFonts w:asciiTheme="minorHAnsi" w:hAnsiTheme="minorHAnsi" w:cstheme="minorHAnsi"/>
          <w:bCs/>
          <w:sz w:val="26"/>
          <w:szCs w:val="26"/>
        </w:rPr>
        <w:t>A</w:t>
      </w:r>
      <w:r w:rsidR="00881DA4">
        <w:rPr>
          <w:rFonts w:asciiTheme="minorHAnsi" w:hAnsiTheme="minorHAnsi" w:cstheme="minorHAnsi"/>
          <w:bCs/>
          <w:sz w:val="26"/>
          <w:szCs w:val="26"/>
        </w:rPr>
        <w:t>.</w:t>
      </w:r>
      <w:r w:rsidRPr="00F2176C">
        <w:rPr>
          <w:rFonts w:asciiTheme="minorHAnsi" w:hAnsiTheme="minorHAnsi" w:cstheme="minorHAnsi"/>
          <w:bCs/>
          <w:sz w:val="26"/>
          <w:szCs w:val="26"/>
        </w:rPr>
        <w:t xml:space="preserve"> din cadrul Ministerului Justiţiei. În acest context,  cu </w:t>
      </w:r>
      <w:r w:rsidRPr="00F2176C">
        <w:rPr>
          <w:rFonts w:asciiTheme="minorHAnsi" w:hAnsiTheme="minorHAnsi" w:cstheme="minorHAnsi"/>
          <w:bCs/>
          <w:sz w:val="26"/>
          <w:szCs w:val="26"/>
        </w:rPr>
        <w:lastRenderedPageBreak/>
        <w:t xml:space="preserve">adresa nr. 13/229 din data de 20.03.2025, Consiliul a comunicat Ministerul Justiţiei </w:t>
      </w:r>
      <w:r w:rsidRPr="00F2176C">
        <w:rPr>
          <w:rFonts w:asciiTheme="minorHAnsi" w:hAnsiTheme="minorHAnsi" w:cstheme="minorHAnsi"/>
          <w:iCs/>
          <w:sz w:val="26"/>
          <w:szCs w:val="26"/>
          <w14:shadow w14:blurRad="63500" w14:dist="50800" w14:dir="13500000" w14:sx="0" w14:sy="0" w14:kx="0" w14:ky="0" w14:algn="none">
            <w14:srgbClr w14:val="000000">
              <w14:alpha w14:val="50000"/>
            </w14:srgbClr>
          </w14:shadow>
        </w:rPr>
        <w:t>Raportul narativ referitor la stadiul implementării măsurilor prevăzute în S</w:t>
      </w:r>
      <w:r w:rsidR="00881DA4">
        <w:rPr>
          <w:rFonts w:asciiTheme="minorHAnsi" w:hAnsiTheme="minorHAnsi" w:cstheme="minorHAnsi"/>
          <w:iCs/>
          <w:sz w:val="26"/>
          <w:szCs w:val="26"/>
          <w14:shadow w14:blurRad="63500" w14:dist="50800" w14:dir="13500000" w14:sx="0" w14:sy="0" w14:kx="0" w14:ky="0" w14:algn="none">
            <w14:srgbClr w14:val="000000">
              <w14:alpha w14:val="50000"/>
            </w14:srgbClr>
          </w14:shadow>
        </w:rPr>
        <w:t>.</w:t>
      </w:r>
      <w:r w:rsidRPr="00F2176C">
        <w:rPr>
          <w:rFonts w:asciiTheme="minorHAnsi" w:hAnsiTheme="minorHAnsi" w:cstheme="minorHAnsi"/>
          <w:iCs/>
          <w:sz w:val="26"/>
          <w:szCs w:val="26"/>
          <w14:shadow w14:blurRad="63500" w14:dist="50800" w14:dir="13500000" w14:sx="0" w14:sy="0" w14:kx="0" w14:ky="0" w14:algn="none">
            <w14:srgbClr w14:val="000000">
              <w14:alpha w14:val="50000"/>
            </w14:srgbClr>
          </w14:shadow>
        </w:rPr>
        <w:t>N</w:t>
      </w:r>
      <w:r w:rsidR="00881DA4">
        <w:rPr>
          <w:rFonts w:asciiTheme="minorHAnsi" w:hAnsiTheme="minorHAnsi" w:cstheme="minorHAnsi"/>
          <w:iCs/>
          <w:sz w:val="26"/>
          <w:szCs w:val="26"/>
          <w14:shadow w14:blurRad="63500" w14:dist="50800" w14:dir="13500000" w14:sx="0" w14:sy="0" w14:kx="0" w14:ky="0" w14:algn="none">
            <w14:srgbClr w14:val="000000">
              <w14:alpha w14:val="50000"/>
            </w14:srgbClr>
          </w14:shadow>
        </w:rPr>
        <w:t>.</w:t>
      </w:r>
      <w:r w:rsidRPr="00F2176C">
        <w:rPr>
          <w:rFonts w:asciiTheme="minorHAnsi" w:hAnsiTheme="minorHAnsi" w:cstheme="minorHAnsi"/>
          <w:iCs/>
          <w:sz w:val="26"/>
          <w:szCs w:val="26"/>
          <w14:shadow w14:blurRad="63500" w14:dist="50800" w14:dir="13500000" w14:sx="0" w14:sy="0" w14:kx="0" w14:ky="0" w14:algn="none">
            <w14:srgbClr w14:val="000000">
              <w14:alpha w14:val="50000"/>
            </w14:srgbClr>
          </w14:shadow>
        </w:rPr>
        <w:t>A</w:t>
      </w:r>
      <w:r w:rsidR="00881DA4">
        <w:rPr>
          <w:rFonts w:asciiTheme="minorHAnsi" w:hAnsiTheme="minorHAnsi" w:cstheme="minorHAnsi"/>
          <w:iCs/>
          <w:sz w:val="26"/>
          <w:szCs w:val="26"/>
          <w14:shadow w14:blurRad="63500" w14:dist="50800" w14:dir="13500000" w14:sx="0" w14:sy="0" w14:kx="0" w14:ky="0" w14:algn="none">
            <w14:srgbClr w14:val="000000">
              <w14:alpha w14:val="50000"/>
            </w14:srgbClr>
          </w14:shadow>
        </w:rPr>
        <w:t>.</w:t>
      </w:r>
      <w:r w:rsidRPr="00F2176C">
        <w:rPr>
          <w:rFonts w:asciiTheme="minorHAnsi" w:hAnsiTheme="minorHAnsi" w:cstheme="minorHAnsi"/>
          <w:iCs/>
          <w:sz w:val="26"/>
          <w:szCs w:val="26"/>
          <w14:shadow w14:blurRad="63500" w14:dist="50800" w14:dir="13500000" w14:sx="0" w14:sy="0" w14:kx="0" w14:ky="0" w14:algn="none">
            <w14:srgbClr w14:val="000000">
              <w14:alpha w14:val="50000"/>
            </w14:srgbClr>
          </w14:shadow>
        </w:rPr>
        <w:t xml:space="preserve"> ce revin în sarcina autorităților și instituțiilor publice din sistemul judiciar</w:t>
      </w:r>
      <w:r w:rsidRPr="00F2176C">
        <w:rPr>
          <w:rFonts w:asciiTheme="minorHAnsi" w:hAnsiTheme="minorHAnsi" w:cstheme="minorHAnsi"/>
        </w:rPr>
        <w:t xml:space="preserve"> </w:t>
      </w:r>
      <w:r w:rsidRPr="00F2176C">
        <w:rPr>
          <w:rFonts w:asciiTheme="minorHAnsi" w:hAnsiTheme="minorHAnsi" w:cstheme="minorHAnsi"/>
          <w:iCs/>
          <w:sz w:val="26"/>
          <w:szCs w:val="26"/>
          <w14:shadow w14:blurRad="63500" w14:dist="50800" w14:dir="13500000" w14:sx="0" w14:sy="0" w14:kx="0" w14:ky="0" w14:algn="none">
            <w14:srgbClr w14:val="000000">
              <w14:alpha w14:val="50000"/>
            </w14:srgbClr>
          </w14:shadow>
        </w:rPr>
        <w:t xml:space="preserve">pentru anul 2024, împreună cu 14 fișe de raportare; </w:t>
      </w:r>
      <w:r w:rsidRPr="00B41651">
        <w:rPr>
          <w:rFonts w:asciiTheme="minorHAnsi" w:hAnsiTheme="minorHAnsi" w:cstheme="minorHAnsi"/>
          <w:iCs/>
          <w:sz w:val="26"/>
          <w:szCs w:val="26"/>
          <w14:shadow w14:blurRad="63500" w14:dist="50800" w14:dir="13500000" w14:sx="0" w14:sy="0" w14:kx="0" w14:ky="0" w14:algn="none">
            <w14:srgbClr w14:val="000000">
              <w14:alpha w14:val="50000"/>
            </w14:srgbClr>
          </w14:shadow>
        </w:rPr>
        <w:t>Inventarul măsurilor de transparență instituțională și de prevenire a corupției, precum și indicatorii de evaluare la nivelul sistemului judiciar, pentru anul 2024.</w:t>
      </w:r>
    </w:p>
    <w:p w14:paraId="7D5A1DDF" w14:textId="7F0220A7" w:rsidR="006A4A94" w:rsidRPr="00B41651" w:rsidRDefault="006A4A94" w:rsidP="006A4A94">
      <w:pPr>
        <w:spacing w:line="276" w:lineRule="auto"/>
        <w:ind w:right="6" w:firstLine="720"/>
        <w:jc w:val="both"/>
        <w:rPr>
          <w:rFonts w:asciiTheme="minorHAnsi" w:hAnsiTheme="minorHAnsi" w:cstheme="minorHAnsi"/>
          <w:iCs/>
          <w:sz w:val="26"/>
          <w:szCs w:val="26"/>
          <w14:shadow w14:blurRad="63500" w14:dist="50800" w14:dir="13500000" w14:sx="0" w14:sy="0" w14:kx="0" w14:ky="0" w14:algn="none">
            <w14:srgbClr w14:val="000000">
              <w14:alpha w14:val="50000"/>
            </w14:srgbClr>
          </w14:shadow>
        </w:rPr>
      </w:pPr>
      <w:r w:rsidRPr="00B41651">
        <w:rPr>
          <w:rFonts w:asciiTheme="minorHAnsi" w:hAnsiTheme="minorHAnsi" w:cstheme="minorHAnsi"/>
          <w:iCs/>
          <w:sz w:val="26"/>
          <w:szCs w:val="26"/>
          <w14:shadow w14:blurRad="63500" w14:dist="50800" w14:dir="13500000" w14:sx="0" w14:sy="0" w14:kx="0" w14:ky="0" w14:algn="none">
            <w14:srgbClr w14:val="000000">
              <w14:alpha w14:val="50000"/>
            </w14:srgbClr>
          </w14:shadow>
        </w:rPr>
        <w:t>Prin nota nr. 11/13254/2024, 3/13075/2025, Direcția Legislație, documentare și contencios a supus analizei Plenului C</w:t>
      </w:r>
      <w:r w:rsidR="00B41651" w:rsidRPr="00B41651">
        <w:rPr>
          <w:rFonts w:asciiTheme="minorHAnsi" w:hAnsiTheme="minorHAnsi" w:cstheme="minorHAnsi"/>
          <w:iCs/>
          <w:sz w:val="26"/>
          <w:szCs w:val="26"/>
          <w14:shadow w14:blurRad="63500" w14:dist="50800" w14:dir="13500000" w14:sx="0" w14:sy="0" w14:kx="0" w14:ky="0" w14:algn="none">
            <w14:srgbClr w14:val="000000">
              <w14:alpha w14:val="50000"/>
            </w14:srgbClr>
          </w14:shadow>
        </w:rPr>
        <w:t xml:space="preserve">.S.M. </w:t>
      </w:r>
      <w:r w:rsidRPr="00B41651">
        <w:rPr>
          <w:rFonts w:asciiTheme="minorHAnsi" w:hAnsiTheme="minorHAnsi" w:cstheme="minorHAnsi"/>
          <w:iCs/>
          <w:sz w:val="26"/>
          <w:szCs w:val="26"/>
          <w14:shadow w14:blurRad="63500" w14:dist="50800" w14:dir="13500000" w14:sx="0" w14:sy="0" w14:kx="0" w14:ky="0" w14:algn="none">
            <w14:srgbClr w14:val="000000">
              <w14:alpha w14:val="50000"/>
            </w14:srgbClr>
          </w14:shadow>
        </w:rPr>
        <w:t>Raportul privind evaluarea impactului Legii nr. 140/2022 privind unele măsuri de ocrotire pentru persoanele cu dizabilităţi intelectuale şi psihosociale şi modificarea şi completarea unor acte normative. Prin Hotărârea nr. 148 din 13 noiembrie 2025, Plenul C</w:t>
      </w:r>
      <w:r w:rsidR="00B41651" w:rsidRPr="00B41651">
        <w:rPr>
          <w:rFonts w:asciiTheme="minorHAnsi" w:hAnsiTheme="minorHAnsi" w:cstheme="minorHAnsi"/>
          <w:iCs/>
          <w:sz w:val="26"/>
          <w:szCs w:val="26"/>
          <w14:shadow w14:blurRad="63500" w14:dist="50800" w14:dir="13500000" w14:sx="0" w14:sy="0" w14:kx="0" w14:ky="0" w14:algn="none">
            <w14:srgbClr w14:val="000000">
              <w14:alpha w14:val="50000"/>
            </w14:srgbClr>
          </w14:shadow>
        </w:rPr>
        <w:t xml:space="preserve">.S.M. </w:t>
      </w:r>
      <w:r w:rsidRPr="00B41651">
        <w:rPr>
          <w:rFonts w:asciiTheme="minorHAnsi" w:hAnsiTheme="minorHAnsi" w:cstheme="minorHAnsi"/>
          <w:iCs/>
          <w:sz w:val="26"/>
          <w:szCs w:val="26"/>
          <w14:shadow w14:blurRad="63500" w14:dist="50800" w14:dir="13500000" w14:sx="0" w14:sy="0" w14:kx="0" w14:ky="0" w14:algn="none">
            <w14:srgbClr w14:val="000000">
              <w14:alpha w14:val="50000"/>
            </w14:srgbClr>
          </w14:shadow>
        </w:rPr>
        <w:t>a aprobat Raportul privind evaluarea impactului Legii nr. 140/2022, acesta fiind comunicat Ministerului Justiţiei, Ministerului Sănătăţii şi Ministerului Muncii, Familiei, Tineretului şi Solidarităţii Sociale, pentru a fi avut în vedere în contextul în care s-a conturat necesitatea unor intervenţii pentru modificarea actelor normative care reglementează măsurile de ocrotire pentru persoanele cu dizabilităţi intelectuale şi psihosociale,  precum şi I</w:t>
      </w:r>
      <w:r w:rsidR="00B41651" w:rsidRPr="00B41651">
        <w:rPr>
          <w:rFonts w:asciiTheme="minorHAnsi" w:hAnsiTheme="minorHAnsi" w:cstheme="minorHAnsi"/>
          <w:iCs/>
          <w:sz w:val="26"/>
          <w:szCs w:val="26"/>
          <w14:shadow w14:blurRad="63500" w14:dist="50800" w14:dir="13500000" w14:sx="0" w14:sy="0" w14:kx="0" w14:ky="0" w14:algn="none">
            <w14:srgbClr w14:val="000000">
              <w14:alpha w14:val="50000"/>
            </w14:srgbClr>
          </w14:shadow>
        </w:rPr>
        <w:t xml:space="preserve">.N.M. </w:t>
      </w:r>
      <w:r w:rsidRPr="00B41651">
        <w:rPr>
          <w:rFonts w:asciiTheme="minorHAnsi" w:hAnsiTheme="minorHAnsi" w:cstheme="minorHAnsi"/>
          <w:iCs/>
          <w:sz w:val="26"/>
          <w:szCs w:val="26"/>
          <w14:shadow w14:blurRad="63500" w14:dist="50800" w14:dir="13500000" w14:sx="0" w14:sy="0" w14:kx="0" w14:ky="0" w14:algn="none">
            <w14:srgbClr w14:val="000000">
              <w14:alpha w14:val="50000"/>
            </w14:srgbClr>
          </w14:shadow>
        </w:rPr>
        <w:t>pentru a fi avut în vedere în cadrul activităţilor de formare a magistraților.</w:t>
      </w:r>
    </w:p>
    <w:p w14:paraId="0538DD5D" w14:textId="27945FDE" w:rsidR="006A4A94" w:rsidRPr="00B41651" w:rsidRDefault="006A4A94" w:rsidP="006A4A94">
      <w:pPr>
        <w:spacing w:line="276" w:lineRule="auto"/>
        <w:ind w:right="6" w:firstLine="720"/>
        <w:jc w:val="both"/>
        <w:rPr>
          <w:rFonts w:asciiTheme="minorHAnsi" w:hAnsiTheme="minorHAnsi" w:cstheme="minorHAnsi"/>
          <w:iCs/>
          <w:sz w:val="26"/>
          <w:szCs w:val="26"/>
          <w14:shadow w14:blurRad="63500" w14:dist="50800" w14:dir="13500000" w14:sx="0" w14:sy="0" w14:kx="0" w14:ky="0" w14:algn="none">
            <w14:srgbClr w14:val="000000">
              <w14:alpha w14:val="50000"/>
            </w14:srgbClr>
          </w14:shadow>
        </w:rPr>
      </w:pPr>
      <w:r w:rsidRPr="00B41651">
        <w:rPr>
          <w:rFonts w:asciiTheme="minorHAnsi" w:hAnsiTheme="minorHAnsi" w:cstheme="minorHAnsi"/>
          <w:iCs/>
          <w:sz w:val="26"/>
          <w:szCs w:val="26"/>
          <w14:shadow w14:blurRad="63500" w14:dist="50800" w14:dir="13500000" w14:sx="0" w14:sy="0" w14:kx="0" w14:ky="0" w14:algn="none">
            <w14:srgbClr w14:val="000000">
              <w14:alpha w14:val="50000"/>
            </w14:srgbClr>
          </w14:shadow>
        </w:rPr>
        <w:t>La elaborarea raportului, direcţia de specialitate a avut în vedere raportul de control al Inspecţiei Judiciare nr. 25-1018/25-1019 din data de 4 iulie 2025 cu privire la evaluarea impactului Legii nr. 140/2022,</w:t>
      </w:r>
      <w:r w:rsidR="003A40B8" w:rsidRPr="00B41651">
        <w:rPr>
          <w:rFonts w:asciiTheme="minorHAnsi" w:hAnsiTheme="minorHAnsi" w:cstheme="minorHAnsi"/>
          <w:iCs/>
          <w:sz w:val="26"/>
          <w:szCs w:val="26"/>
          <w14:shadow w14:blurRad="63500" w14:dist="50800" w14:dir="13500000" w14:sx="0" w14:sy="0" w14:kx="0" w14:ky="0" w14:algn="none">
            <w14:srgbClr w14:val="000000">
              <w14:alpha w14:val="50000"/>
            </w14:srgbClr>
          </w14:shadow>
        </w:rPr>
        <w:t xml:space="preserve"> </w:t>
      </w:r>
      <w:r w:rsidRPr="00B41651">
        <w:rPr>
          <w:rFonts w:asciiTheme="minorHAnsi" w:hAnsiTheme="minorHAnsi" w:cstheme="minorHAnsi"/>
          <w:iCs/>
          <w:sz w:val="26"/>
          <w:szCs w:val="26"/>
          <w14:shadow w14:blurRad="63500" w14:dist="50800" w14:dir="13500000" w14:sx="0" w14:sy="0" w14:kx="0" w14:ky="0" w14:algn="none">
            <w14:srgbClr w14:val="000000">
              <w14:alpha w14:val="50000"/>
            </w14:srgbClr>
          </w14:shadow>
        </w:rPr>
        <w:t>aprobat de Plenul C</w:t>
      </w:r>
      <w:r w:rsidR="00B41651" w:rsidRPr="00B41651">
        <w:rPr>
          <w:rFonts w:asciiTheme="minorHAnsi" w:hAnsiTheme="minorHAnsi" w:cstheme="minorHAnsi"/>
          <w:iCs/>
          <w:sz w:val="26"/>
          <w:szCs w:val="26"/>
          <w14:shadow w14:blurRad="63500" w14:dist="50800" w14:dir="13500000" w14:sx="0" w14:sy="0" w14:kx="0" w14:ky="0" w14:algn="none">
            <w14:srgbClr w14:val="000000">
              <w14:alpha w14:val="50000"/>
            </w14:srgbClr>
          </w14:shadow>
        </w:rPr>
        <w:t xml:space="preserve">.S.M. </w:t>
      </w:r>
      <w:r w:rsidRPr="00B41651">
        <w:rPr>
          <w:rFonts w:asciiTheme="minorHAnsi" w:hAnsiTheme="minorHAnsi" w:cstheme="minorHAnsi"/>
          <w:iCs/>
          <w:sz w:val="26"/>
          <w:szCs w:val="26"/>
          <w14:shadow w14:blurRad="63500" w14:dist="50800" w14:dir="13500000" w14:sx="0" w14:sy="0" w14:kx="0" w14:ky="0" w14:algn="none">
            <w14:srgbClr w14:val="000000">
              <w14:alpha w14:val="50000"/>
            </w14:srgbClr>
          </w14:shadow>
        </w:rPr>
        <w:t xml:space="preserve">prin Hotărârea nr. 113 din data de </w:t>
      </w:r>
      <w:r w:rsidR="00B41651" w:rsidRPr="00B41651">
        <w:rPr>
          <w:rFonts w:asciiTheme="minorHAnsi" w:hAnsiTheme="minorHAnsi" w:cstheme="minorHAnsi"/>
          <w:iCs/>
          <w:sz w:val="26"/>
          <w:szCs w:val="26"/>
          <w14:shadow w14:blurRad="63500" w14:dist="50800" w14:dir="13500000" w14:sx="0" w14:sy="0" w14:kx="0" w14:ky="0" w14:algn="none">
            <w14:srgbClr w14:val="000000">
              <w14:alpha w14:val="50000"/>
            </w14:srgbClr>
          </w14:shadow>
        </w:rPr>
        <w:t>0</w:t>
      </w:r>
      <w:r w:rsidRPr="00B41651">
        <w:rPr>
          <w:rFonts w:asciiTheme="minorHAnsi" w:hAnsiTheme="minorHAnsi" w:cstheme="minorHAnsi"/>
          <w:iCs/>
          <w:sz w:val="26"/>
          <w:szCs w:val="26"/>
          <w14:shadow w14:blurRad="63500" w14:dist="50800" w14:dir="13500000" w14:sx="0" w14:sy="0" w14:kx="0" w14:ky="0" w14:algn="none">
            <w14:srgbClr w14:val="000000">
              <w14:alpha w14:val="50000"/>
            </w14:srgbClr>
          </w14:shadow>
        </w:rPr>
        <w:t>4 septembrie 2025.</w:t>
      </w:r>
    </w:p>
    <w:p w14:paraId="7190FB3E" w14:textId="3B0B3EC3" w:rsidR="006A4A94" w:rsidRPr="00B41651" w:rsidRDefault="006A4A94" w:rsidP="006A4A94">
      <w:pPr>
        <w:spacing w:line="276" w:lineRule="auto"/>
        <w:ind w:right="6" w:firstLine="720"/>
        <w:jc w:val="both"/>
        <w:rPr>
          <w:rFonts w:asciiTheme="minorHAnsi" w:hAnsiTheme="minorHAnsi" w:cstheme="minorHAnsi"/>
          <w:iCs/>
          <w:sz w:val="26"/>
          <w:szCs w:val="26"/>
          <w14:shadow w14:blurRad="63500" w14:dist="50800" w14:dir="13500000" w14:sx="0" w14:sy="0" w14:kx="0" w14:ky="0" w14:algn="none">
            <w14:srgbClr w14:val="000000">
              <w14:alpha w14:val="50000"/>
            </w14:srgbClr>
          </w14:shadow>
        </w:rPr>
      </w:pPr>
      <w:r w:rsidRPr="00B41651">
        <w:rPr>
          <w:rFonts w:asciiTheme="minorHAnsi" w:hAnsiTheme="minorHAnsi" w:cstheme="minorHAnsi"/>
          <w:iCs/>
          <w:sz w:val="26"/>
          <w:szCs w:val="26"/>
          <w14:shadow w14:blurRad="63500" w14:dist="50800" w14:dir="13500000" w14:sx="0" w14:sy="0" w14:kx="0" w14:ky="0" w14:algn="none">
            <w14:srgbClr w14:val="000000">
              <w14:alpha w14:val="50000"/>
            </w14:srgbClr>
          </w14:shadow>
        </w:rPr>
        <w:t>De asemenea, au fost avute în vedere şi principalele dificultăţi şi disfuncţionalităţi întâlnite în practică, precum şi impactul constatat de către Consiliul Superior de Medicină Legală şi Colegiul Medicilor din România asupra corpului medical şi instanţelor de judecată prin aplicarea Legii nr. 140/2022 şi a Ordinului comun al ministrului sănătăţii nr. 3423/2022 şi al ministrului muncii şi solidarităţii sociale nr. 2128/2022 privind aprobarea metodologiei şi a raportului de evaluare medicală şi psihologică a persoanelor cu dizabilităţi intelectuale şi psihosociale în contextul dispunerii, prelungirii, înlocuirii sau ridicării măsurii de ocrotire.</w:t>
      </w:r>
    </w:p>
    <w:p w14:paraId="15E2D3BD" w14:textId="62037E25" w:rsidR="006A4A94" w:rsidRPr="00B41651" w:rsidRDefault="006A4A94" w:rsidP="006A4A94">
      <w:pPr>
        <w:spacing w:line="276" w:lineRule="auto"/>
        <w:ind w:right="6" w:firstLine="720"/>
        <w:jc w:val="both"/>
        <w:rPr>
          <w:rFonts w:asciiTheme="minorHAnsi" w:hAnsiTheme="minorHAnsi" w:cstheme="minorHAnsi"/>
          <w:iCs/>
          <w:sz w:val="26"/>
          <w:szCs w:val="26"/>
          <w14:shadow w14:blurRad="63500" w14:dist="50800" w14:dir="13500000" w14:sx="0" w14:sy="0" w14:kx="0" w14:ky="0" w14:algn="none">
            <w14:srgbClr w14:val="000000">
              <w14:alpha w14:val="50000"/>
            </w14:srgbClr>
          </w14:shadow>
        </w:rPr>
      </w:pPr>
      <w:r w:rsidRPr="00B41651">
        <w:rPr>
          <w:rFonts w:asciiTheme="minorHAnsi" w:hAnsiTheme="minorHAnsi" w:cstheme="minorHAnsi"/>
          <w:iCs/>
          <w:sz w:val="26"/>
          <w:szCs w:val="26"/>
          <w14:shadow w14:blurRad="63500" w14:dist="50800" w14:dir="13500000" w14:sx="0" w14:sy="0" w14:kx="0" w14:ky="0" w14:algn="none">
            <w14:srgbClr w14:val="000000">
              <w14:alpha w14:val="50000"/>
            </w14:srgbClr>
          </w14:shadow>
        </w:rPr>
        <w:t>În esenţă, în cuprinsul raportului sunt prezentate aspecte referitoare la monitorizarea aplicării noului sistem de sprijin şi de protecţie juridică (inventarul dosarelor în care a fost dispusă măsura punerii sub interdicţie judecătorească; situația numerică a dosarelor având ca obiect reexaminarea măsurilor de punere sub interdicție judecătorească aflate pe rolul instanțelor judecătorești; situația numerică a dosarelor având ca obiect tutelă specială/consiliere judiciară aflate pe rolul instanțelor judecătorești), principalele deficiențe și vulnerabilități constatate (spre exemplu: dificultăți în identificarea/contactarea persoanei cu privire la care se instituie măsura de protecție și/sau a persoanei ocrotitorului, respectiv comunicarea cu aceste persoane; dificultăţi în identificarea unei persoane potrivite pentru a fi desemnată în calitate de tutore sau curator; dificultăți în legătură cu efectuarea evaluărilor medicale și psihologice; dificultăţi cauzate de imposibilitatea de deplasare/refuz de prezentare a persoanei ocrotite), dar şi concluzii şi propuneri de îmbunătăţire a legislaţiei în materie.</w:t>
      </w:r>
    </w:p>
    <w:p w14:paraId="7D188E58" w14:textId="77777777" w:rsidR="00F2176C" w:rsidRPr="00F2176C" w:rsidRDefault="00F2176C" w:rsidP="009E3AD8">
      <w:pPr>
        <w:autoSpaceDE w:val="0"/>
        <w:autoSpaceDN w:val="0"/>
        <w:adjustRightInd w:val="0"/>
        <w:spacing w:line="276" w:lineRule="auto"/>
        <w:ind w:firstLine="601"/>
        <w:jc w:val="both"/>
        <w:rPr>
          <w:rFonts w:asciiTheme="minorHAnsi" w:hAnsiTheme="minorHAnsi" w:cstheme="minorHAnsi"/>
          <w:sz w:val="26"/>
          <w:szCs w:val="26"/>
        </w:rPr>
      </w:pPr>
      <w:r w:rsidRPr="00F2176C">
        <w:rPr>
          <w:rFonts w:asciiTheme="minorHAnsi" w:hAnsiTheme="minorHAnsi" w:cstheme="minorHAnsi"/>
          <w:sz w:val="26"/>
          <w:szCs w:val="26"/>
        </w:rPr>
        <w:t xml:space="preserve">Serviciul legislație şi documentare a întocmit şi note sau puncte de vedere referitoare la cereri de apărare a independenţei judecătorilor sau cereri de apărare a independenţei autorităţii judecătoreşti în ansamblul său. </w:t>
      </w:r>
    </w:p>
    <w:p w14:paraId="3219B3E4" w14:textId="1651221A" w:rsidR="00F2176C" w:rsidRPr="00F2176C" w:rsidRDefault="00F2176C" w:rsidP="009E3AD8">
      <w:pPr>
        <w:tabs>
          <w:tab w:val="left" w:pos="720"/>
        </w:tabs>
        <w:spacing w:line="276" w:lineRule="auto"/>
        <w:jc w:val="both"/>
        <w:rPr>
          <w:rFonts w:asciiTheme="minorHAnsi" w:hAnsiTheme="minorHAnsi" w:cstheme="minorHAnsi"/>
          <w:sz w:val="26"/>
          <w:szCs w:val="26"/>
        </w:rPr>
      </w:pPr>
      <w:r w:rsidRPr="00F2176C">
        <w:rPr>
          <w:rFonts w:asciiTheme="minorHAnsi" w:hAnsiTheme="minorHAnsi" w:cstheme="minorHAnsi"/>
          <w:sz w:val="26"/>
          <w:szCs w:val="26"/>
        </w:rPr>
        <w:tab/>
        <w:t>De asemenea, Serviciul legislație şi documentare a transmis atât I</w:t>
      </w:r>
      <w:r w:rsidR="00846BCB">
        <w:rPr>
          <w:rFonts w:asciiTheme="minorHAnsi" w:hAnsiTheme="minorHAnsi" w:cstheme="minorHAnsi"/>
          <w:sz w:val="26"/>
          <w:szCs w:val="26"/>
        </w:rPr>
        <w:t>.N.M.</w:t>
      </w:r>
      <w:r w:rsidRPr="00F2176C">
        <w:rPr>
          <w:rFonts w:asciiTheme="minorHAnsi" w:hAnsiTheme="minorHAnsi" w:cstheme="minorHAnsi"/>
          <w:sz w:val="26"/>
          <w:szCs w:val="26"/>
        </w:rPr>
        <w:t xml:space="preserve">, cât şi curţilor de apel şi parchetelor de pe lângă curţile de apel hotărâri pronunțate de Curtea Europeană a Drepturilor Omului în cauzele în care s-au constatat încălcări ale Convenţiei pentru apărarea </w:t>
      </w:r>
      <w:r w:rsidRPr="00F2176C">
        <w:rPr>
          <w:rFonts w:asciiTheme="minorHAnsi" w:hAnsiTheme="minorHAnsi" w:cstheme="minorHAnsi"/>
          <w:sz w:val="26"/>
          <w:szCs w:val="26"/>
        </w:rPr>
        <w:lastRenderedPageBreak/>
        <w:t xml:space="preserve">drepturilor omului şi a libertăţilor fundamentale de către </w:t>
      </w:r>
      <w:r w:rsidR="00133421">
        <w:rPr>
          <w:rFonts w:asciiTheme="minorHAnsi" w:hAnsiTheme="minorHAnsi" w:cstheme="minorHAnsi"/>
          <w:sz w:val="26"/>
          <w:szCs w:val="26"/>
        </w:rPr>
        <w:t>s</w:t>
      </w:r>
      <w:r w:rsidRPr="00F2176C">
        <w:rPr>
          <w:rFonts w:asciiTheme="minorHAnsi" w:hAnsiTheme="minorHAnsi" w:cstheme="minorHAnsi"/>
          <w:sz w:val="26"/>
          <w:szCs w:val="26"/>
        </w:rPr>
        <w:t>tatul rom</w:t>
      </w:r>
      <w:r w:rsidR="00133421">
        <w:rPr>
          <w:rFonts w:asciiTheme="minorHAnsi" w:hAnsiTheme="minorHAnsi" w:cstheme="minorHAnsi"/>
          <w:sz w:val="26"/>
          <w:szCs w:val="26"/>
        </w:rPr>
        <w:t>â</w:t>
      </w:r>
      <w:r w:rsidRPr="00F2176C">
        <w:rPr>
          <w:rFonts w:asciiTheme="minorHAnsi" w:hAnsiTheme="minorHAnsi" w:cstheme="minorHAnsi"/>
          <w:sz w:val="26"/>
          <w:szCs w:val="26"/>
        </w:rPr>
        <w:t>n, în vederea diseminării acestora în cadrul activităților de formare și pregătire profesională inițială și continuă, derulate în mod descentralizat sau organizate de I</w:t>
      </w:r>
      <w:r w:rsidR="00846BCB">
        <w:rPr>
          <w:rFonts w:asciiTheme="minorHAnsi" w:hAnsiTheme="minorHAnsi" w:cstheme="minorHAnsi"/>
          <w:sz w:val="26"/>
          <w:szCs w:val="26"/>
        </w:rPr>
        <w:t>.N.M.</w:t>
      </w:r>
      <w:r w:rsidRPr="00F2176C">
        <w:rPr>
          <w:rFonts w:asciiTheme="minorHAnsi" w:hAnsiTheme="minorHAnsi" w:cstheme="minorHAnsi"/>
          <w:sz w:val="26"/>
          <w:szCs w:val="26"/>
        </w:rPr>
        <w:t>, respectiv în cadrul întâlnirilor profesionale periodice.</w:t>
      </w:r>
    </w:p>
    <w:p w14:paraId="1F16F74A" w14:textId="16CC5B55" w:rsidR="00F2176C" w:rsidRPr="00F2176C" w:rsidRDefault="00F2176C" w:rsidP="00BA24D7">
      <w:pPr>
        <w:autoSpaceDE w:val="0"/>
        <w:autoSpaceDN w:val="0"/>
        <w:adjustRightInd w:val="0"/>
        <w:spacing w:line="276" w:lineRule="auto"/>
        <w:ind w:firstLine="708"/>
        <w:jc w:val="both"/>
        <w:rPr>
          <w:rFonts w:asciiTheme="minorHAnsi" w:hAnsiTheme="minorHAnsi" w:cstheme="minorHAnsi"/>
          <w:sz w:val="26"/>
          <w:szCs w:val="26"/>
        </w:rPr>
      </w:pPr>
      <w:r w:rsidRPr="00F2176C">
        <w:rPr>
          <w:rFonts w:asciiTheme="minorHAnsi" w:hAnsiTheme="minorHAnsi" w:cstheme="minorHAnsi"/>
          <w:sz w:val="26"/>
          <w:szCs w:val="26"/>
        </w:rPr>
        <w:t>Nu în ultimul rând</w:t>
      </w:r>
      <w:r w:rsidR="00BA24D7">
        <w:rPr>
          <w:rFonts w:asciiTheme="minorHAnsi" w:hAnsiTheme="minorHAnsi" w:cstheme="minorHAnsi"/>
          <w:sz w:val="26"/>
          <w:szCs w:val="26"/>
        </w:rPr>
        <w:t>,</w:t>
      </w:r>
      <w:r w:rsidRPr="00F2176C">
        <w:rPr>
          <w:rFonts w:asciiTheme="minorHAnsi" w:hAnsiTheme="minorHAnsi" w:cstheme="minorHAnsi"/>
          <w:sz w:val="26"/>
          <w:szCs w:val="26"/>
        </w:rPr>
        <w:t xml:space="preserve"> Serviciul legislaţie şi documentare a întocmit puncte de vedere în legătură cu incompatibilitățile şi interdicțiile funcției de judecător şi procuror, la solicitarea acestora.</w:t>
      </w:r>
    </w:p>
    <w:p w14:paraId="4F1993F8" w14:textId="48EB9EB7" w:rsidR="00F2176C" w:rsidRPr="00F2176C" w:rsidRDefault="00F2176C" w:rsidP="009E3AD8">
      <w:pPr>
        <w:autoSpaceDE w:val="0"/>
        <w:autoSpaceDN w:val="0"/>
        <w:adjustRightInd w:val="0"/>
        <w:spacing w:line="276" w:lineRule="auto"/>
        <w:ind w:firstLine="709"/>
        <w:jc w:val="both"/>
        <w:rPr>
          <w:rFonts w:asciiTheme="minorHAnsi" w:hAnsiTheme="minorHAnsi" w:cstheme="minorHAnsi"/>
          <w:sz w:val="26"/>
          <w:szCs w:val="26"/>
        </w:rPr>
      </w:pPr>
      <w:r w:rsidRPr="00F2176C">
        <w:rPr>
          <w:rFonts w:asciiTheme="minorHAnsi" w:hAnsiTheme="minorHAnsi" w:cstheme="minorHAnsi"/>
          <w:sz w:val="26"/>
          <w:szCs w:val="26"/>
        </w:rPr>
        <w:t>Conform prevederilor art. 95 alin. (2) lit. f) din Regulamentul de organizare și funcționare a Consiliului Superior al Magistraturii, aprobat prin Hotărârea Plenului C</w:t>
      </w:r>
      <w:r w:rsidR="00435204">
        <w:rPr>
          <w:rFonts w:asciiTheme="minorHAnsi" w:hAnsiTheme="minorHAnsi" w:cstheme="minorHAnsi"/>
          <w:sz w:val="26"/>
          <w:szCs w:val="26"/>
        </w:rPr>
        <w:t xml:space="preserve">.S.M. </w:t>
      </w:r>
      <w:r w:rsidRPr="00F2176C">
        <w:rPr>
          <w:rFonts w:asciiTheme="minorHAnsi" w:hAnsiTheme="minorHAnsi" w:cstheme="minorHAnsi"/>
          <w:sz w:val="26"/>
          <w:szCs w:val="26"/>
        </w:rPr>
        <w:t xml:space="preserve">nr. 122/06.07.2023, una dintre atribuțiile </w:t>
      </w:r>
      <w:r w:rsidRPr="00BA24D7">
        <w:rPr>
          <w:rFonts w:asciiTheme="minorHAnsi" w:hAnsiTheme="minorHAnsi" w:cstheme="minorHAnsi"/>
          <w:iCs/>
          <w:sz w:val="26"/>
          <w:szCs w:val="26"/>
        </w:rPr>
        <w:t>Serviciului contencios</w:t>
      </w:r>
      <w:r w:rsidRPr="00F2176C">
        <w:rPr>
          <w:rFonts w:asciiTheme="minorHAnsi" w:hAnsiTheme="minorHAnsi" w:cstheme="minorHAnsi"/>
          <w:sz w:val="26"/>
          <w:szCs w:val="26"/>
        </w:rPr>
        <w:t xml:space="preserve"> este aceea de a întocmi lucrările referitoare la plângerile prealabile </w:t>
      </w:r>
      <w:r w:rsidRPr="00F2176C">
        <w:rPr>
          <w:rFonts w:asciiTheme="minorHAnsi" w:hAnsiTheme="minorHAnsi" w:cstheme="minorHAnsi"/>
          <w:sz w:val="26"/>
          <w:szCs w:val="26"/>
          <w:shd w:val="clear" w:color="auto" w:fill="FFFFFF"/>
        </w:rPr>
        <w:t>formulate împotriva hotărârilor secțiilor de către alte persoane decât judecătorii sau procurorii vizați de acestea şi la cele formulate împotriva hotărârilor Plenului</w:t>
      </w:r>
      <w:r w:rsidR="00435204">
        <w:rPr>
          <w:rFonts w:asciiTheme="minorHAnsi" w:hAnsiTheme="minorHAnsi" w:cstheme="minorHAnsi"/>
          <w:sz w:val="26"/>
          <w:szCs w:val="26"/>
          <w:shd w:val="clear" w:color="auto" w:fill="FFFFFF"/>
        </w:rPr>
        <w:t xml:space="preserve"> C.S.M.</w:t>
      </w:r>
    </w:p>
    <w:p w14:paraId="234E72E1" w14:textId="0D15060A" w:rsidR="00F2176C" w:rsidRPr="00F2176C" w:rsidRDefault="00F2176C" w:rsidP="009E3AD8">
      <w:pPr>
        <w:autoSpaceDE w:val="0"/>
        <w:autoSpaceDN w:val="0"/>
        <w:adjustRightInd w:val="0"/>
        <w:spacing w:line="276" w:lineRule="auto"/>
        <w:ind w:firstLine="709"/>
        <w:jc w:val="both"/>
        <w:rPr>
          <w:rFonts w:asciiTheme="minorHAnsi" w:hAnsiTheme="minorHAnsi" w:cstheme="minorHAnsi"/>
          <w:sz w:val="26"/>
          <w:szCs w:val="26"/>
        </w:rPr>
      </w:pPr>
      <w:r w:rsidRPr="00F2176C">
        <w:rPr>
          <w:rFonts w:asciiTheme="minorHAnsi" w:hAnsiTheme="minorHAnsi" w:cstheme="minorHAnsi"/>
          <w:bCs/>
          <w:sz w:val="26"/>
          <w:szCs w:val="26"/>
        </w:rPr>
        <w:t xml:space="preserve">De asemenea, potrivit </w:t>
      </w:r>
      <w:r w:rsidRPr="00F2176C">
        <w:rPr>
          <w:rFonts w:asciiTheme="minorHAnsi" w:hAnsiTheme="minorHAnsi" w:cstheme="minorHAnsi"/>
          <w:sz w:val="26"/>
          <w:szCs w:val="26"/>
        </w:rPr>
        <w:t xml:space="preserve">prevederilor art. 95 alin. (2) lit. a) - e) din Regulamentul de organizare şi funcţionare a Consiliului Superior al Magistraturii, Serviciul contencios </w:t>
      </w:r>
      <w:r w:rsidRPr="00F2176C">
        <w:rPr>
          <w:rFonts w:asciiTheme="minorHAnsi" w:hAnsiTheme="minorHAnsi" w:cstheme="minorHAnsi"/>
          <w:sz w:val="26"/>
          <w:szCs w:val="26"/>
          <w:shd w:val="clear" w:color="auto" w:fill="FFFFFF"/>
        </w:rPr>
        <w:t>avizează din punct de vedere al legalităţii orice măsură de natură să angajeze răspunderea patrimonială a ordonatorului principal de credite şi, dacă este cazul, formulează puncte de vedere pe aceste aspecte</w:t>
      </w:r>
      <w:r w:rsidRPr="00F2176C">
        <w:rPr>
          <w:rFonts w:asciiTheme="minorHAnsi" w:hAnsiTheme="minorHAnsi" w:cstheme="minorHAnsi"/>
          <w:sz w:val="26"/>
          <w:szCs w:val="26"/>
        </w:rPr>
        <w:t xml:space="preserve">, </w:t>
      </w:r>
      <w:r w:rsidRPr="00F2176C">
        <w:rPr>
          <w:rFonts w:asciiTheme="minorHAnsi" w:hAnsiTheme="minorHAnsi" w:cstheme="minorHAnsi"/>
          <w:sz w:val="26"/>
          <w:szCs w:val="26"/>
          <w:shd w:val="clear" w:color="auto" w:fill="FFFFFF"/>
        </w:rPr>
        <w:t xml:space="preserve">avizează din punct de vedere al legalităţii orice măsură care ar putea aduce atingere drepturilor Consiliului, </w:t>
      </w:r>
      <w:r w:rsidRPr="00F2176C">
        <w:rPr>
          <w:rFonts w:asciiTheme="minorHAnsi" w:hAnsiTheme="minorHAnsi" w:cstheme="minorHAnsi"/>
          <w:sz w:val="26"/>
          <w:szCs w:val="26"/>
          <w:bdr w:val="none" w:sz="0" w:space="0" w:color="auto" w:frame="1"/>
          <w:shd w:val="clear" w:color="auto" w:fill="FFFFFF"/>
        </w:rPr>
        <w:t>avizează contractele încheiate de Consiliu în calitate de ordonator principal de credite, referatul de necesitate care se întocmeşte în conformitate cu </w:t>
      </w:r>
      <w:r w:rsidRPr="00F2176C">
        <w:rPr>
          <w:rFonts w:asciiTheme="minorHAnsi" w:hAnsiTheme="minorHAnsi" w:cstheme="minorHAnsi"/>
          <w:sz w:val="26"/>
        </w:rPr>
        <w:t>H</w:t>
      </w:r>
      <w:r w:rsidR="00435204">
        <w:rPr>
          <w:rFonts w:asciiTheme="minorHAnsi" w:hAnsiTheme="minorHAnsi" w:cstheme="minorHAnsi"/>
          <w:sz w:val="26"/>
        </w:rPr>
        <w:t xml:space="preserve">.G. </w:t>
      </w:r>
      <w:r w:rsidRPr="00F2176C">
        <w:rPr>
          <w:rFonts w:asciiTheme="minorHAnsi" w:hAnsiTheme="minorHAnsi" w:cstheme="minorHAnsi"/>
          <w:sz w:val="26"/>
          <w:szCs w:val="26"/>
          <w:bdr w:val="none" w:sz="0" w:space="0" w:color="auto" w:frame="1"/>
          <w:shd w:val="clear" w:color="auto" w:fill="FFFFFF"/>
        </w:rPr>
        <w:t xml:space="preserve">nr. 395/2016, strategia de contractare privind achiziţia de servicii, precum şi contractele de achiziţie publică/acordul-cadru. Totodată, același serviciu </w:t>
      </w:r>
      <w:r w:rsidRPr="00F2176C">
        <w:rPr>
          <w:rFonts w:asciiTheme="minorHAnsi" w:hAnsiTheme="minorHAnsi" w:cstheme="minorHAnsi"/>
          <w:sz w:val="26"/>
          <w:szCs w:val="26"/>
          <w:shd w:val="clear" w:color="auto" w:fill="FFFFFF"/>
        </w:rPr>
        <w:t>avizează, la solicitarea unităţilor aflate în coordonarea Consiliului, contractele încheiate de acestea</w:t>
      </w:r>
      <w:r w:rsidRPr="00F2176C">
        <w:rPr>
          <w:rFonts w:asciiTheme="minorHAnsi" w:hAnsiTheme="minorHAnsi" w:cstheme="minorHAnsi"/>
          <w:sz w:val="26"/>
          <w:szCs w:val="26"/>
        </w:rPr>
        <w:t>.</w:t>
      </w:r>
    </w:p>
    <w:p w14:paraId="1399D6CA" w14:textId="77777777" w:rsidR="00F2176C" w:rsidRPr="00F2176C" w:rsidRDefault="00F2176C" w:rsidP="009E3AD8">
      <w:pPr>
        <w:autoSpaceDE w:val="0"/>
        <w:autoSpaceDN w:val="0"/>
        <w:adjustRightInd w:val="0"/>
        <w:spacing w:line="276" w:lineRule="auto"/>
        <w:ind w:firstLine="709"/>
        <w:jc w:val="both"/>
        <w:rPr>
          <w:rFonts w:asciiTheme="minorHAnsi" w:hAnsiTheme="minorHAnsi" w:cstheme="minorHAnsi"/>
          <w:sz w:val="26"/>
          <w:szCs w:val="26"/>
        </w:rPr>
      </w:pPr>
      <w:r w:rsidRPr="00F2176C">
        <w:rPr>
          <w:rFonts w:asciiTheme="minorHAnsi" w:hAnsiTheme="minorHAnsi" w:cstheme="minorHAnsi"/>
          <w:sz w:val="26"/>
          <w:szCs w:val="26"/>
        </w:rPr>
        <w:t>Conform prevederilor art. 95 alin. (2) lit. g) din Regulamentul de organizare și funcționare a Consiliului Superior al Magistraturii, Serviciul contencios reprezintă Consiliul şi apără drepturile şi interesele acestuia în fața instanţelor judecătoreşti şi a altor organe de jurisdicție, formulând, în acest sens, acțiuni, cereri, întâmpinări şi alte lucrări.</w:t>
      </w:r>
    </w:p>
    <w:p w14:paraId="0FD1CDF1" w14:textId="3DCB452C" w:rsidR="00F2176C" w:rsidRPr="00F2176C" w:rsidRDefault="00F2176C" w:rsidP="009E3AD8">
      <w:pPr>
        <w:autoSpaceDE w:val="0"/>
        <w:autoSpaceDN w:val="0"/>
        <w:adjustRightInd w:val="0"/>
        <w:spacing w:line="276" w:lineRule="auto"/>
        <w:ind w:firstLine="709"/>
        <w:jc w:val="both"/>
        <w:rPr>
          <w:rFonts w:asciiTheme="minorHAnsi" w:hAnsiTheme="minorHAnsi" w:cstheme="minorHAnsi"/>
          <w:bCs/>
          <w:sz w:val="26"/>
          <w:szCs w:val="26"/>
        </w:rPr>
      </w:pPr>
      <w:r w:rsidRPr="00F2176C">
        <w:rPr>
          <w:rFonts w:asciiTheme="minorHAnsi" w:hAnsiTheme="minorHAnsi" w:cstheme="minorHAnsi"/>
          <w:bCs/>
          <w:sz w:val="26"/>
          <w:szCs w:val="26"/>
        </w:rPr>
        <w:t>Ca şi în anii anteriori, dintre litigiile în care C</w:t>
      </w:r>
      <w:r w:rsidR="00435204">
        <w:rPr>
          <w:rFonts w:asciiTheme="minorHAnsi" w:hAnsiTheme="minorHAnsi" w:cstheme="minorHAnsi"/>
          <w:bCs/>
          <w:sz w:val="26"/>
          <w:szCs w:val="26"/>
        </w:rPr>
        <w:t xml:space="preserve">.S.M. </w:t>
      </w:r>
      <w:r w:rsidRPr="00F2176C">
        <w:rPr>
          <w:rFonts w:asciiTheme="minorHAnsi" w:hAnsiTheme="minorHAnsi" w:cstheme="minorHAnsi"/>
          <w:bCs/>
          <w:sz w:val="26"/>
          <w:szCs w:val="26"/>
        </w:rPr>
        <w:t>a fost parte în cursul anului 2025, un loc important l-au ocupat acţiunile formulate de judecători şi procurori, în temeiul art. 29 alin. (6) din Legea nr. 305/2022, precum şi în temeiul Legii nr. 554/2004 privind contenciosul administrativ, împotriva hotărârilor adoptate de Plen şi de Secţiile corespunzătoare ale Consiliului privind cariera şi drepturile judecătorilor şi procurorilor. În acest sens, pot fi indicate cu titlu de exemplu contestațiile formulate împotriva hotărârilor privind transferul judecătorilor și procurorilor, numirea din funcția de judecător în funcția de procuror sau viceversa, suspendarea din funcția de judecător sau procuror, acţiunile în anularea hotărârilor vizând organizarea şi desfăşurarea diferitelor concursuri (de admitere la Institutul Național al Magistraturii sau în magistratură, de promovare în funcţii de execuţie, de numire în funcţii de conducere).</w:t>
      </w:r>
    </w:p>
    <w:p w14:paraId="7C58F1EE" w14:textId="78240F2B" w:rsidR="00F2176C" w:rsidRPr="00B41651" w:rsidRDefault="00F2176C" w:rsidP="00BA24D7">
      <w:pPr>
        <w:autoSpaceDE w:val="0"/>
        <w:autoSpaceDN w:val="0"/>
        <w:adjustRightInd w:val="0"/>
        <w:spacing w:line="276" w:lineRule="auto"/>
        <w:ind w:firstLine="709"/>
        <w:jc w:val="both"/>
        <w:rPr>
          <w:rFonts w:asciiTheme="minorHAnsi" w:hAnsiTheme="minorHAnsi" w:cstheme="minorHAnsi"/>
          <w:bCs/>
          <w:sz w:val="26"/>
          <w:szCs w:val="26"/>
        </w:rPr>
      </w:pPr>
      <w:r w:rsidRPr="00B41651">
        <w:rPr>
          <w:rFonts w:asciiTheme="minorHAnsi" w:hAnsiTheme="minorHAnsi" w:cstheme="minorHAnsi"/>
          <w:bCs/>
          <w:sz w:val="26"/>
          <w:szCs w:val="26"/>
        </w:rPr>
        <w:t xml:space="preserve">Astfel, până la data de </w:t>
      </w:r>
      <w:r w:rsidR="00882F95" w:rsidRPr="00B41651">
        <w:rPr>
          <w:rFonts w:asciiTheme="minorHAnsi" w:hAnsiTheme="minorHAnsi" w:cstheme="minorHAnsi"/>
          <w:bCs/>
          <w:sz w:val="26"/>
          <w:szCs w:val="26"/>
        </w:rPr>
        <w:t>31 decembrie</w:t>
      </w:r>
      <w:r w:rsidRPr="00B41651">
        <w:rPr>
          <w:rFonts w:asciiTheme="minorHAnsi" w:hAnsiTheme="minorHAnsi" w:cstheme="minorHAnsi"/>
          <w:bCs/>
          <w:sz w:val="26"/>
          <w:szCs w:val="26"/>
        </w:rPr>
        <w:t xml:space="preserve"> 2025 a</w:t>
      </w:r>
      <w:r w:rsidR="00BA24D7" w:rsidRPr="00B41651">
        <w:rPr>
          <w:rFonts w:asciiTheme="minorHAnsi" w:hAnsiTheme="minorHAnsi" w:cstheme="minorHAnsi"/>
          <w:bCs/>
          <w:sz w:val="26"/>
          <w:szCs w:val="26"/>
        </w:rPr>
        <w:t>u</w:t>
      </w:r>
      <w:r w:rsidRPr="00B41651">
        <w:rPr>
          <w:rFonts w:asciiTheme="minorHAnsi" w:hAnsiTheme="minorHAnsi" w:cstheme="minorHAnsi"/>
          <w:bCs/>
          <w:sz w:val="26"/>
          <w:szCs w:val="26"/>
        </w:rPr>
        <w:t xml:space="preserve"> fost înregistrat</w:t>
      </w:r>
      <w:r w:rsidR="00BA24D7" w:rsidRPr="00B41651">
        <w:rPr>
          <w:rFonts w:asciiTheme="minorHAnsi" w:hAnsiTheme="minorHAnsi" w:cstheme="minorHAnsi"/>
          <w:bCs/>
          <w:sz w:val="26"/>
          <w:szCs w:val="26"/>
        </w:rPr>
        <w:t xml:space="preserve">e </w:t>
      </w:r>
      <w:r w:rsidR="00882F95" w:rsidRPr="00B41651">
        <w:rPr>
          <w:rFonts w:asciiTheme="minorHAnsi" w:hAnsiTheme="minorHAnsi" w:cstheme="minorHAnsi"/>
          <w:bCs/>
          <w:sz w:val="26"/>
          <w:szCs w:val="26"/>
        </w:rPr>
        <w:t>112</w:t>
      </w:r>
      <w:r w:rsidRPr="00B41651">
        <w:rPr>
          <w:rFonts w:asciiTheme="minorHAnsi" w:hAnsiTheme="minorHAnsi" w:cstheme="minorHAnsi"/>
          <w:bCs/>
          <w:sz w:val="26"/>
          <w:szCs w:val="26"/>
        </w:rPr>
        <w:t xml:space="preserve"> acţiuni având ca obiect astfel de hotărâri</w:t>
      </w:r>
      <w:r w:rsidR="00BA24D7" w:rsidRPr="00B41651">
        <w:rPr>
          <w:rFonts w:asciiTheme="minorHAnsi" w:hAnsiTheme="minorHAnsi" w:cstheme="minorHAnsi"/>
          <w:bCs/>
          <w:sz w:val="26"/>
          <w:szCs w:val="26"/>
        </w:rPr>
        <w:t xml:space="preserve">, iar în total până la aceeaşi dată de referinţă au fost înregistrate </w:t>
      </w:r>
      <w:r w:rsidR="00DE2B96" w:rsidRPr="00B41651">
        <w:rPr>
          <w:rFonts w:asciiTheme="minorHAnsi" w:hAnsiTheme="minorHAnsi" w:cstheme="minorHAnsi"/>
          <w:bCs/>
          <w:sz w:val="26"/>
          <w:szCs w:val="26"/>
        </w:rPr>
        <w:t>280</w:t>
      </w:r>
      <w:r w:rsidRPr="00B41651">
        <w:rPr>
          <w:rFonts w:asciiTheme="minorHAnsi" w:hAnsiTheme="minorHAnsi" w:cstheme="minorHAnsi"/>
          <w:bCs/>
          <w:sz w:val="26"/>
          <w:szCs w:val="26"/>
        </w:rPr>
        <w:t xml:space="preserve"> </w:t>
      </w:r>
      <w:r w:rsidR="00F0131A" w:rsidRPr="00B41651">
        <w:rPr>
          <w:rFonts w:asciiTheme="minorHAnsi" w:hAnsiTheme="minorHAnsi" w:cstheme="minorHAnsi"/>
          <w:bCs/>
          <w:sz w:val="26"/>
          <w:szCs w:val="26"/>
        </w:rPr>
        <w:t xml:space="preserve">de </w:t>
      </w:r>
      <w:r w:rsidRPr="00B41651">
        <w:rPr>
          <w:rFonts w:asciiTheme="minorHAnsi" w:hAnsiTheme="minorHAnsi" w:cstheme="minorHAnsi"/>
          <w:bCs/>
          <w:sz w:val="26"/>
          <w:szCs w:val="26"/>
        </w:rPr>
        <w:t>cauze noi în care C</w:t>
      </w:r>
      <w:r w:rsidR="00435204" w:rsidRPr="00B41651">
        <w:rPr>
          <w:rFonts w:asciiTheme="minorHAnsi" w:hAnsiTheme="minorHAnsi" w:cstheme="minorHAnsi"/>
          <w:bCs/>
          <w:sz w:val="26"/>
          <w:szCs w:val="26"/>
        </w:rPr>
        <w:t xml:space="preserve">.S.M. </w:t>
      </w:r>
      <w:r w:rsidRPr="00B41651">
        <w:rPr>
          <w:rFonts w:asciiTheme="minorHAnsi" w:hAnsiTheme="minorHAnsi" w:cstheme="minorHAnsi"/>
          <w:bCs/>
          <w:sz w:val="26"/>
          <w:szCs w:val="26"/>
        </w:rPr>
        <w:t xml:space="preserve">a figurat ca parte, la care se adaugă un stoc de 542 </w:t>
      </w:r>
      <w:r w:rsidR="003E3E6D" w:rsidRPr="00B41651">
        <w:rPr>
          <w:rFonts w:asciiTheme="minorHAnsi" w:hAnsiTheme="minorHAnsi" w:cstheme="minorHAnsi"/>
          <w:bCs/>
          <w:sz w:val="26"/>
          <w:szCs w:val="26"/>
        </w:rPr>
        <w:t xml:space="preserve">de </w:t>
      </w:r>
      <w:r w:rsidRPr="00B41651">
        <w:rPr>
          <w:rFonts w:asciiTheme="minorHAnsi" w:hAnsiTheme="minorHAnsi" w:cstheme="minorHAnsi"/>
          <w:bCs/>
          <w:sz w:val="26"/>
          <w:szCs w:val="26"/>
        </w:rPr>
        <w:t>dosare rămase nesoluționate din anii anteriori (2006 - 2024).</w:t>
      </w:r>
    </w:p>
    <w:p w14:paraId="7B462C6C" w14:textId="4BF26129" w:rsidR="00F2176C" w:rsidRPr="00B41651" w:rsidRDefault="00F2176C" w:rsidP="009E3AD8">
      <w:pPr>
        <w:autoSpaceDE w:val="0"/>
        <w:autoSpaceDN w:val="0"/>
        <w:adjustRightInd w:val="0"/>
        <w:spacing w:line="276" w:lineRule="auto"/>
        <w:ind w:firstLine="709"/>
        <w:jc w:val="both"/>
        <w:rPr>
          <w:rFonts w:asciiTheme="minorHAnsi" w:hAnsiTheme="minorHAnsi" w:cstheme="minorHAnsi"/>
          <w:bCs/>
          <w:sz w:val="26"/>
          <w:szCs w:val="26"/>
        </w:rPr>
      </w:pPr>
      <w:r w:rsidRPr="00B41651">
        <w:rPr>
          <w:rFonts w:asciiTheme="minorHAnsi" w:hAnsiTheme="minorHAnsi" w:cstheme="minorHAnsi"/>
          <w:bCs/>
          <w:sz w:val="26"/>
          <w:szCs w:val="26"/>
        </w:rPr>
        <w:t xml:space="preserve">În anul curent, din totalul de </w:t>
      </w:r>
      <w:r w:rsidR="00F67DB3" w:rsidRPr="00B41651">
        <w:rPr>
          <w:rFonts w:asciiTheme="minorHAnsi" w:hAnsiTheme="minorHAnsi" w:cstheme="minorHAnsi"/>
          <w:bCs/>
          <w:sz w:val="26"/>
          <w:szCs w:val="26"/>
        </w:rPr>
        <w:t>822</w:t>
      </w:r>
      <w:r w:rsidR="003E3E6D" w:rsidRPr="00B41651">
        <w:rPr>
          <w:rFonts w:asciiTheme="minorHAnsi" w:hAnsiTheme="minorHAnsi" w:cstheme="minorHAnsi"/>
          <w:bCs/>
          <w:sz w:val="26"/>
          <w:szCs w:val="26"/>
        </w:rPr>
        <w:t xml:space="preserve"> de</w:t>
      </w:r>
      <w:r w:rsidRPr="00B41651">
        <w:rPr>
          <w:rFonts w:asciiTheme="minorHAnsi" w:hAnsiTheme="minorHAnsi" w:cstheme="minorHAnsi"/>
          <w:bCs/>
          <w:sz w:val="26"/>
          <w:szCs w:val="26"/>
        </w:rPr>
        <w:t xml:space="preserve"> cauze rulate, </w:t>
      </w:r>
      <w:r w:rsidR="00F67DB3" w:rsidRPr="00B41651">
        <w:rPr>
          <w:rFonts w:asciiTheme="minorHAnsi" w:hAnsiTheme="minorHAnsi" w:cstheme="minorHAnsi"/>
          <w:bCs/>
          <w:sz w:val="26"/>
          <w:szCs w:val="26"/>
        </w:rPr>
        <w:t>25</w:t>
      </w:r>
      <w:r w:rsidRPr="00B41651">
        <w:rPr>
          <w:rFonts w:asciiTheme="minorHAnsi" w:hAnsiTheme="minorHAnsi" w:cstheme="minorHAnsi"/>
          <w:bCs/>
          <w:sz w:val="26"/>
          <w:szCs w:val="26"/>
        </w:rPr>
        <w:t xml:space="preserve"> </w:t>
      </w:r>
      <w:r w:rsidR="001F56F6" w:rsidRPr="00B41651">
        <w:rPr>
          <w:rFonts w:asciiTheme="minorHAnsi" w:hAnsiTheme="minorHAnsi" w:cstheme="minorHAnsi"/>
          <w:bCs/>
          <w:sz w:val="26"/>
          <w:szCs w:val="26"/>
        </w:rPr>
        <w:t xml:space="preserve">de </w:t>
      </w:r>
      <w:r w:rsidRPr="00B41651">
        <w:rPr>
          <w:rFonts w:asciiTheme="minorHAnsi" w:hAnsiTheme="minorHAnsi" w:cstheme="minorHAnsi"/>
          <w:bCs/>
          <w:sz w:val="26"/>
          <w:szCs w:val="26"/>
        </w:rPr>
        <w:t xml:space="preserve">acţiuni au fost admise, </w:t>
      </w:r>
      <w:r w:rsidR="00F67DB3" w:rsidRPr="00B41651">
        <w:rPr>
          <w:rFonts w:asciiTheme="minorHAnsi" w:hAnsiTheme="minorHAnsi" w:cstheme="minorHAnsi"/>
          <w:bCs/>
          <w:sz w:val="26"/>
          <w:szCs w:val="26"/>
        </w:rPr>
        <w:t>240</w:t>
      </w:r>
      <w:r w:rsidRPr="00B41651">
        <w:rPr>
          <w:rFonts w:asciiTheme="minorHAnsi" w:hAnsiTheme="minorHAnsi" w:cstheme="minorHAnsi"/>
          <w:bCs/>
          <w:sz w:val="26"/>
          <w:szCs w:val="26"/>
        </w:rPr>
        <w:t xml:space="preserve"> au fost respinse, </w:t>
      </w:r>
      <w:r w:rsidR="00F67DB3" w:rsidRPr="00B41651">
        <w:rPr>
          <w:rFonts w:asciiTheme="minorHAnsi" w:hAnsiTheme="minorHAnsi" w:cstheme="minorHAnsi"/>
          <w:bCs/>
          <w:sz w:val="26"/>
          <w:szCs w:val="26"/>
        </w:rPr>
        <w:t>69</w:t>
      </w:r>
      <w:r w:rsidRPr="00B41651">
        <w:rPr>
          <w:rFonts w:asciiTheme="minorHAnsi" w:hAnsiTheme="minorHAnsi" w:cstheme="minorHAnsi"/>
          <w:bCs/>
          <w:sz w:val="26"/>
          <w:szCs w:val="26"/>
        </w:rPr>
        <w:t xml:space="preserve"> au fost suspendate, </w:t>
      </w:r>
      <w:r w:rsidR="00F67DB3" w:rsidRPr="00B41651">
        <w:rPr>
          <w:rFonts w:asciiTheme="minorHAnsi" w:hAnsiTheme="minorHAnsi" w:cstheme="minorHAnsi"/>
          <w:bCs/>
          <w:sz w:val="26"/>
          <w:szCs w:val="26"/>
        </w:rPr>
        <w:t>23</w:t>
      </w:r>
      <w:r w:rsidRPr="00B41651">
        <w:rPr>
          <w:rFonts w:asciiTheme="minorHAnsi" w:hAnsiTheme="minorHAnsi" w:cstheme="minorHAnsi"/>
          <w:bCs/>
          <w:sz w:val="26"/>
          <w:szCs w:val="26"/>
        </w:rPr>
        <w:t xml:space="preserve"> au fost perimate şi în 1</w:t>
      </w:r>
      <w:r w:rsidR="00F67DB3" w:rsidRPr="00B41651">
        <w:rPr>
          <w:rFonts w:asciiTheme="minorHAnsi" w:hAnsiTheme="minorHAnsi" w:cstheme="minorHAnsi"/>
          <w:bCs/>
          <w:sz w:val="26"/>
          <w:szCs w:val="26"/>
        </w:rPr>
        <w:t>2</w:t>
      </w:r>
      <w:r w:rsidRPr="00B41651">
        <w:rPr>
          <w:rFonts w:asciiTheme="minorHAnsi" w:hAnsiTheme="minorHAnsi" w:cstheme="minorHAnsi"/>
          <w:bCs/>
          <w:sz w:val="26"/>
          <w:szCs w:val="26"/>
        </w:rPr>
        <w:t xml:space="preserve"> cauze s-au înregistrat cereri de renunţare la judecată, rămânând astfel</w:t>
      </w:r>
      <w:r w:rsidR="00BA24D7" w:rsidRPr="00B41651">
        <w:rPr>
          <w:rFonts w:asciiTheme="minorHAnsi" w:hAnsiTheme="minorHAnsi" w:cstheme="minorHAnsi"/>
          <w:bCs/>
          <w:sz w:val="26"/>
          <w:szCs w:val="26"/>
        </w:rPr>
        <w:t>,</w:t>
      </w:r>
      <w:r w:rsidRPr="00B41651">
        <w:rPr>
          <w:rFonts w:asciiTheme="minorHAnsi" w:hAnsiTheme="minorHAnsi" w:cstheme="minorHAnsi"/>
          <w:bCs/>
          <w:sz w:val="26"/>
          <w:szCs w:val="26"/>
        </w:rPr>
        <w:t xml:space="preserve"> la data de </w:t>
      </w:r>
      <w:r w:rsidR="00DE2B96" w:rsidRPr="00B41651">
        <w:rPr>
          <w:rFonts w:asciiTheme="minorHAnsi" w:hAnsiTheme="minorHAnsi" w:cstheme="minorHAnsi"/>
          <w:bCs/>
          <w:sz w:val="26"/>
          <w:szCs w:val="26"/>
        </w:rPr>
        <w:t>31 decembrie</w:t>
      </w:r>
      <w:r w:rsidRPr="00B41651">
        <w:rPr>
          <w:rFonts w:asciiTheme="minorHAnsi" w:hAnsiTheme="minorHAnsi" w:cstheme="minorHAnsi"/>
          <w:bCs/>
          <w:sz w:val="26"/>
          <w:szCs w:val="26"/>
        </w:rPr>
        <w:t xml:space="preserve"> 2025, un număr de </w:t>
      </w:r>
      <w:r w:rsidR="00DE2B96" w:rsidRPr="00B41651">
        <w:rPr>
          <w:rFonts w:asciiTheme="minorHAnsi" w:hAnsiTheme="minorHAnsi" w:cstheme="minorHAnsi"/>
          <w:bCs/>
          <w:sz w:val="26"/>
          <w:szCs w:val="26"/>
        </w:rPr>
        <w:t>522</w:t>
      </w:r>
      <w:r w:rsidRPr="00B41651">
        <w:rPr>
          <w:rFonts w:asciiTheme="minorHAnsi" w:hAnsiTheme="minorHAnsi" w:cstheme="minorHAnsi"/>
          <w:bCs/>
          <w:sz w:val="26"/>
          <w:szCs w:val="26"/>
        </w:rPr>
        <w:t xml:space="preserve"> </w:t>
      </w:r>
      <w:r w:rsidR="001F56F6" w:rsidRPr="00B41651">
        <w:rPr>
          <w:rFonts w:asciiTheme="minorHAnsi" w:hAnsiTheme="minorHAnsi" w:cstheme="minorHAnsi"/>
          <w:bCs/>
          <w:sz w:val="26"/>
          <w:szCs w:val="26"/>
        </w:rPr>
        <w:t xml:space="preserve">de </w:t>
      </w:r>
      <w:r w:rsidRPr="00B41651">
        <w:rPr>
          <w:rFonts w:asciiTheme="minorHAnsi" w:hAnsiTheme="minorHAnsi" w:cstheme="minorHAnsi"/>
          <w:bCs/>
          <w:sz w:val="26"/>
          <w:szCs w:val="26"/>
        </w:rPr>
        <w:t>cauze nesoluţionate.</w:t>
      </w:r>
    </w:p>
    <w:p w14:paraId="4E2319E7" w14:textId="14A7816A" w:rsidR="00F2176C" w:rsidRPr="00B41651" w:rsidRDefault="00F2176C" w:rsidP="009E3AD8">
      <w:pPr>
        <w:autoSpaceDE w:val="0"/>
        <w:autoSpaceDN w:val="0"/>
        <w:adjustRightInd w:val="0"/>
        <w:spacing w:line="276" w:lineRule="auto"/>
        <w:ind w:firstLine="709"/>
        <w:jc w:val="both"/>
        <w:rPr>
          <w:rFonts w:asciiTheme="minorHAnsi" w:hAnsiTheme="minorHAnsi" w:cstheme="minorHAnsi"/>
          <w:bCs/>
          <w:sz w:val="26"/>
          <w:szCs w:val="26"/>
        </w:rPr>
      </w:pPr>
      <w:r w:rsidRPr="00B41651">
        <w:rPr>
          <w:rFonts w:asciiTheme="minorHAnsi" w:hAnsiTheme="minorHAnsi" w:cstheme="minorHAnsi"/>
          <w:bCs/>
          <w:sz w:val="26"/>
          <w:szCs w:val="26"/>
        </w:rPr>
        <w:lastRenderedPageBreak/>
        <w:t>În cursul anului 2025, acţiunile admise au vizat în principal hotărârile adoptate de Secţiile corespunzătoare ale Consiliului în materia transferului judecătorilor şi procurorilor.</w:t>
      </w:r>
    </w:p>
    <w:p w14:paraId="33A597B3" w14:textId="4CE1516E" w:rsidR="00F2176C" w:rsidRPr="00B41651" w:rsidRDefault="00F2176C" w:rsidP="009E3AD8">
      <w:pPr>
        <w:autoSpaceDE w:val="0"/>
        <w:autoSpaceDN w:val="0"/>
        <w:adjustRightInd w:val="0"/>
        <w:spacing w:line="276" w:lineRule="auto"/>
        <w:ind w:firstLine="709"/>
        <w:jc w:val="both"/>
        <w:rPr>
          <w:rFonts w:asciiTheme="minorHAnsi" w:hAnsiTheme="minorHAnsi" w:cstheme="minorHAnsi"/>
          <w:bCs/>
          <w:sz w:val="26"/>
          <w:szCs w:val="26"/>
        </w:rPr>
      </w:pPr>
      <w:r w:rsidRPr="00B41651">
        <w:rPr>
          <w:rFonts w:asciiTheme="minorHAnsi" w:hAnsiTheme="minorHAnsi" w:cstheme="minorHAnsi"/>
          <w:bCs/>
          <w:sz w:val="26"/>
          <w:szCs w:val="26"/>
        </w:rPr>
        <w:t xml:space="preserve">De asemenea, în cursul anului 2025, au fost înregistrate </w:t>
      </w:r>
      <w:r w:rsidR="005E3419" w:rsidRPr="00B41651">
        <w:rPr>
          <w:rFonts w:asciiTheme="minorHAnsi" w:hAnsiTheme="minorHAnsi" w:cstheme="minorHAnsi"/>
          <w:bCs/>
          <w:sz w:val="26"/>
          <w:szCs w:val="26"/>
        </w:rPr>
        <w:t>68</w:t>
      </w:r>
      <w:r w:rsidRPr="00B41651">
        <w:rPr>
          <w:rFonts w:asciiTheme="minorHAnsi" w:hAnsiTheme="minorHAnsi" w:cstheme="minorHAnsi"/>
          <w:bCs/>
          <w:sz w:val="26"/>
          <w:szCs w:val="26"/>
        </w:rPr>
        <w:t xml:space="preserve"> de plângeri prealabile, contestații, reclamații administrative formulate în temeiul Legii nr. 544/2001 privind liberul acces la informațiile de interes public, cu modificările şi completările ulterioare, precum şi alte solicitări adresate C</w:t>
      </w:r>
      <w:r w:rsidR="00435204" w:rsidRPr="00B41651">
        <w:rPr>
          <w:rFonts w:asciiTheme="minorHAnsi" w:hAnsiTheme="minorHAnsi" w:cstheme="minorHAnsi"/>
          <w:bCs/>
          <w:sz w:val="26"/>
          <w:szCs w:val="26"/>
        </w:rPr>
        <w:t>.S.M.</w:t>
      </w:r>
      <w:r w:rsidRPr="00B41651">
        <w:rPr>
          <w:rFonts w:asciiTheme="minorHAnsi" w:hAnsiTheme="minorHAnsi" w:cstheme="minorHAnsi"/>
          <w:bCs/>
          <w:sz w:val="26"/>
          <w:szCs w:val="26"/>
        </w:rPr>
        <w:t xml:space="preserve">, referitoare la aspecte ce ţin de activitatea </w:t>
      </w:r>
      <w:r w:rsidR="00435204" w:rsidRPr="00B41651">
        <w:rPr>
          <w:rFonts w:asciiTheme="minorHAnsi" w:hAnsiTheme="minorHAnsi" w:cstheme="minorHAnsi"/>
          <w:bCs/>
          <w:sz w:val="26"/>
          <w:szCs w:val="26"/>
        </w:rPr>
        <w:t>instituţiei</w:t>
      </w:r>
      <w:r w:rsidRPr="00B41651">
        <w:rPr>
          <w:rFonts w:asciiTheme="minorHAnsi" w:hAnsiTheme="minorHAnsi" w:cstheme="minorHAnsi"/>
          <w:bCs/>
          <w:sz w:val="26"/>
          <w:szCs w:val="26"/>
        </w:rPr>
        <w:t xml:space="preserve">, cu privire la care au fost întocmite puncte de vedere şi au fost transmise răspunsuri către petenți. </w:t>
      </w:r>
    </w:p>
    <w:p w14:paraId="72B96D44" w14:textId="3E1E0D66" w:rsidR="00F2176C" w:rsidRPr="00B41651" w:rsidRDefault="00F2176C" w:rsidP="009E3AD8">
      <w:pPr>
        <w:autoSpaceDE w:val="0"/>
        <w:autoSpaceDN w:val="0"/>
        <w:adjustRightInd w:val="0"/>
        <w:spacing w:line="276" w:lineRule="auto"/>
        <w:ind w:firstLine="709"/>
        <w:jc w:val="both"/>
        <w:rPr>
          <w:rFonts w:asciiTheme="minorHAnsi" w:hAnsiTheme="minorHAnsi" w:cstheme="minorHAnsi"/>
          <w:bCs/>
          <w:sz w:val="26"/>
          <w:szCs w:val="26"/>
        </w:rPr>
      </w:pPr>
      <w:r w:rsidRPr="00B41651">
        <w:rPr>
          <w:rFonts w:asciiTheme="minorHAnsi" w:hAnsiTheme="minorHAnsi" w:cstheme="minorHAnsi"/>
          <w:bCs/>
          <w:sz w:val="26"/>
          <w:szCs w:val="26"/>
        </w:rPr>
        <w:t xml:space="preserve">În activitatea curentă, au fost avizate din punct de vedere al legalității un număr de </w:t>
      </w:r>
      <w:r w:rsidR="005E3419" w:rsidRPr="00B41651">
        <w:rPr>
          <w:rFonts w:asciiTheme="minorHAnsi" w:hAnsiTheme="minorHAnsi" w:cstheme="minorHAnsi"/>
          <w:bCs/>
          <w:sz w:val="26"/>
          <w:szCs w:val="26"/>
        </w:rPr>
        <w:t>1004</w:t>
      </w:r>
      <w:r w:rsidRPr="00B41651">
        <w:rPr>
          <w:rFonts w:asciiTheme="minorHAnsi" w:hAnsiTheme="minorHAnsi" w:cstheme="minorHAnsi"/>
          <w:bCs/>
          <w:sz w:val="26"/>
          <w:szCs w:val="26"/>
        </w:rPr>
        <w:t xml:space="preserve"> note şi contracte privitoare la angajarea răspunderii patrimoniale a instituţiei şi la punerea în executare a unor hotărâri judecătoreşti, întocmite de celelalte compartimente din cadrul aparatului propriu.</w:t>
      </w:r>
    </w:p>
    <w:p w14:paraId="4EA1AF3B" w14:textId="75904920" w:rsidR="00F2176C" w:rsidRPr="00F2176C" w:rsidRDefault="00F2176C" w:rsidP="009E3AD8">
      <w:pPr>
        <w:autoSpaceDE w:val="0"/>
        <w:autoSpaceDN w:val="0"/>
        <w:adjustRightInd w:val="0"/>
        <w:spacing w:line="276" w:lineRule="auto"/>
        <w:ind w:firstLine="709"/>
        <w:jc w:val="both"/>
        <w:rPr>
          <w:rFonts w:asciiTheme="minorHAnsi" w:hAnsiTheme="minorHAnsi" w:cstheme="minorHAnsi"/>
          <w:bCs/>
          <w:sz w:val="26"/>
          <w:szCs w:val="26"/>
        </w:rPr>
      </w:pPr>
      <w:r w:rsidRPr="00881DA4">
        <w:rPr>
          <w:rFonts w:asciiTheme="minorHAnsi" w:hAnsiTheme="minorHAnsi" w:cstheme="minorHAnsi"/>
          <w:bCs/>
          <w:sz w:val="26"/>
          <w:szCs w:val="26"/>
        </w:rPr>
        <w:t xml:space="preserve">Precizăm că un alt segment al activităţii Serviciului contencios în perioada de referinţă a fost reprezentat de activităţile desfăşurate de personalul acestuia în cadrul </w:t>
      </w:r>
      <w:r w:rsidRPr="00F2176C">
        <w:rPr>
          <w:rFonts w:asciiTheme="minorHAnsi" w:hAnsiTheme="minorHAnsi" w:cstheme="minorHAnsi"/>
          <w:bCs/>
          <w:sz w:val="26"/>
          <w:szCs w:val="26"/>
        </w:rPr>
        <w:t xml:space="preserve">proiectului </w:t>
      </w:r>
      <w:r w:rsidRPr="00F3540F">
        <w:rPr>
          <w:rFonts w:asciiTheme="minorHAnsi" w:hAnsiTheme="minorHAnsi" w:cstheme="minorHAnsi"/>
          <w:bCs/>
          <w:sz w:val="26"/>
          <w:szCs w:val="26"/>
        </w:rPr>
        <w:t>„Îmbunătăţirea digitalizării la nivelul Consiliului Superior al Magistraturii”,</w:t>
      </w:r>
      <w:r w:rsidRPr="00F2176C">
        <w:rPr>
          <w:rFonts w:asciiTheme="minorHAnsi" w:hAnsiTheme="minorHAnsi" w:cstheme="minorHAnsi"/>
          <w:bCs/>
          <w:i/>
          <w:iCs/>
          <w:sz w:val="26"/>
          <w:szCs w:val="26"/>
        </w:rPr>
        <w:t xml:space="preserve"> </w:t>
      </w:r>
      <w:r w:rsidRPr="00F2176C">
        <w:rPr>
          <w:rFonts w:asciiTheme="minorHAnsi" w:hAnsiTheme="minorHAnsi" w:cstheme="minorHAnsi"/>
          <w:bCs/>
          <w:sz w:val="26"/>
          <w:szCs w:val="26"/>
        </w:rPr>
        <w:t>precum și</w:t>
      </w:r>
      <w:r w:rsidRPr="00F2176C">
        <w:rPr>
          <w:rFonts w:asciiTheme="minorHAnsi" w:hAnsiTheme="minorHAnsi" w:cstheme="minorHAnsi"/>
          <w:bCs/>
          <w:i/>
          <w:iCs/>
          <w:sz w:val="26"/>
          <w:szCs w:val="26"/>
        </w:rPr>
        <w:t xml:space="preserve"> </w:t>
      </w:r>
      <w:r w:rsidRPr="00F2176C">
        <w:rPr>
          <w:rFonts w:asciiTheme="minorHAnsi" w:hAnsiTheme="minorHAnsi" w:cstheme="minorHAnsi"/>
          <w:bCs/>
          <w:sz w:val="26"/>
          <w:szCs w:val="26"/>
        </w:rPr>
        <w:t xml:space="preserve">în cadrul comisiilor constituite la nivelul Consiliului, cum ar fi </w:t>
      </w:r>
      <w:r w:rsidRPr="00F2176C">
        <w:rPr>
          <w:rFonts w:asciiTheme="minorHAnsi" w:hAnsiTheme="minorHAnsi" w:cstheme="minorHAnsi"/>
          <w:sz w:val="26"/>
          <w:szCs w:val="26"/>
        </w:rPr>
        <w:t xml:space="preserve">Comisia de soluţionare a reclamaţiilor administrative constituită în baza art. 21 din Legea nr. 544/2001, </w:t>
      </w:r>
      <w:r w:rsidRPr="00F2176C">
        <w:rPr>
          <w:rFonts w:asciiTheme="minorHAnsi" w:hAnsiTheme="minorHAnsi" w:cstheme="minorHAnsi"/>
          <w:bCs/>
          <w:sz w:val="26"/>
          <w:szCs w:val="26"/>
          <w:shd w:val="clear" w:color="auto" w:fill="FFFFFF"/>
        </w:rPr>
        <w:t xml:space="preserve">cu modificările şi completările ulterioare. </w:t>
      </w:r>
      <w:r w:rsidRPr="00F2176C">
        <w:rPr>
          <w:rFonts w:asciiTheme="minorHAnsi" w:hAnsiTheme="minorHAnsi" w:cstheme="minorHAnsi"/>
          <w:bCs/>
          <w:sz w:val="26"/>
          <w:szCs w:val="26"/>
        </w:rPr>
        <w:t xml:space="preserve"> </w:t>
      </w:r>
    </w:p>
    <w:p w14:paraId="6170BB29" w14:textId="225C3ADD" w:rsidR="006D3862" w:rsidRPr="00F2176C" w:rsidRDefault="006C1588" w:rsidP="009E3AD8">
      <w:pPr>
        <w:pStyle w:val="Heading2"/>
        <w:keepNext w:val="0"/>
        <w:keepLines w:val="0"/>
        <w:suppressLineNumbers/>
        <w:suppressAutoHyphens/>
        <w:jc w:val="both"/>
        <w:rPr>
          <w:rFonts w:cstheme="minorHAnsi"/>
          <w:color w:val="auto"/>
          <w:lang w:val="ro-RO"/>
        </w:rPr>
      </w:pPr>
      <w:bookmarkStart w:id="141" w:name="_Toc219287978"/>
      <w:r w:rsidRPr="00F2176C">
        <w:rPr>
          <w:rFonts w:cstheme="minorHAnsi"/>
          <w:color w:val="auto"/>
          <w:lang w:val="ro-RO"/>
        </w:rPr>
        <w:t>VI.3.</w:t>
      </w:r>
      <w:r w:rsidR="00143852" w:rsidRPr="00F2176C">
        <w:rPr>
          <w:rFonts w:cstheme="minorHAnsi"/>
          <w:color w:val="auto"/>
          <w:lang w:val="ro-RO"/>
        </w:rPr>
        <w:t xml:space="preserve"> </w:t>
      </w:r>
      <w:r w:rsidRPr="00F2176C">
        <w:rPr>
          <w:rFonts w:cstheme="minorHAnsi"/>
          <w:color w:val="auto"/>
          <w:lang w:val="ro-RO"/>
        </w:rPr>
        <w:t>Activitatea Direcţiei afaceri europene, relaţii internaţionale şi programe</w:t>
      </w:r>
      <w:bookmarkStart w:id="142" w:name="_Toc430867130"/>
      <w:bookmarkEnd w:id="141"/>
      <w:r w:rsidRPr="00F2176C">
        <w:rPr>
          <w:rFonts w:cstheme="minorHAnsi"/>
          <w:color w:val="auto"/>
          <w:lang w:val="ro-RO"/>
        </w:rPr>
        <w:t xml:space="preserve"> </w:t>
      </w:r>
      <w:bookmarkStart w:id="143" w:name="_Toc381021553"/>
      <w:bookmarkStart w:id="144" w:name="_Toc430867131"/>
      <w:bookmarkEnd w:id="142"/>
    </w:p>
    <w:p w14:paraId="4C1D3621" w14:textId="77777777" w:rsidR="003657DC" w:rsidRPr="00F2176C" w:rsidRDefault="003657DC" w:rsidP="009E3AD8">
      <w:pPr>
        <w:spacing w:line="276" w:lineRule="auto"/>
        <w:ind w:right="-2" w:firstLine="709"/>
        <w:jc w:val="both"/>
        <w:rPr>
          <w:rFonts w:asciiTheme="minorHAnsi" w:hAnsiTheme="minorHAnsi" w:cstheme="minorHAnsi"/>
          <w:noProof/>
          <w:sz w:val="26"/>
          <w:szCs w:val="26"/>
        </w:rPr>
      </w:pPr>
      <w:r w:rsidRPr="00F2176C">
        <w:rPr>
          <w:rFonts w:asciiTheme="minorHAnsi" w:hAnsiTheme="minorHAnsi" w:cstheme="minorHAnsi"/>
          <w:noProof/>
          <w:sz w:val="26"/>
          <w:szCs w:val="26"/>
        </w:rPr>
        <w:t>Consolidarea relațiilor interne și internaționale ale Consiliului Superior al Magistraturii se înscrie drept un capitol distinct în cadrul direcțiilor prioritare de acțiune pentru actualul mandat</w:t>
      </w:r>
      <w:r w:rsidRPr="00F2176C">
        <w:rPr>
          <w:rFonts w:asciiTheme="minorHAnsi" w:eastAsia="Trebuchet MS" w:hAnsiTheme="minorHAnsi" w:cstheme="minorHAnsi"/>
          <w:noProof/>
          <w:sz w:val="26"/>
          <w:szCs w:val="26"/>
          <w:vertAlign w:val="superscript"/>
        </w:rPr>
        <w:footnoteReference w:id="1"/>
      </w:r>
      <w:r w:rsidRPr="00F2176C">
        <w:rPr>
          <w:rFonts w:asciiTheme="minorHAnsi" w:hAnsiTheme="minorHAnsi" w:cstheme="minorHAnsi"/>
          <w:noProof/>
          <w:sz w:val="26"/>
          <w:szCs w:val="26"/>
        </w:rPr>
        <w:t>.</w:t>
      </w:r>
    </w:p>
    <w:p w14:paraId="17B25B4C" w14:textId="1C255933" w:rsidR="003657DC" w:rsidRPr="00F2176C" w:rsidRDefault="003657DC" w:rsidP="009E3AD8">
      <w:pPr>
        <w:spacing w:line="276" w:lineRule="auto"/>
        <w:ind w:right="-2" w:firstLine="709"/>
        <w:jc w:val="both"/>
        <w:rPr>
          <w:rFonts w:asciiTheme="minorHAnsi" w:hAnsiTheme="minorHAnsi" w:cstheme="minorHAnsi"/>
          <w:noProof/>
          <w:sz w:val="26"/>
          <w:szCs w:val="26"/>
        </w:rPr>
      </w:pPr>
      <w:r w:rsidRPr="00F2176C">
        <w:rPr>
          <w:rFonts w:asciiTheme="minorHAnsi" w:hAnsiTheme="minorHAnsi" w:cstheme="minorHAnsi"/>
          <w:noProof/>
          <w:sz w:val="26"/>
          <w:szCs w:val="26"/>
        </w:rPr>
        <w:t>În cursul anului 2025 au continuat activitățile menite să susțină colaborarea Consiliului cu instituțiile și organizațiile relevante în plan intern și internațional, atât în contextul relațiilor bilaterale, cât și în ceea ce privește participarea la activitatea forurilor reprezentative pentru instituțiile din sistemele judiciare ale statelor membre ale U</w:t>
      </w:r>
      <w:r w:rsidR="00083E1C">
        <w:rPr>
          <w:rFonts w:asciiTheme="minorHAnsi" w:hAnsiTheme="minorHAnsi" w:cstheme="minorHAnsi"/>
          <w:noProof/>
          <w:sz w:val="26"/>
          <w:szCs w:val="26"/>
        </w:rPr>
        <w:t>.E. s</w:t>
      </w:r>
      <w:r w:rsidRPr="00F2176C">
        <w:rPr>
          <w:rFonts w:asciiTheme="minorHAnsi" w:hAnsiTheme="minorHAnsi" w:cstheme="minorHAnsi"/>
          <w:noProof/>
          <w:sz w:val="26"/>
          <w:szCs w:val="26"/>
        </w:rPr>
        <w:t>au alte organisme internaționale cu semnificație pentru domeniile de competență ale C</w:t>
      </w:r>
      <w:r w:rsidR="00083E1C">
        <w:rPr>
          <w:rFonts w:asciiTheme="minorHAnsi" w:hAnsiTheme="minorHAnsi" w:cstheme="minorHAnsi"/>
          <w:noProof/>
          <w:sz w:val="26"/>
          <w:szCs w:val="26"/>
        </w:rPr>
        <w:t>.S.M.</w:t>
      </w:r>
      <w:r w:rsidRPr="00F2176C">
        <w:rPr>
          <w:rFonts w:asciiTheme="minorHAnsi" w:hAnsiTheme="minorHAnsi" w:cstheme="minorHAnsi"/>
          <w:noProof/>
          <w:sz w:val="26"/>
          <w:szCs w:val="26"/>
        </w:rPr>
        <w:t xml:space="preserve">. </w:t>
      </w:r>
    </w:p>
    <w:p w14:paraId="30652BC8" w14:textId="0FD35CA0" w:rsidR="003657DC" w:rsidRPr="00F2176C" w:rsidRDefault="003657DC" w:rsidP="009E3AD8">
      <w:pPr>
        <w:spacing w:line="276" w:lineRule="auto"/>
        <w:ind w:right="-2" w:firstLine="709"/>
        <w:jc w:val="both"/>
        <w:rPr>
          <w:rFonts w:asciiTheme="minorHAnsi" w:hAnsiTheme="minorHAnsi" w:cstheme="minorHAnsi"/>
          <w:noProof/>
          <w:sz w:val="26"/>
          <w:szCs w:val="26"/>
        </w:rPr>
      </w:pPr>
      <w:r w:rsidRPr="00F2176C">
        <w:rPr>
          <w:rFonts w:asciiTheme="minorHAnsi" w:hAnsiTheme="minorHAnsi" w:cstheme="minorHAnsi"/>
          <w:noProof/>
          <w:sz w:val="26"/>
          <w:szCs w:val="26"/>
        </w:rPr>
        <w:t>Acțiunile</w:t>
      </w:r>
      <w:r w:rsidR="00063FC3">
        <w:rPr>
          <w:rFonts w:asciiTheme="minorHAnsi" w:hAnsiTheme="minorHAnsi" w:cstheme="minorHAnsi"/>
          <w:noProof/>
          <w:sz w:val="26"/>
          <w:szCs w:val="26"/>
        </w:rPr>
        <w:t xml:space="preserve"> </w:t>
      </w:r>
      <w:r w:rsidRPr="00F2176C">
        <w:rPr>
          <w:rFonts w:asciiTheme="minorHAnsi" w:hAnsiTheme="minorHAnsi" w:cstheme="minorHAnsi"/>
          <w:noProof/>
          <w:sz w:val="26"/>
          <w:szCs w:val="26"/>
        </w:rPr>
        <w:t>realizate de Consiliu</w:t>
      </w:r>
      <w:r w:rsidR="00083E1C">
        <w:rPr>
          <w:rFonts w:asciiTheme="minorHAnsi" w:hAnsiTheme="minorHAnsi" w:cstheme="minorHAnsi"/>
          <w:noProof/>
          <w:sz w:val="26"/>
          <w:szCs w:val="26"/>
        </w:rPr>
        <w:t xml:space="preserve"> </w:t>
      </w:r>
      <w:r w:rsidRPr="00F2176C">
        <w:rPr>
          <w:rFonts w:asciiTheme="minorHAnsi" w:hAnsiTheme="minorHAnsi" w:cstheme="minorHAnsi"/>
          <w:noProof/>
          <w:sz w:val="26"/>
          <w:szCs w:val="26"/>
        </w:rPr>
        <w:t xml:space="preserve">au fost subsumate viziunii instituționale privind politica de relații internaționale, cu accent pe consolidarea și dezvoltarea inițiativelor existente, susținerea procesului continuu de reformare și îmbunătățire a sistemului judiciar, promovarea dialogului pe tema conceptelor inovatoare care pot fi implementate la nivel intern pentru atingerea obiectivelor amintite, precum și pentru asigurarea cadrului necesar schimbului de experiență și cooperării magistraților români cu colegii din alte sisteme judiciare. </w:t>
      </w:r>
    </w:p>
    <w:p w14:paraId="36C754EC" w14:textId="4419655A" w:rsidR="006C1588" w:rsidRPr="000F0D8B" w:rsidRDefault="006C1588" w:rsidP="009E3AD8">
      <w:pPr>
        <w:pStyle w:val="Heading3"/>
        <w:keepNext w:val="0"/>
        <w:keepLines w:val="0"/>
        <w:suppressLineNumbers/>
        <w:suppressAutoHyphens/>
        <w:jc w:val="both"/>
        <w:rPr>
          <w:rFonts w:cstheme="minorHAnsi"/>
          <w:color w:val="auto"/>
          <w:szCs w:val="26"/>
        </w:rPr>
      </w:pPr>
      <w:bookmarkStart w:id="145" w:name="_Toc219287979"/>
      <w:r w:rsidRPr="000F0D8B">
        <w:rPr>
          <w:rFonts w:cstheme="minorHAnsi"/>
          <w:color w:val="auto"/>
          <w:szCs w:val="26"/>
        </w:rPr>
        <w:t>VI.3.1.</w:t>
      </w:r>
      <w:r w:rsidR="000B639A" w:rsidRPr="000F0D8B">
        <w:rPr>
          <w:rFonts w:cstheme="minorHAnsi"/>
          <w:color w:val="auto"/>
          <w:szCs w:val="26"/>
        </w:rPr>
        <w:t xml:space="preserve"> </w:t>
      </w:r>
      <w:bookmarkStart w:id="146" w:name="_Toc381021554"/>
      <w:bookmarkStart w:id="147" w:name="_Toc430867132"/>
      <w:bookmarkEnd w:id="143"/>
      <w:bookmarkEnd w:id="144"/>
      <w:r w:rsidR="00FE36B3" w:rsidRPr="000F0D8B">
        <w:rPr>
          <w:rFonts w:cstheme="minorHAnsi"/>
          <w:bCs/>
          <w:color w:val="auto"/>
          <w:szCs w:val="26"/>
        </w:rPr>
        <w:t xml:space="preserve">Activitatea </w:t>
      </w:r>
      <w:r w:rsidR="009C60E0">
        <w:rPr>
          <w:rFonts w:cstheme="minorHAnsi"/>
          <w:bCs/>
          <w:color w:val="auto"/>
          <w:szCs w:val="26"/>
        </w:rPr>
        <w:t xml:space="preserve">în cadrul </w:t>
      </w:r>
      <w:r w:rsidR="00FE36B3" w:rsidRPr="000F0D8B">
        <w:rPr>
          <w:rFonts w:cstheme="minorHAnsi"/>
          <w:bCs/>
          <w:color w:val="auto"/>
          <w:szCs w:val="26"/>
        </w:rPr>
        <w:t>Mecanismului privind statul de drept</w:t>
      </w:r>
      <w:bookmarkEnd w:id="145"/>
    </w:p>
    <w:p w14:paraId="79364C43" w14:textId="414B5393" w:rsidR="003657DC" w:rsidRPr="000F0D8B" w:rsidRDefault="003657DC" w:rsidP="009E3AD8">
      <w:pPr>
        <w:spacing w:line="276" w:lineRule="auto"/>
        <w:ind w:firstLine="720"/>
        <w:jc w:val="both"/>
        <w:rPr>
          <w:rFonts w:asciiTheme="minorHAnsi" w:hAnsiTheme="minorHAnsi" w:cstheme="minorHAnsi"/>
          <w:sz w:val="26"/>
          <w:szCs w:val="26"/>
          <w:shd w:val="clear" w:color="auto" w:fill="FFFFFF"/>
        </w:rPr>
      </w:pPr>
      <w:r w:rsidRPr="000F0D8B">
        <w:rPr>
          <w:rFonts w:asciiTheme="minorHAnsi" w:hAnsiTheme="minorHAnsi" w:cstheme="minorHAnsi"/>
          <w:sz w:val="26"/>
          <w:szCs w:val="26"/>
          <w:shd w:val="clear" w:color="auto" w:fill="FFFFFF"/>
        </w:rPr>
        <w:t>Odată cu închiderea oficială a Mecanismului de Cooperare și Verificare pentru România și Bulgaria, în anul 2023, Comisia Europeană a confirmat îndeplinirea corespunzătoare a obiectivelor de reformă și a recomandărilor formulate în cadrul mecanismului. Monitorizarea Comisiei Europene continuă în temeiul unui nou instrument de evaluare a tuturor statelor membre</w:t>
      </w:r>
      <w:r w:rsidR="00E5124B">
        <w:rPr>
          <w:rFonts w:asciiTheme="minorHAnsi" w:hAnsiTheme="minorHAnsi" w:cstheme="minorHAnsi"/>
          <w:sz w:val="26"/>
          <w:szCs w:val="26"/>
          <w:shd w:val="clear" w:color="auto" w:fill="FFFFFF"/>
        </w:rPr>
        <w:t xml:space="preserve">, respectiv </w:t>
      </w:r>
      <w:r w:rsidRPr="000F0D8B">
        <w:rPr>
          <w:rFonts w:asciiTheme="minorHAnsi" w:hAnsiTheme="minorHAnsi" w:cstheme="minorHAnsi"/>
          <w:sz w:val="26"/>
          <w:szCs w:val="26"/>
          <w:shd w:val="clear" w:color="auto" w:fill="FFFFFF"/>
        </w:rPr>
        <w:t xml:space="preserve">Raportul privind statul de drept, care își propune să faciliteze înțelegerea reciprocă prin intermediul dialogului, abordarea unitară a provocărilor privind statul de drept, stimularea cooperării interinstituționale, să garanteze tratarea egală a statelor membre, să stabilească un ritm </w:t>
      </w:r>
      <w:r w:rsidRPr="000F0D8B">
        <w:rPr>
          <w:rFonts w:asciiTheme="minorHAnsi" w:hAnsiTheme="minorHAnsi" w:cstheme="minorHAnsi"/>
          <w:sz w:val="26"/>
          <w:szCs w:val="26"/>
          <w:shd w:val="clear" w:color="auto" w:fill="FFFFFF"/>
        </w:rPr>
        <w:lastRenderedPageBreak/>
        <w:t>anual de dezbatere în Consiliul și în Parlamentul European și să impulsioneze reformele necesare la nivel național.</w:t>
      </w:r>
    </w:p>
    <w:p w14:paraId="3318AF29" w14:textId="66DD6144" w:rsidR="003657DC" w:rsidRPr="000F0D8B" w:rsidRDefault="003657DC" w:rsidP="009E3AD8">
      <w:pPr>
        <w:spacing w:line="276" w:lineRule="auto"/>
        <w:ind w:firstLine="720"/>
        <w:jc w:val="both"/>
        <w:rPr>
          <w:rFonts w:asciiTheme="minorHAnsi" w:hAnsiTheme="minorHAnsi" w:cstheme="minorHAnsi"/>
          <w:sz w:val="26"/>
          <w:szCs w:val="26"/>
          <w:shd w:val="clear" w:color="auto" w:fill="FFFFFF"/>
        </w:rPr>
      </w:pPr>
      <w:r w:rsidRPr="000F0D8B">
        <w:rPr>
          <w:rFonts w:asciiTheme="minorHAnsi" w:hAnsiTheme="minorHAnsi" w:cstheme="minorHAnsi"/>
          <w:sz w:val="26"/>
          <w:szCs w:val="26"/>
          <w:shd w:val="clear" w:color="auto" w:fill="FFFFFF"/>
        </w:rPr>
        <w:t>Reprezentanții C</w:t>
      </w:r>
      <w:r w:rsidR="00E5124B">
        <w:rPr>
          <w:rFonts w:asciiTheme="minorHAnsi" w:hAnsiTheme="minorHAnsi" w:cstheme="minorHAnsi"/>
          <w:sz w:val="26"/>
          <w:szCs w:val="26"/>
          <w:shd w:val="clear" w:color="auto" w:fill="FFFFFF"/>
        </w:rPr>
        <w:t xml:space="preserve">.S.M. </w:t>
      </w:r>
      <w:r w:rsidRPr="000F0D8B">
        <w:rPr>
          <w:rFonts w:asciiTheme="minorHAnsi" w:hAnsiTheme="minorHAnsi" w:cstheme="minorHAnsi"/>
          <w:sz w:val="26"/>
          <w:szCs w:val="26"/>
          <w:shd w:val="clear" w:color="auto" w:fill="FFFFFF"/>
        </w:rPr>
        <w:t xml:space="preserve">au participat la o serie de întâlniri de lucru și evenimente organizate în acest context: evenimentul  „Dialog privind statul de drept: Cum putem colabora mai bine pentru a consolida statul de drept în România?”, care a avut loc la data de 28 ianuarie 2025, la sediul Reprezentanței Comisiei Europene în România și reuniunea bilaterală cu directorul Departamentului pentru Statul de Drept, Drepturi Fundamentale și Democrație din cadrul Direcției Generale Justiție și Consumatori a Comisiei Europene, desfășurată la  data de 29 ianuarie 2025. </w:t>
      </w:r>
    </w:p>
    <w:p w14:paraId="55048572" w14:textId="2850C2C7" w:rsidR="003657DC" w:rsidRPr="000F0D8B" w:rsidRDefault="003657DC" w:rsidP="009E3AD8">
      <w:pPr>
        <w:spacing w:line="276" w:lineRule="auto"/>
        <w:ind w:firstLine="720"/>
        <w:jc w:val="both"/>
        <w:rPr>
          <w:rFonts w:asciiTheme="minorHAnsi" w:hAnsiTheme="minorHAnsi" w:cstheme="minorHAnsi"/>
          <w:sz w:val="26"/>
          <w:szCs w:val="26"/>
          <w:shd w:val="clear" w:color="auto" w:fill="FFFFFF"/>
        </w:rPr>
      </w:pPr>
      <w:r w:rsidRPr="000F0D8B">
        <w:rPr>
          <w:rFonts w:asciiTheme="minorHAnsi" w:hAnsiTheme="minorHAnsi" w:cstheme="minorHAnsi"/>
          <w:sz w:val="26"/>
          <w:szCs w:val="26"/>
          <w:shd w:val="clear" w:color="auto" w:fill="FFFFFF"/>
        </w:rPr>
        <w:t>De asemenea, Consiliul a participat, în contextul discuțiilor bilaterale cu principalele autorități naționale din România (reuniuni de dialog/country visits), la data de 10</w:t>
      </w:r>
      <w:r w:rsidR="00207FBA" w:rsidRPr="000F0D8B">
        <w:rPr>
          <w:rFonts w:asciiTheme="minorHAnsi" w:hAnsiTheme="minorHAnsi" w:cstheme="minorHAnsi"/>
          <w:sz w:val="26"/>
          <w:szCs w:val="26"/>
          <w:shd w:val="clear" w:color="auto" w:fill="FFFFFF"/>
        </w:rPr>
        <w:t xml:space="preserve"> martie </w:t>
      </w:r>
      <w:r w:rsidRPr="000F0D8B">
        <w:rPr>
          <w:rFonts w:asciiTheme="minorHAnsi" w:hAnsiTheme="minorHAnsi" w:cstheme="minorHAnsi"/>
          <w:sz w:val="26"/>
          <w:szCs w:val="26"/>
          <w:shd w:val="clear" w:color="auto" w:fill="FFFFFF"/>
        </w:rPr>
        <w:t>2025, la întâlnirea cu reprezentanții Comisiei Europene, pentru actualizarea informațiilor transmise, ulterior fiind comunicat un răspuns de tip follow-up, agreat în cadrul reuniunii.</w:t>
      </w:r>
    </w:p>
    <w:p w14:paraId="2980402E" w14:textId="77777777" w:rsidR="003657DC" w:rsidRPr="000F0D8B" w:rsidRDefault="003657DC" w:rsidP="009E3AD8">
      <w:pPr>
        <w:spacing w:line="276" w:lineRule="auto"/>
        <w:ind w:firstLine="720"/>
        <w:jc w:val="both"/>
        <w:rPr>
          <w:rFonts w:asciiTheme="minorHAnsi" w:hAnsiTheme="minorHAnsi" w:cstheme="minorHAnsi"/>
          <w:sz w:val="26"/>
          <w:szCs w:val="26"/>
          <w:shd w:val="clear" w:color="auto" w:fill="FFFFFF"/>
        </w:rPr>
      </w:pPr>
      <w:r w:rsidRPr="000F0D8B">
        <w:rPr>
          <w:rFonts w:asciiTheme="minorHAnsi" w:hAnsiTheme="minorHAnsi" w:cstheme="minorHAnsi"/>
          <w:sz w:val="26"/>
          <w:szCs w:val="26"/>
          <w:shd w:val="clear" w:color="auto" w:fill="FFFFFF"/>
        </w:rPr>
        <w:t xml:space="preserve">Totodată, discuţiile pe marginea Raportului privind statul de drept au continuat la nivel european, în contextul webinarelor organizate de Rețeaua Europeană a Consiliilor Judiciare, la data de 23 septembrie 2025 având loc o întâlnire online privind ediția din anul 2025 a raportului. </w:t>
      </w:r>
    </w:p>
    <w:p w14:paraId="382AEF6A" w14:textId="4FA54496" w:rsidR="003657DC" w:rsidRPr="000F0D8B" w:rsidRDefault="003657DC" w:rsidP="009E3AD8">
      <w:pPr>
        <w:spacing w:line="276" w:lineRule="auto"/>
        <w:ind w:firstLine="720"/>
        <w:jc w:val="both"/>
        <w:rPr>
          <w:rFonts w:asciiTheme="minorHAnsi" w:hAnsiTheme="minorHAnsi" w:cstheme="minorHAnsi"/>
          <w:sz w:val="26"/>
          <w:szCs w:val="26"/>
          <w:shd w:val="clear" w:color="auto" w:fill="FFFFFF"/>
        </w:rPr>
      </w:pPr>
      <w:r w:rsidRPr="000F0D8B">
        <w:rPr>
          <w:rFonts w:asciiTheme="minorHAnsi" w:hAnsiTheme="minorHAnsi" w:cstheme="minorHAnsi"/>
          <w:sz w:val="26"/>
          <w:szCs w:val="26"/>
          <w:shd w:val="clear" w:color="auto" w:fill="FFFFFF"/>
        </w:rPr>
        <w:t>La data de 8 iulie 2025 a fost publicat cel de-al șaselea Raport al Comisiei Europene privind statul de drept - o sinteză a evoluțiilor relevante, din perspectiva statului de drept, la nivelul tuturor statelor membre ale U</w:t>
      </w:r>
      <w:r w:rsidR="00E5124B">
        <w:rPr>
          <w:rFonts w:asciiTheme="minorHAnsi" w:hAnsiTheme="minorHAnsi" w:cstheme="minorHAnsi"/>
          <w:sz w:val="26"/>
          <w:szCs w:val="26"/>
          <w:shd w:val="clear" w:color="auto" w:fill="FFFFFF"/>
        </w:rPr>
        <w:t>.E.,</w:t>
      </w:r>
      <w:r w:rsidRPr="000F0D8B">
        <w:rPr>
          <w:rFonts w:asciiTheme="minorHAnsi" w:hAnsiTheme="minorHAnsi" w:cstheme="minorHAnsi"/>
          <w:sz w:val="26"/>
          <w:szCs w:val="26"/>
          <w:shd w:val="clear" w:color="auto" w:fill="FFFFFF"/>
        </w:rPr>
        <w:t xml:space="preserve"> respectiv un raport general privind situaţia statului de drept în Uniunea Europeană şi câte un raport de țară, pentru fiecare stat membru. </w:t>
      </w:r>
    </w:p>
    <w:p w14:paraId="622F9304" w14:textId="4A58E651" w:rsidR="003657DC" w:rsidRPr="000F0D8B" w:rsidRDefault="003657DC" w:rsidP="009E3AD8">
      <w:pPr>
        <w:spacing w:line="276" w:lineRule="auto"/>
        <w:ind w:firstLine="720"/>
        <w:jc w:val="both"/>
        <w:rPr>
          <w:rFonts w:asciiTheme="minorHAnsi" w:hAnsiTheme="minorHAnsi" w:cstheme="minorHAnsi"/>
          <w:sz w:val="26"/>
          <w:szCs w:val="26"/>
          <w:shd w:val="clear" w:color="auto" w:fill="FFFFFF"/>
        </w:rPr>
      </w:pPr>
      <w:r w:rsidRPr="000F0D8B">
        <w:rPr>
          <w:rFonts w:asciiTheme="minorHAnsi" w:hAnsiTheme="minorHAnsi" w:cstheme="minorHAnsi"/>
          <w:sz w:val="26"/>
          <w:szCs w:val="26"/>
          <w:shd w:val="clear" w:color="auto" w:fill="FFFFFF"/>
        </w:rPr>
        <w:t>Deși raportul din acest an nu mai conține recomandări care să vizeze în mod direct activitatea Consiliului Superior al Magistraturii, documentul menționează faptul că România a făcut progrese în îndeplinirea recomandărilor din rapoartele precedente, fiind parcurși pași semnificativi în direcția implementării recomandărilor din anul 2024 referitoare la legile justiției, în special privind independența, calitatea și eficiența sistemului judiciar. De asemenea, a fost evidențiată îmbunătățirea transparenței jurisprudenței disciplinare, inclusiv</w:t>
      </w:r>
      <w:r w:rsidR="00396A55">
        <w:rPr>
          <w:rFonts w:asciiTheme="minorHAnsi" w:hAnsiTheme="minorHAnsi" w:cstheme="minorHAnsi"/>
          <w:sz w:val="26"/>
          <w:szCs w:val="26"/>
          <w:shd w:val="clear" w:color="auto" w:fill="FFFFFF"/>
        </w:rPr>
        <w:t xml:space="preserve"> ca </w:t>
      </w:r>
      <w:r w:rsidRPr="000F0D8B">
        <w:rPr>
          <w:rFonts w:asciiTheme="minorHAnsi" w:hAnsiTheme="minorHAnsi" w:cstheme="minorHAnsi"/>
          <w:sz w:val="26"/>
          <w:szCs w:val="26"/>
          <w:shd w:val="clear" w:color="auto" w:fill="FFFFFF"/>
        </w:rPr>
        <w:t>urmare a demersurilor întreprinse de C</w:t>
      </w:r>
      <w:r w:rsidR="00F6712F" w:rsidRPr="000F0D8B">
        <w:rPr>
          <w:rFonts w:asciiTheme="minorHAnsi" w:hAnsiTheme="minorHAnsi" w:cstheme="minorHAnsi"/>
          <w:sz w:val="26"/>
          <w:szCs w:val="26"/>
          <w:shd w:val="clear" w:color="auto" w:fill="FFFFFF"/>
        </w:rPr>
        <w:t>onsiliu</w:t>
      </w:r>
      <w:r w:rsidR="00E5124B">
        <w:rPr>
          <w:rFonts w:asciiTheme="minorHAnsi" w:hAnsiTheme="minorHAnsi" w:cstheme="minorHAnsi"/>
          <w:sz w:val="26"/>
          <w:szCs w:val="26"/>
          <w:shd w:val="clear" w:color="auto" w:fill="FFFFFF"/>
        </w:rPr>
        <w:t xml:space="preserve"> </w:t>
      </w:r>
      <w:r w:rsidRPr="000F0D8B">
        <w:rPr>
          <w:rFonts w:asciiTheme="minorHAnsi" w:hAnsiTheme="minorHAnsi" w:cstheme="minorHAnsi"/>
          <w:sz w:val="26"/>
          <w:szCs w:val="26"/>
          <w:shd w:val="clear" w:color="auto" w:fill="FFFFFF"/>
        </w:rPr>
        <w:t>pentru diseminarea acesteia, prin intermediul aplicației Re</w:t>
      </w:r>
      <w:r w:rsidR="00E5124B">
        <w:rPr>
          <w:rFonts w:asciiTheme="minorHAnsi" w:hAnsiTheme="minorHAnsi" w:cstheme="minorHAnsi"/>
          <w:sz w:val="26"/>
          <w:szCs w:val="26"/>
          <w:shd w:val="clear" w:color="auto" w:fill="FFFFFF"/>
        </w:rPr>
        <w:t>J</w:t>
      </w:r>
      <w:r w:rsidRPr="000F0D8B">
        <w:rPr>
          <w:rFonts w:asciiTheme="minorHAnsi" w:hAnsiTheme="minorHAnsi" w:cstheme="minorHAnsi"/>
          <w:sz w:val="26"/>
          <w:szCs w:val="26"/>
          <w:shd w:val="clear" w:color="auto" w:fill="FFFFFF"/>
        </w:rPr>
        <w:t>ust. Raportul subliniază, tototdată,  progresele înregistrate în ceea ce privește recomandarea de a asigura resurse umane adecvate pentru sistemul de justiție, ca urmare a măsurilor realizate prin intermediul C</w:t>
      </w:r>
      <w:r w:rsidR="00E5124B">
        <w:rPr>
          <w:rFonts w:asciiTheme="minorHAnsi" w:hAnsiTheme="minorHAnsi" w:cstheme="minorHAnsi"/>
          <w:sz w:val="26"/>
          <w:szCs w:val="26"/>
          <w:shd w:val="clear" w:color="auto" w:fill="FFFFFF"/>
        </w:rPr>
        <w:t>.S.M.</w:t>
      </w:r>
      <w:r w:rsidRPr="000F0D8B">
        <w:rPr>
          <w:rFonts w:asciiTheme="minorHAnsi" w:hAnsiTheme="minorHAnsi" w:cstheme="minorHAnsi"/>
          <w:sz w:val="26"/>
          <w:szCs w:val="26"/>
          <w:shd w:val="clear" w:color="auto" w:fill="FFFFFF"/>
        </w:rPr>
        <w:t xml:space="preserve">, chiar și în condiții de constrângeri bugetare. </w:t>
      </w:r>
    </w:p>
    <w:p w14:paraId="5E655BF1" w14:textId="5627F4AA" w:rsidR="00536124" w:rsidRPr="000F0D8B" w:rsidRDefault="003657DC" w:rsidP="009E3AD8">
      <w:pPr>
        <w:spacing w:line="276" w:lineRule="auto"/>
        <w:ind w:firstLine="720"/>
        <w:jc w:val="both"/>
        <w:rPr>
          <w:rFonts w:asciiTheme="minorHAnsi" w:hAnsiTheme="minorHAnsi" w:cstheme="minorHAnsi"/>
          <w:sz w:val="26"/>
          <w:szCs w:val="26"/>
          <w:shd w:val="clear" w:color="auto" w:fill="FFFFFF"/>
        </w:rPr>
      </w:pPr>
      <w:r w:rsidRPr="000F0D8B">
        <w:rPr>
          <w:rFonts w:asciiTheme="minorHAnsi" w:hAnsiTheme="minorHAnsi" w:cstheme="minorHAnsi"/>
          <w:sz w:val="26"/>
          <w:szCs w:val="26"/>
          <w:shd w:val="clear" w:color="auto" w:fill="FFFFFF"/>
        </w:rPr>
        <w:t>În continuarea colaborării în contextul mecanismului Uniunii Europene privind statul de drept, trebuie menționat și că, la finalul anului 2025, a început pregătirea contribuției pentru următorul Raport privind statul de drept.</w:t>
      </w:r>
    </w:p>
    <w:p w14:paraId="1811A5C6" w14:textId="784DA9F5" w:rsidR="006C1588" w:rsidRPr="000F0D8B" w:rsidRDefault="006C1588" w:rsidP="009E3AD8">
      <w:pPr>
        <w:pStyle w:val="Heading3"/>
        <w:keepNext w:val="0"/>
        <w:keepLines w:val="0"/>
        <w:suppressLineNumbers/>
        <w:suppressAutoHyphens/>
        <w:rPr>
          <w:rFonts w:cstheme="minorHAnsi"/>
          <w:color w:val="auto"/>
          <w:szCs w:val="26"/>
        </w:rPr>
      </w:pPr>
      <w:bookmarkStart w:id="148" w:name="_Toc381021555"/>
      <w:bookmarkStart w:id="149" w:name="_Toc430867133"/>
      <w:bookmarkStart w:id="150" w:name="_Toc219287980"/>
      <w:bookmarkEnd w:id="146"/>
      <w:bookmarkEnd w:id="147"/>
      <w:r w:rsidRPr="000F0D8B">
        <w:rPr>
          <w:rFonts w:cstheme="minorHAnsi"/>
          <w:color w:val="auto"/>
          <w:szCs w:val="26"/>
        </w:rPr>
        <w:t>VI.3.2. Dezvoltarea dialogului bilateral</w:t>
      </w:r>
      <w:bookmarkStart w:id="151" w:name="_Toc381021556"/>
      <w:bookmarkStart w:id="152" w:name="_Toc430867134"/>
      <w:bookmarkEnd w:id="148"/>
      <w:bookmarkEnd w:id="149"/>
      <w:bookmarkEnd w:id="150"/>
    </w:p>
    <w:p w14:paraId="0D579247" w14:textId="2AE1E356" w:rsidR="003657DC" w:rsidRPr="000F0D8B" w:rsidRDefault="003657DC" w:rsidP="009E3AD8">
      <w:pPr>
        <w:spacing w:line="276" w:lineRule="auto"/>
        <w:ind w:firstLine="720"/>
        <w:jc w:val="both"/>
        <w:rPr>
          <w:rFonts w:asciiTheme="minorHAnsi" w:hAnsiTheme="minorHAnsi" w:cstheme="minorHAnsi"/>
          <w:sz w:val="26"/>
          <w:szCs w:val="26"/>
        </w:rPr>
      </w:pPr>
      <w:r w:rsidRPr="000F0D8B">
        <w:rPr>
          <w:rFonts w:asciiTheme="minorHAnsi" w:hAnsiTheme="minorHAnsi" w:cstheme="minorHAnsi"/>
          <w:sz w:val="26"/>
          <w:szCs w:val="26"/>
        </w:rPr>
        <w:t>În cursul anului 2025, au fost continuate acțiunile de cooperare cu reprezentanţi ai sistemelor judiciare atât din spaţiul european, cât şi la nivel internaţional, cu scopul de a promova schimbul de bune practici în domenii prioritare pentru activitatea C</w:t>
      </w:r>
      <w:r w:rsidR="00E5124B">
        <w:rPr>
          <w:rFonts w:asciiTheme="minorHAnsi" w:hAnsiTheme="minorHAnsi" w:cstheme="minorHAnsi"/>
          <w:sz w:val="26"/>
          <w:szCs w:val="26"/>
        </w:rPr>
        <w:t xml:space="preserve">.S.M. </w:t>
      </w:r>
      <w:r w:rsidRPr="000F0D8B">
        <w:rPr>
          <w:rFonts w:asciiTheme="minorHAnsi" w:hAnsiTheme="minorHAnsi" w:cstheme="minorHAnsi"/>
          <w:sz w:val="26"/>
          <w:szCs w:val="26"/>
        </w:rPr>
        <w:t xml:space="preserve">și de a consolida poziția instituțională și reprezentativitatea României în forurile internaționale. </w:t>
      </w:r>
    </w:p>
    <w:p w14:paraId="73935EDE" w14:textId="36DB3668" w:rsidR="003657DC" w:rsidRPr="000F0D8B" w:rsidRDefault="003657DC" w:rsidP="009E3AD8">
      <w:pPr>
        <w:spacing w:line="276" w:lineRule="auto"/>
        <w:ind w:firstLine="720"/>
        <w:jc w:val="both"/>
        <w:rPr>
          <w:rFonts w:asciiTheme="minorHAnsi" w:hAnsiTheme="minorHAnsi" w:cstheme="minorHAnsi"/>
          <w:sz w:val="26"/>
          <w:szCs w:val="26"/>
        </w:rPr>
      </w:pPr>
      <w:r w:rsidRPr="000F0D8B">
        <w:rPr>
          <w:rFonts w:asciiTheme="minorHAnsi" w:hAnsiTheme="minorHAnsi" w:cstheme="minorHAnsi"/>
          <w:sz w:val="26"/>
          <w:szCs w:val="26"/>
        </w:rPr>
        <w:t>Cât privește activitatea derulată în cadrul Rețelei Europene a Consiliilor Judiciare (R</w:t>
      </w:r>
      <w:r w:rsidR="00F15E23" w:rsidRPr="000F0D8B">
        <w:rPr>
          <w:rFonts w:asciiTheme="minorHAnsi" w:hAnsiTheme="minorHAnsi" w:cstheme="minorHAnsi"/>
          <w:sz w:val="26"/>
          <w:szCs w:val="26"/>
        </w:rPr>
        <w:t>.</w:t>
      </w:r>
      <w:r w:rsidRPr="000F0D8B">
        <w:rPr>
          <w:rFonts w:asciiTheme="minorHAnsi" w:hAnsiTheme="minorHAnsi" w:cstheme="minorHAnsi"/>
          <w:sz w:val="26"/>
          <w:szCs w:val="26"/>
        </w:rPr>
        <w:t>E</w:t>
      </w:r>
      <w:r w:rsidR="00F15E23" w:rsidRPr="000F0D8B">
        <w:rPr>
          <w:rFonts w:asciiTheme="minorHAnsi" w:hAnsiTheme="minorHAnsi" w:cstheme="minorHAnsi"/>
          <w:sz w:val="26"/>
          <w:szCs w:val="26"/>
        </w:rPr>
        <w:t>.</w:t>
      </w:r>
      <w:r w:rsidRPr="000F0D8B">
        <w:rPr>
          <w:rFonts w:asciiTheme="minorHAnsi" w:hAnsiTheme="minorHAnsi" w:cstheme="minorHAnsi"/>
          <w:sz w:val="26"/>
          <w:szCs w:val="26"/>
        </w:rPr>
        <w:t>C</w:t>
      </w:r>
      <w:r w:rsidR="00F15E23" w:rsidRPr="000F0D8B">
        <w:rPr>
          <w:rFonts w:asciiTheme="minorHAnsi" w:hAnsiTheme="minorHAnsi" w:cstheme="minorHAnsi"/>
          <w:sz w:val="26"/>
          <w:szCs w:val="26"/>
        </w:rPr>
        <w:t>.</w:t>
      </w:r>
      <w:r w:rsidRPr="000F0D8B">
        <w:rPr>
          <w:rFonts w:asciiTheme="minorHAnsi" w:hAnsiTheme="minorHAnsi" w:cstheme="minorHAnsi"/>
          <w:sz w:val="26"/>
          <w:szCs w:val="26"/>
        </w:rPr>
        <w:t>J</w:t>
      </w:r>
      <w:r w:rsidR="00F15E23" w:rsidRPr="000F0D8B">
        <w:rPr>
          <w:rFonts w:asciiTheme="minorHAnsi" w:hAnsiTheme="minorHAnsi" w:cstheme="minorHAnsi"/>
          <w:sz w:val="26"/>
          <w:szCs w:val="26"/>
        </w:rPr>
        <w:t>.</w:t>
      </w:r>
      <w:r w:rsidRPr="000F0D8B">
        <w:rPr>
          <w:rFonts w:asciiTheme="minorHAnsi" w:hAnsiTheme="minorHAnsi" w:cstheme="minorHAnsi"/>
          <w:sz w:val="26"/>
          <w:szCs w:val="26"/>
        </w:rPr>
        <w:t xml:space="preserve">), pe parcusul anului 2025 a fost asigurată reprezentarea Consiliului la acțiunile cuprinse în planul de activități al acestui for. Reprezentarea instituției, ca membru în cadrul Comitetului Executiv, cu atribuții în gestionarea măsurilor necesare pentru implementarea programului anual de activități </w:t>
      </w:r>
      <w:r w:rsidRPr="000F0D8B">
        <w:rPr>
          <w:rFonts w:asciiTheme="minorHAnsi" w:hAnsiTheme="minorHAnsi" w:cstheme="minorHAnsi"/>
          <w:sz w:val="26"/>
          <w:szCs w:val="26"/>
        </w:rPr>
        <w:lastRenderedPageBreak/>
        <w:t>al R</w:t>
      </w:r>
      <w:r w:rsidR="00B95416" w:rsidRPr="000F0D8B">
        <w:rPr>
          <w:rFonts w:asciiTheme="minorHAnsi" w:hAnsiTheme="minorHAnsi" w:cstheme="minorHAnsi"/>
          <w:sz w:val="26"/>
          <w:szCs w:val="26"/>
        </w:rPr>
        <w:t>.</w:t>
      </w:r>
      <w:r w:rsidRPr="000F0D8B">
        <w:rPr>
          <w:rFonts w:asciiTheme="minorHAnsi" w:hAnsiTheme="minorHAnsi" w:cstheme="minorHAnsi"/>
          <w:sz w:val="26"/>
          <w:szCs w:val="26"/>
        </w:rPr>
        <w:t>E</w:t>
      </w:r>
      <w:r w:rsidR="00B95416" w:rsidRPr="000F0D8B">
        <w:rPr>
          <w:rFonts w:asciiTheme="minorHAnsi" w:hAnsiTheme="minorHAnsi" w:cstheme="minorHAnsi"/>
          <w:sz w:val="26"/>
          <w:szCs w:val="26"/>
        </w:rPr>
        <w:t>.</w:t>
      </w:r>
      <w:r w:rsidRPr="000F0D8B">
        <w:rPr>
          <w:rFonts w:asciiTheme="minorHAnsi" w:hAnsiTheme="minorHAnsi" w:cstheme="minorHAnsi"/>
          <w:sz w:val="26"/>
          <w:szCs w:val="26"/>
        </w:rPr>
        <w:t>C</w:t>
      </w:r>
      <w:r w:rsidR="00B95416" w:rsidRPr="000F0D8B">
        <w:rPr>
          <w:rFonts w:asciiTheme="minorHAnsi" w:hAnsiTheme="minorHAnsi" w:cstheme="minorHAnsi"/>
          <w:sz w:val="26"/>
          <w:szCs w:val="26"/>
        </w:rPr>
        <w:t>.</w:t>
      </w:r>
      <w:r w:rsidRPr="000F0D8B">
        <w:rPr>
          <w:rFonts w:asciiTheme="minorHAnsi" w:hAnsiTheme="minorHAnsi" w:cstheme="minorHAnsi"/>
          <w:sz w:val="26"/>
          <w:szCs w:val="26"/>
        </w:rPr>
        <w:t>J</w:t>
      </w:r>
      <w:r w:rsidR="00B95416" w:rsidRPr="000F0D8B">
        <w:rPr>
          <w:rFonts w:asciiTheme="minorHAnsi" w:hAnsiTheme="minorHAnsi" w:cstheme="minorHAnsi"/>
          <w:sz w:val="26"/>
          <w:szCs w:val="26"/>
        </w:rPr>
        <w:t>.</w:t>
      </w:r>
      <w:r w:rsidRPr="000F0D8B">
        <w:rPr>
          <w:rFonts w:asciiTheme="minorHAnsi" w:hAnsiTheme="minorHAnsi" w:cstheme="minorHAnsi"/>
          <w:sz w:val="26"/>
          <w:szCs w:val="26"/>
        </w:rPr>
        <w:t xml:space="preserve">, a fost asigurată de domnul judecător Claudiu-Marian Drăgușin, membru ales al Consiliului Superior al Magistraturii. </w:t>
      </w:r>
    </w:p>
    <w:p w14:paraId="77AB69E0" w14:textId="687DFE6A" w:rsidR="003657DC" w:rsidRPr="000F0D8B" w:rsidRDefault="003657DC" w:rsidP="009E3AD8">
      <w:pPr>
        <w:spacing w:line="276" w:lineRule="auto"/>
        <w:ind w:firstLine="720"/>
        <w:jc w:val="both"/>
        <w:rPr>
          <w:rFonts w:asciiTheme="minorHAnsi" w:hAnsiTheme="minorHAnsi" w:cstheme="minorHAnsi"/>
          <w:sz w:val="26"/>
          <w:szCs w:val="26"/>
        </w:rPr>
      </w:pPr>
      <w:r w:rsidRPr="000F0D8B">
        <w:rPr>
          <w:rFonts w:asciiTheme="minorHAnsi" w:hAnsiTheme="minorHAnsi" w:cstheme="minorHAnsi"/>
          <w:sz w:val="26"/>
          <w:szCs w:val="26"/>
        </w:rPr>
        <w:t>Aflat sub coordonarea României încă din anul 2023, prin domnul judecător Claudiu-Marian Drăgușin, membru ales al Consiliului Superior al Magistraturii, Forumul „Justiție Digitală” (Digital Justice Forum) al R</w:t>
      </w:r>
      <w:r w:rsidR="00B95416" w:rsidRPr="000F0D8B">
        <w:rPr>
          <w:rFonts w:asciiTheme="minorHAnsi" w:hAnsiTheme="minorHAnsi" w:cstheme="minorHAnsi"/>
          <w:sz w:val="26"/>
          <w:szCs w:val="26"/>
        </w:rPr>
        <w:t>.</w:t>
      </w:r>
      <w:r w:rsidRPr="000F0D8B">
        <w:rPr>
          <w:rFonts w:asciiTheme="minorHAnsi" w:hAnsiTheme="minorHAnsi" w:cstheme="minorHAnsi"/>
          <w:sz w:val="26"/>
          <w:szCs w:val="26"/>
        </w:rPr>
        <w:t>E</w:t>
      </w:r>
      <w:r w:rsidR="00B95416" w:rsidRPr="000F0D8B">
        <w:rPr>
          <w:rFonts w:asciiTheme="minorHAnsi" w:hAnsiTheme="minorHAnsi" w:cstheme="minorHAnsi"/>
          <w:sz w:val="26"/>
          <w:szCs w:val="26"/>
        </w:rPr>
        <w:t>.</w:t>
      </w:r>
      <w:r w:rsidRPr="000F0D8B">
        <w:rPr>
          <w:rFonts w:asciiTheme="minorHAnsi" w:hAnsiTheme="minorHAnsi" w:cstheme="minorHAnsi"/>
          <w:sz w:val="26"/>
          <w:szCs w:val="26"/>
        </w:rPr>
        <w:t>C</w:t>
      </w:r>
      <w:r w:rsidR="00B95416" w:rsidRPr="000F0D8B">
        <w:rPr>
          <w:rFonts w:asciiTheme="minorHAnsi" w:hAnsiTheme="minorHAnsi" w:cstheme="minorHAnsi"/>
          <w:sz w:val="26"/>
          <w:szCs w:val="26"/>
        </w:rPr>
        <w:t>.</w:t>
      </w:r>
      <w:r w:rsidRPr="000F0D8B">
        <w:rPr>
          <w:rFonts w:asciiTheme="minorHAnsi" w:hAnsiTheme="minorHAnsi" w:cstheme="minorHAnsi"/>
          <w:sz w:val="26"/>
          <w:szCs w:val="26"/>
        </w:rPr>
        <w:t>J</w:t>
      </w:r>
      <w:r w:rsidR="00B95416" w:rsidRPr="000F0D8B">
        <w:rPr>
          <w:rFonts w:asciiTheme="minorHAnsi" w:hAnsiTheme="minorHAnsi" w:cstheme="minorHAnsi"/>
          <w:sz w:val="26"/>
          <w:szCs w:val="26"/>
        </w:rPr>
        <w:t>.</w:t>
      </w:r>
      <w:r w:rsidRPr="000F0D8B">
        <w:rPr>
          <w:rFonts w:asciiTheme="minorHAnsi" w:hAnsiTheme="minorHAnsi" w:cstheme="minorHAnsi"/>
          <w:sz w:val="26"/>
          <w:szCs w:val="26"/>
        </w:rPr>
        <w:t xml:space="preserve"> și-a continuat activitatea și în cursul anului 2025, fiind organizate două reuniuni în perioadele 12</w:t>
      </w:r>
      <w:r w:rsidR="00F72F2C">
        <w:rPr>
          <w:rFonts w:asciiTheme="minorHAnsi" w:hAnsiTheme="minorHAnsi" w:cstheme="minorHAnsi"/>
          <w:sz w:val="26"/>
          <w:szCs w:val="26"/>
        </w:rPr>
        <w:t xml:space="preserve"> mai</w:t>
      </w:r>
      <w:r w:rsidR="00B95416" w:rsidRPr="000F0D8B">
        <w:rPr>
          <w:rFonts w:asciiTheme="minorHAnsi" w:hAnsiTheme="minorHAnsi" w:cstheme="minorHAnsi"/>
          <w:sz w:val="26"/>
          <w:szCs w:val="26"/>
        </w:rPr>
        <w:t xml:space="preserve"> </w:t>
      </w:r>
      <w:r w:rsidR="004A66C8" w:rsidRPr="000F0D8B">
        <w:rPr>
          <w:rFonts w:asciiTheme="minorHAnsi" w:hAnsiTheme="minorHAnsi" w:cstheme="minorHAnsi"/>
          <w:sz w:val="26"/>
          <w:szCs w:val="26"/>
        </w:rPr>
        <w:t>–</w:t>
      </w:r>
      <w:r w:rsidR="00B95416" w:rsidRPr="000F0D8B">
        <w:rPr>
          <w:rFonts w:asciiTheme="minorHAnsi" w:hAnsiTheme="minorHAnsi" w:cstheme="minorHAnsi"/>
          <w:sz w:val="26"/>
          <w:szCs w:val="26"/>
        </w:rPr>
        <w:t xml:space="preserve"> </w:t>
      </w:r>
      <w:r w:rsidRPr="000F0D8B">
        <w:rPr>
          <w:rFonts w:asciiTheme="minorHAnsi" w:hAnsiTheme="minorHAnsi" w:cstheme="minorHAnsi"/>
          <w:sz w:val="26"/>
          <w:szCs w:val="26"/>
        </w:rPr>
        <w:t>13</w:t>
      </w:r>
      <w:r w:rsidR="00F72F2C">
        <w:rPr>
          <w:rFonts w:asciiTheme="minorHAnsi" w:hAnsiTheme="minorHAnsi" w:cstheme="minorHAnsi"/>
          <w:sz w:val="26"/>
          <w:szCs w:val="26"/>
        </w:rPr>
        <w:t xml:space="preserve"> mai </w:t>
      </w:r>
      <w:r w:rsidR="004A66C8" w:rsidRPr="000F0D8B">
        <w:rPr>
          <w:rFonts w:asciiTheme="minorHAnsi" w:hAnsiTheme="minorHAnsi" w:cstheme="minorHAnsi"/>
          <w:sz w:val="26"/>
          <w:szCs w:val="26"/>
        </w:rPr>
        <w:t>2025</w:t>
      </w:r>
      <w:r w:rsidRPr="000F0D8B">
        <w:rPr>
          <w:rFonts w:asciiTheme="minorHAnsi" w:hAnsiTheme="minorHAnsi" w:cstheme="minorHAnsi"/>
          <w:sz w:val="26"/>
          <w:szCs w:val="26"/>
        </w:rPr>
        <w:t>, respectiv 16</w:t>
      </w:r>
      <w:r w:rsidR="00B95416" w:rsidRPr="000F0D8B">
        <w:rPr>
          <w:rFonts w:asciiTheme="minorHAnsi" w:hAnsiTheme="minorHAnsi" w:cstheme="minorHAnsi"/>
          <w:sz w:val="26"/>
          <w:szCs w:val="26"/>
        </w:rPr>
        <w:t xml:space="preserve"> </w:t>
      </w:r>
      <w:r w:rsidR="00F72F2C">
        <w:rPr>
          <w:rFonts w:asciiTheme="minorHAnsi" w:hAnsiTheme="minorHAnsi" w:cstheme="minorHAnsi"/>
          <w:sz w:val="26"/>
          <w:szCs w:val="26"/>
        </w:rPr>
        <w:t xml:space="preserve">octombrie </w:t>
      </w:r>
      <w:r w:rsidR="004A66C8" w:rsidRPr="000F0D8B">
        <w:rPr>
          <w:rFonts w:asciiTheme="minorHAnsi" w:hAnsiTheme="minorHAnsi" w:cstheme="minorHAnsi"/>
          <w:sz w:val="26"/>
          <w:szCs w:val="26"/>
        </w:rPr>
        <w:t>–</w:t>
      </w:r>
      <w:r w:rsidR="00B95416" w:rsidRPr="000F0D8B">
        <w:rPr>
          <w:rFonts w:asciiTheme="minorHAnsi" w:hAnsiTheme="minorHAnsi" w:cstheme="minorHAnsi"/>
          <w:sz w:val="26"/>
          <w:szCs w:val="26"/>
        </w:rPr>
        <w:t xml:space="preserve"> </w:t>
      </w:r>
      <w:r w:rsidRPr="000F0D8B">
        <w:rPr>
          <w:rFonts w:asciiTheme="minorHAnsi" w:hAnsiTheme="minorHAnsi" w:cstheme="minorHAnsi"/>
          <w:sz w:val="26"/>
          <w:szCs w:val="26"/>
        </w:rPr>
        <w:t>17</w:t>
      </w:r>
      <w:r w:rsidR="00F72F2C">
        <w:rPr>
          <w:rFonts w:asciiTheme="minorHAnsi" w:hAnsiTheme="minorHAnsi" w:cstheme="minorHAnsi"/>
          <w:sz w:val="26"/>
          <w:szCs w:val="26"/>
        </w:rPr>
        <w:t xml:space="preserve"> octombrie </w:t>
      </w:r>
      <w:r w:rsidRPr="000F0D8B">
        <w:rPr>
          <w:rFonts w:asciiTheme="minorHAnsi" w:hAnsiTheme="minorHAnsi" w:cstheme="minorHAnsi"/>
          <w:sz w:val="26"/>
          <w:szCs w:val="26"/>
        </w:rPr>
        <w:t>2025. Scopul Digital Justice Forum este de a crea o rețea de schimb de informații și consiliere pentru experții naționali care se ocupă cu aspecte privind digitalizarea, de a promova dialogul privind provocările și oportunitățile</w:t>
      </w:r>
      <w:r w:rsidR="00E5124B">
        <w:rPr>
          <w:rFonts w:asciiTheme="minorHAnsi" w:hAnsiTheme="minorHAnsi" w:cstheme="minorHAnsi"/>
          <w:sz w:val="26"/>
          <w:szCs w:val="26"/>
        </w:rPr>
        <w:t xml:space="preserve"> - </w:t>
      </w:r>
      <w:r w:rsidRPr="000F0D8B">
        <w:rPr>
          <w:rFonts w:asciiTheme="minorHAnsi" w:hAnsiTheme="minorHAnsi" w:cstheme="minorHAnsi"/>
          <w:sz w:val="26"/>
          <w:szCs w:val="26"/>
        </w:rPr>
        <w:t>echilibrarea eficienței și a accesului la o justiție independentă, de a monitoriza evoluțiile din domeniul inteligenței artificiale, precum și provocările și oportunitățile pe care aceasta le poate oferi sistemului judiciar, de a crea cadrul propice schimbului de bune practici, de a oferi Comisiei Europene o perspectivă a sistemelor judiciare asupra e-Justice, precum și de a asigura legătura cu Grupul de lucru C</w:t>
      </w:r>
      <w:r w:rsidR="00BE2845" w:rsidRPr="000F0D8B">
        <w:rPr>
          <w:rFonts w:asciiTheme="minorHAnsi" w:hAnsiTheme="minorHAnsi" w:cstheme="minorHAnsi"/>
          <w:sz w:val="26"/>
          <w:szCs w:val="26"/>
        </w:rPr>
        <w:t>.</w:t>
      </w:r>
      <w:r w:rsidRPr="000F0D8B">
        <w:rPr>
          <w:rFonts w:asciiTheme="minorHAnsi" w:hAnsiTheme="minorHAnsi" w:cstheme="minorHAnsi"/>
          <w:sz w:val="26"/>
          <w:szCs w:val="26"/>
        </w:rPr>
        <w:t>E</w:t>
      </w:r>
      <w:r w:rsidR="00BE2845" w:rsidRPr="000F0D8B">
        <w:rPr>
          <w:rFonts w:asciiTheme="minorHAnsi" w:hAnsiTheme="minorHAnsi" w:cstheme="minorHAnsi"/>
          <w:sz w:val="26"/>
          <w:szCs w:val="26"/>
        </w:rPr>
        <w:t>.</w:t>
      </w:r>
      <w:r w:rsidRPr="000F0D8B">
        <w:rPr>
          <w:rFonts w:asciiTheme="minorHAnsi" w:hAnsiTheme="minorHAnsi" w:cstheme="minorHAnsi"/>
          <w:sz w:val="26"/>
          <w:szCs w:val="26"/>
        </w:rPr>
        <w:t>P</w:t>
      </w:r>
      <w:r w:rsidR="00BE2845" w:rsidRPr="000F0D8B">
        <w:rPr>
          <w:rFonts w:asciiTheme="minorHAnsi" w:hAnsiTheme="minorHAnsi" w:cstheme="minorHAnsi"/>
          <w:sz w:val="26"/>
          <w:szCs w:val="26"/>
        </w:rPr>
        <w:t>.</w:t>
      </w:r>
      <w:r w:rsidRPr="000F0D8B">
        <w:rPr>
          <w:rFonts w:asciiTheme="minorHAnsi" w:hAnsiTheme="minorHAnsi" w:cstheme="minorHAnsi"/>
          <w:sz w:val="26"/>
          <w:szCs w:val="26"/>
        </w:rPr>
        <w:t>E</w:t>
      </w:r>
      <w:r w:rsidR="00BE2845" w:rsidRPr="000F0D8B">
        <w:rPr>
          <w:rFonts w:asciiTheme="minorHAnsi" w:hAnsiTheme="minorHAnsi" w:cstheme="minorHAnsi"/>
          <w:sz w:val="26"/>
          <w:szCs w:val="26"/>
        </w:rPr>
        <w:t>.</w:t>
      </w:r>
      <w:r w:rsidRPr="000F0D8B">
        <w:rPr>
          <w:rFonts w:asciiTheme="minorHAnsi" w:hAnsiTheme="minorHAnsi" w:cstheme="minorHAnsi"/>
          <w:sz w:val="26"/>
          <w:szCs w:val="26"/>
        </w:rPr>
        <w:t>J</w:t>
      </w:r>
      <w:r w:rsidR="00BE2845" w:rsidRPr="000F0D8B">
        <w:rPr>
          <w:rFonts w:asciiTheme="minorHAnsi" w:hAnsiTheme="minorHAnsi" w:cstheme="minorHAnsi"/>
          <w:sz w:val="26"/>
          <w:szCs w:val="26"/>
        </w:rPr>
        <w:t>.</w:t>
      </w:r>
      <w:r w:rsidRPr="000F0D8B">
        <w:rPr>
          <w:rFonts w:asciiTheme="minorHAnsi" w:hAnsiTheme="minorHAnsi" w:cstheme="minorHAnsi"/>
          <w:sz w:val="26"/>
          <w:szCs w:val="26"/>
        </w:rPr>
        <w:t xml:space="preserve"> privind justiția cibernetică, C</w:t>
      </w:r>
      <w:r w:rsidR="00BE2845" w:rsidRPr="000F0D8B">
        <w:rPr>
          <w:rFonts w:asciiTheme="minorHAnsi" w:hAnsiTheme="minorHAnsi" w:cstheme="minorHAnsi"/>
          <w:sz w:val="26"/>
          <w:szCs w:val="26"/>
        </w:rPr>
        <w:t>.</w:t>
      </w:r>
      <w:r w:rsidRPr="000F0D8B">
        <w:rPr>
          <w:rFonts w:asciiTheme="minorHAnsi" w:hAnsiTheme="minorHAnsi" w:cstheme="minorHAnsi"/>
          <w:sz w:val="26"/>
          <w:szCs w:val="26"/>
        </w:rPr>
        <w:t>C</w:t>
      </w:r>
      <w:r w:rsidR="00BE2845" w:rsidRPr="000F0D8B">
        <w:rPr>
          <w:rFonts w:asciiTheme="minorHAnsi" w:hAnsiTheme="minorHAnsi" w:cstheme="minorHAnsi"/>
          <w:sz w:val="26"/>
          <w:szCs w:val="26"/>
        </w:rPr>
        <w:t>.</w:t>
      </w:r>
      <w:r w:rsidRPr="000F0D8B">
        <w:rPr>
          <w:rFonts w:asciiTheme="minorHAnsi" w:hAnsiTheme="minorHAnsi" w:cstheme="minorHAnsi"/>
          <w:sz w:val="26"/>
          <w:szCs w:val="26"/>
        </w:rPr>
        <w:t>B</w:t>
      </w:r>
      <w:r w:rsidR="00BE2845" w:rsidRPr="000F0D8B">
        <w:rPr>
          <w:rFonts w:asciiTheme="minorHAnsi" w:hAnsiTheme="minorHAnsi" w:cstheme="minorHAnsi"/>
          <w:sz w:val="26"/>
          <w:szCs w:val="26"/>
        </w:rPr>
        <w:t>.</w:t>
      </w:r>
      <w:r w:rsidRPr="000F0D8B">
        <w:rPr>
          <w:rFonts w:asciiTheme="minorHAnsi" w:hAnsiTheme="minorHAnsi" w:cstheme="minorHAnsi"/>
          <w:sz w:val="26"/>
          <w:szCs w:val="26"/>
        </w:rPr>
        <w:t>E</w:t>
      </w:r>
      <w:r w:rsidR="00BE2845" w:rsidRPr="000F0D8B">
        <w:rPr>
          <w:rFonts w:asciiTheme="minorHAnsi" w:hAnsiTheme="minorHAnsi" w:cstheme="minorHAnsi"/>
          <w:sz w:val="26"/>
          <w:szCs w:val="26"/>
        </w:rPr>
        <w:t>.</w:t>
      </w:r>
      <w:r w:rsidRPr="000F0D8B">
        <w:rPr>
          <w:rFonts w:asciiTheme="minorHAnsi" w:hAnsiTheme="minorHAnsi" w:cstheme="minorHAnsi"/>
          <w:sz w:val="26"/>
          <w:szCs w:val="26"/>
        </w:rPr>
        <w:t xml:space="preserve">, Direcția E-Justice DG Just a Comisiei Europene. </w:t>
      </w:r>
    </w:p>
    <w:p w14:paraId="0609A0B4" w14:textId="129AD033" w:rsidR="003657DC" w:rsidRPr="000F0D8B" w:rsidRDefault="003657DC" w:rsidP="009E3AD8">
      <w:pPr>
        <w:spacing w:line="276" w:lineRule="auto"/>
        <w:ind w:firstLine="720"/>
        <w:jc w:val="both"/>
        <w:rPr>
          <w:rFonts w:asciiTheme="minorHAnsi" w:hAnsiTheme="minorHAnsi" w:cstheme="minorHAnsi"/>
          <w:sz w:val="26"/>
          <w:szCs w:val="26"/>
        </w:rPr>
      </w:pPr>
      <w:r w:rsidRPr="000F0D8B">
        <w:rPr>
          <w:rFonts w:asciiTheme="minorHAnsi" w:hAnsiTheme="minorHAnsi" w:cstheme="minorHAnsi"/>
          <w:sz w:val="26"/>
          <w:szCs w:val="26"/>
        </w:rPr>
        <w:t>Și în acest an a continuat implicarea Consiliului în activitatea Proiectului nr. 1 al R</w:t>
      </w:r>
      <w:r w:rsidR="00EF22E6" w:rsidRPr="000F0D8B">
        <w:rPr>
          <w:rFonts w:asciiTheme="minorHAnsi" w:hAnsiTheme="minorHAnsi" w:cstheme="minorHAnsi"/>
          <w:sz w:val="26"/>
          <w:szCs w:val="26"/>
        </w:rPr>
        <w:t>.</w:t>
      </w:r>
      <w:r w:rsidRPr="000F0D8B">
        <w:rPr>
          <w:rFonts w:asciiTheme="minorHAnsi" w:hAnsiTheme="minorHAnsi" w:cstheme="minorHAnsi"/>
          <w:sz w:val="26"/>
          <w:szCs w:val="26"/>
        </w:rPr>
        <w:t>E</w:t>
      </w:r>
      <w:r w:rsidR="00EF22E6" w:rsidRPr="000F0D8B">
        <w:rPr>
          <w:rFonts w:asciiTheme="minorHAnsi" w:hAnsiTheme="minorHAnsi" w:cstheme="minorHAnsi"/>
          <w:sz w:val="26"/>
          <w:szCs w:val="26"/>
        </w:rPr>
        <w:t>.</w:t>
      </w:r>
      <w:r w:rsidRPr="000F0D8B">
        <w:rPr>
          <w:rFonts w:asciiTheme="minorHAnsi" w:hAnsiTheme="minorHAnsi" w:cstheme="minorHAnsi"/>
          <w:sz w:val="26"/>
          <w:szCs w:val="26"/>
        </w:rPr>
        <w:t>C</w:t>
      </w:r>
      <w:r w:rsidR="00EF22E6" w:rsidRPr="000F0D8B">
        <w:rPr>
          <w:rFonts w:asciiTheme="minorHAnsi" w:hAnsiTheme="minorHAnsi" w:cstheme="minorHAnsi"/>
          <w:sz w:val="26"/>
          <w:szCs w:val="26"/>
        </w:rPr>
        <w:t>.</w:t>
      </w:r>
      <w:r w:rsidRPr="000F0D8B">
        <w:rPr>
          <w:rFonts w:asciiTheme="minorHAnsi" w:hAnsiTheme="minorHAnsi" w:cstheme="minorHAnsi"/>
          <w:sz w:val="26"/>
          <w:szCs w:val="26"/>
        </w:rPr>
        <w:t>J</w:t>
      </w:r>
      <w:r w:rsidR="00EF22E6" w:rsidRPr="000F0D8B">
        <w:rPr>
          <w:rFonts w:asciiTheme="minorHAnsi" w:hAnsiTheme="minorHAnsi" w:cstheme="minorHAnsi"/>
          <w:sz w:val="26"/>
          <w:szCs w:val="26"/>
        </w:rPr>
        <w:t>.</w:t>
      </w:r>
      <w:r w:rsidRPr="000F0D8B">
        <w:rPr>
          <w:rFonts w:asciiTheme="minorHAnsi" w:hAnsiTheme="minorHAnsi" w:cstheme="minorHAnsi"/>
          <w:sz w:val="26"/>
          <w:szCs w:val="26"/>
        </w:rPr>
        <w:t xml:space="preserve"> - „Independență, responsabilitate și calitate în sistemul judiciar”, prin participarea reprezentanților desemnați ai instituției la reuniunile din 27</w:t>
      </w:r>
      <w:r w:rsidR="00FA1743">
        <w:rPr>
          <w:rFonts w:asciiTheme="minorHAnsi" w:hAnsiTheme="minorHAnsi" w:cstheme="minorHAnsi"/>
          <w:sz w:val="26"/>
          <w:szCs w:val="26"/>
        </w:rPr>
        <w:t xml:space="preserve"> februarie - </w:t>
      </w:r>
      <w:r w:rsidRPr="000F0D8B">
        <w:rPr>
          <w:rFonts w:asciiTheme="minorHAnsi" w:hAnsiTheme="minorHAnsi" w:cstheme="minorHAnsi"/>
          <w:sz w:val="26"/>
          <w:szCs w:val="26"/>
        </w:rPr>
        <w:t>28</w:t>
      </w:r>
      <w:r w:rsidR="00FA1743">
        <w:rPr>
          <w:rFonts w:asciiTheme="minorHAnsi" w:hAnsiTheme="minorHAnsi" w:cstheme="minorHAnsi"/>
          <w:sz w:val="26"/>
          <w:szCs w:val="26"/>
        </w:rPr>
        <w:t xml:space="preserve"> februarie </w:t>
      </w:r>
      <w:r w:rsidRPr="000F0D8B">
        <w:rPr>
          <w:rFonts w:asciiTheme="minorHAnsi" w:hAnsiTheme="minorHAnsi" w:cstheme="minorHAnsi"/>
          <w:sz w:val="26"/>
          <w:szCs w:val="26"/>
        </w:rPr>
        <w:t xml:space="preserve">2025, </w:t>
      </w:r>
      <w:r w:rsidR="00143E58" w:rsidRPr="000F0D8B">
        <w:rPr>
          <w:rFonts w:asciiTheme="minorHAnsi" w:hAnsiTheme="minorHAnsi" w:cstheme="minorHAnsi"/>
          <w:sz w:val="26"/>
          <w:szCs w:val="26"/>
        </w:rPr>
        <w:t>0</w:t>
      </w:r>
      <w:r w:rsidRPr="000F0D8B">
        <w:rPr>
          <w:rFonts w:asciiTheme="minorHAnsi" w:hAnsiTheme="minorHAnsi" w:cstheme="minorHAnsi"/>
          <w:sz w:val="26"/>
          <w:szCs w:val="26"/>
        </w:rPr>
        <w:t>3</w:t>
      </w:r>
      <w:r w:rsidR="00FA1743">
        <w:rPr>
          <w:rFonts w:asciiTheme="minorHAnsi" w:hAnsiTheme="minorHAnsi" w:cstheme="minorHAnsi"/>
          <w:sz w:val="26"/>
          <w:szCs w:val="26"/>
        </w:rPr>
        <w:t xml:space="preserve"> aprilie - </w:t>
      </w:r>
      <w:r w:rsidR="00143E58" w:rsidRPr="000F0D8B">
        <w:rPr>
          <w:rFonts w:asciiTheme="minorHAnsi" w:hAnsiTheme="minorHAnsi" w:cstheme="minorHAnsi"/>
          <w:sz w:val="26"/>
          <w:szCs w:val="26"/>
        </w:rPr>
        <w:t>0</w:t>
      </w:r>
      <w:r w:rsidRPr="000F0D8B">
        <w:rPr>
          <w:rFonts w:asciiTheme="minorHAnsi" w:hAnsiTheme="minorHAnsi" w:cstheme="minorHAnsi"/>
          <w:sz w:val="26"/>
          <w:szCs w:val="26"/>
        </w:rPr>
        <w:t>4</w:t>
      </w:r>
      <w:r w:rsidR="00FA1743">
        <w:rPr>
          <w:rFonts w:asciiTheme="minorHAnsi" w:hAnsiTheme="minorHAnsi" w:cstheme="minorHAnsi"/>
          <w:sz w:val="26"/>
          <w:szCs w:val="26"/>
        </w:rPr>
        <w:t xml:space="preserve"> aprilie 2</w:t>
      </w:r>
      <w:r w:rsidRPr="000F0D8B">
        <w:rPr>
          <w:rFonts w:asciiTheme="minorHAnsi" w:hAnsiTheme="minorHAnsi" w:cstheme="minorHAnsi"/>
          <w:sz w:val="26"/>
          <w:szCs w:val="26"/>
        </w:rPr>
        <w:t xml:space="preserve">025 și </w:t>
      </w:r>
      <w:r w:rsidR="00143E58" w:rsidRPr="000F0D8B">
        <w:rPr>
          <w:rFonts w:asciiTheme="minorHAnsi" w:hAnsiTheme="minorHAnsi" w:cstheme="minorHAnsi"/>
          <w:sz w:val="26"/>
          <w:szCs w:val="26"/>
        </w:rPr>
        <w:t>0</w:t>
      </w:r>
      <w:r w:rsidRPr="000F0D8B">
        <w:rPr>
          <w:rFonts w:asciiTheme="minorHAnsi" w:hAnsiTheme="minorHAnsi" w:cstheme="minorHAnsi"/>
          <w:sz w:val="26"/>
          <w:szCs w:val="26"/>
        </w:rPr>
        <w:t>2</w:t>
      </w:r>
      <w:r w:rsidR="00FA1743">
        <w:rPr>
          <w:rFonts w:asciiTheme="minorHAnsi" w:hAnsiTheme="minorHAnsi" w:cstheme="minorHAnsi"/>
          <w:sz w:val="26"/>
          <w:szCs w:val="26"/>
        </w:rPr>
        <w:t xml:space="preserve"> octombrie – 0</w:t>
      </w:r>
      <w:r w:rsidRPr="000F0D8B">
        <w:rPr>
          <w:rFonts w:asciiTheme="minorHAnsi" w:hAnsiTheme="minorHAnsi" w:cstheme="minorHAnsi"/>
          <w:sz w:val="26"/>
          <w:szCs w:val="26"/>
        </w:rPr>
        <w:t>3</w:t>
      </w:r>
      <w:r w:rsidR="00FA1743">
        <w:rPr>
          <w:rFonts w:asciiTheme="minorHAnsi" w:hAnsiTheme="minorHAnsi" w:cstheme="minorHAnsi"/>
          <w:sz w:val="26"/>
          <w:szCs w:val="26"/>
        </w:rPr>
        <w:t xml:space="preserve"> octombrie </w:t>
      </w:r>
      <w:r w:rsidRPr="000F0D8B">
        <w:rPr>
          <w:rFonts w:asciiTheme="minorHAnsi" w:hAnsiTheme="minorHAnsi" w:cstheme="minorHAnsi"/>
          <w:sz w:val="26"/>
          <w:szCs w:val="26"/>
        </w:rPr>
        <w:t xml:space="preserve">2025. Proiectul și-a propus să urmărească schimbul de bune practici între membrii și observatorii Rețelei, dar și provocările cu care se confruntă sistemele judiciare europene, încercând, totodată, identificarea unor elemente care ar putea avea o aplicabilitate generală pentru statele participante. Activitățile s-au derulat ținând cont de cele trei mari componente, și anume: Independența și responsabilitatea sistemului judiciar (Independence and Accountability), Sondajul privind gradul de satisfacție a justițiabililor (Court Users Survey) și Calitatea (Quality). </w:t>
      </w:r>
    </w:p>
    <w:p w14:paraId="3A66C347" w14:textId="7456931A" w:rsidR="003657DC" w:rsidRPr="000F0D8B" w:rsidRDefault="003657DC" w:rsidP="009E3AD8">
      <w:pPr>
        <w:spacing w:line="276" w:lineRule="auto"/>
        <w:ind w:firstLine="720"/>
        <w:jc w:val="both"/>
        <w:rPr>
          <w:rFonts w:asciiTheme="minorHAnsi" w:hAnsiTheme="minorHAnsi" w:cstheme="minorHAnsi"/>
          <w:sz w:val="26"/>
          <w:szCs w:val="26"/>
        </w:rPr>
      </w:pPr>
      <w:r w:rsidRPr="000F0D8B">
        <w:rPr>
          <w:rFonts w:asciiTheme="minorHAnsi" w:hAnsiTheme="minorHAnsi" w:cstheme="minorHAnsi"/>
          <w:sz w:val="26"/>
          <w:szCs w:val="26"/>
        </w:rPr>
        <w:t>În  primul trimestru al anului 2025, a fost derulat sondajul R</w:t>
      </w:r>
      <w:r w:rsidR="00FC684D" w:rsidRPr="000F0D8B">
        <w:rPr>
          <w:rFonts w:asciiTheme="minorHAnsi" w:hAnsiTheme="minorHAnsi" w:cstheme="minorHAnsi"/>
          <w:sz w:val="26"/>
          <w:szCs w:val="26"/>
        </w:rPr>
        <w:t>.</w:t>
      </w:r>
      <w:r w:rsidRPr="000F0D8B">
        <w:rPr>
          <w:rFonts w:asciiTheme="minorHAnsi" w:hAnsiTheme="minorHAnsi" w:cstheme="minorHAnsi"/>
          <w:sz w:val="26"/>
          <w:szCs w:val="26"/>
        </w:rPr>
        <w:t>E</w:t>
      </w:r>
      <w:r w:rsidR="00FC684D" w:rsidRPr="000F0D8B">
        <w:rPr>
          <w:rFonts w:asciiTheme="minorHAnsi" w:hAnsiTheme="minorHAnsi" w:cstheme="minorHAnsi"/>
          <w:sz w:val="26"/>
          <w:szCs w:val="26"/>
        </w:rPr>
        <w:t>.</w:t>
      </w:r>
      <w:r w:rsidRPr="000F0D8B">
        <w:rPr>
          <w:rFonts w:asciiTheme="minorHAnsi" w:hAnsiTheme="minorHAnsi" w:cstheme="minorHAnsi"/>
          <w:sz w:val="26"/>
          <w:szCs w:val="26"/>
        </w:rPr>
        <w:t>C</w:t>
      </w:r>
      <w:r w:rsidR="00FC684D" w:rsidRPr="000F0D8B">
        <w:rPr>
          <w:rFonts w:asciiTheme="minorHAnsi" w:hAnsiTheme="minorHAnsi" w:cstheme="minorHAnsi"/>
          <w:sz w:val="26"/>
          <w:szCs w:val="26"/>
        </w:rPr>
        <w:t>.</w:t>
      </w:r>
      <w:r w:rsidRPr="000F0D8B">
        <w:rPr>
          <w:rFonts w:asciiTheme="minorHAnsi" w:hAnsiTheme="minorHAnsi" w:cstheme="minorHAnsi"/>
          <w:sz w:val="26"/>
          <w:szCs w:val="26"/>
        </w:rPr>
        <w:t>J</w:t>
      </w:r>
      <w:r w:rsidR="00FC684D" w:rsidRPr="000F0D8B">
        <w:rPr>
          <w:rFonts w:asciiTheme="minorHAnsi" w:hAnsiTheme="minorHAnsi" w:cstheme="minorHAnsi"/>
          <w:sz w:val="26"/>
          <w:szCs w:val="26"/>
        </w:rPr>
        <w:t>.</w:t>
      </w:r>
      <w:r w:rsidRPr="000F0D8B">
        <w:rPr>
          <w:rFonts w:asciiTheme="minorHAnsi" w:hAnsiTheme="minorHAnsi" w:cstheme="minorHAnsi"/>
          <w:sz w:val="26"/>
          <w:szCs w:val="26"/>
        </w:rPr>
        <w:t xml:space="preserve"> realizat în rândul judecătorilor cu privire la independenţa lor, la care au participat 19.136 de judecători din 30 de țări. C</w:t>
      </w:r>
      <w:r w:rsidR="00E5124B">
        <w:rPr>
          <w:rFonts w:asciiTheme="minorHAnsi" w:hAnsiTheme="minorHAnsi" w:cstheme="minorHAnsi"/>
          <w:sz w:val="26"/>
          <w:szCs w:val="26"/>
        </w:rPr>
        <w:t xml:space="preserve">.S.M. </w:t>
      </w:r>
      <w:r w:rsidRPr="000F0D8B">
        <w:rPr>
          <w:rFonts w:asciiTheme="minorHAnsi" w:hAnsiTheme="minorHAnsi" w:cstheme="minorHAnsi"/>
          <w:sz w:val="26"/>
          <w:szCs w:val="26"/>
        </w:rPr>
        <w:t>a participat la această ediție a sondajului, implicându-se cu un plan de implementare, fiind obținută o rată de participare de peste 30% din numărul de judecători aflați efectiv în funcție, cu respectarea pragului minim de 20% propus de Rețea.</w:t>
      </w:r>
    </w:p>
    <w:p w14:paraId="135E42E1" w14:textId="2A1A86E0" w:rsidR="003657DC" w:rsidRPr="000F0D8B" w:rsidRDefault="003657DC" w:rsidP="009E3AD8">
      <w:pPr>
        <w:spacing w:line="276" w:lineRule="auto"/>
        <w:ind w:firstLine="720"/>
        <w:jc w:val="both"/>
        <w:rPr>
          <w:rFonts w:asciiTheme="minorHAnsi" w:hAnsiTheme="minorHAnsi" w:cstheme="minorHAnsi"/>
          <w:sz w:val="26"/>
          <w:szCs w:val="26"/>
        </w:rPr>
      </w:pPr>
      <w:r w:rsidRPr="000F0D8B">
        <w:rPr>
          <w:rFonts w:asciiTheme="minorHAnsi" w:hAnsiTheme="minorHAnsi" w:cstheme="minorHAnsi"/>
          <w:sz w:val="26"/>
          <w:szCs w:val="26"/>
        </w:rPr>
        <w:t>În anul 2025, R</w:t>
      </w:r>
      <w:r w:rsidR="00FC684D" w:rsidRPr="000F0D8B">
        <w:rPr>
          <w:rFonts w:asciiTheme="minorHAnsi" w:hAnsiTheme="minorHAnsi" w:cstheme="minorHAnsi"/>
          <w:sz w:val="26"/>
          <w:szCs w:val="26"/>
        </w:rPr>
        <w:t>.</w:t>
      </w:r>
      <w:r w:rsidRPr="000F0D8B">
        <w:rPr>
          <w:rFonts w:asciiTheme="minorHAnsi" w:hAnsiTheme="minorHAnsi" w:cstheme="minorHAnsi"/>
          <w:sz w:val="26"/>
          <w:szCs w:val="26"/>
        </w:rPr>
        <w:t>E</w:t>
      </w:r>
      <w:r w:rsidR="00FC684D" w:rsidRPr="000F0D8B">
        <w:rPr>
          <w:rFonts w:asciiTheme="minorHAnsi" w:hAnsiTheme="minorHAnsi" w:cstheme="minorHAnsi"/>
          <w:sz w:val="26"/>
          <w:szCs w:val="26"/>
        </w:rPr>
        <w:t>.</w:t>
      </w:r>
      <w:r w:rsidRPr="000F0D8B">
        <w:rPr>
          <w:rFonts w:asciiTheme="minorHAnsi" w:hAnsiTheme="minorHAnsi" w:cstheme="minorHAnsi"/>
          <w:sz w:val="26"/>
          <w:szCs w:val="26"/>
        </w:rPr>
        <w:t>C</w:t>
      </w:r>
      <w:r w:rsidR="00FC684D" w:rsidRPr="000F0D8B">
        <w:rPr>
          <w:rFonts w:asciiTheme="minorHAnsi" w:hAnsiTheme="minorHAnsi" w:cstheme="minorHAnsi"/>
          <w:sz w:val="26"/>
          <w:szCs w:val="26"/>
        </w:rPr>
        <w:t>.</w:t>
      </w:r>
      <w:r w:rsidRPr="000F0D8B">
        <w:rPr>
          <w:rFonts w:asciiTheme="minorHAnsi" w:hAnsiTheme="minorHAnsi" w:cstheme="minorHAnsi"/>
          <w:sz w:val="26"/>
          <w:szCs w:val="26"/>
        </w:rPr>
        <w:t>J</w:t>
      </w:r>
      <w:r w:rsidR="00FC684D" w:rsidRPr="000F0D8B">
        <w:rPr>
          <w:rFonts w:asciiTheme="minorHAnsi" w:hAnsiTheme="minorHAnsi" w:cstheme="minorHAnsi"/>
          <w:sz w:val="26"/>
          <w:szCs w:val="26"/>
        </w:rPr>
        <w:t>.</w:t>
      </w:r>
      <w:r w:rsidRPr="000F0D8B">
        <w:rPr>
          <w:rFonts w:asciiTheme="minorHAnsi" w:hAnsiTheme="minorHAnsi" w:cstheme="minorHAnsi"/>
          <w:sz w:val="26"/>
          <w:szCs w:val="26"/>
        </w:rPr>
        <w:t xml:space="preserve"> a continuat organizarea, în format online, a întâlnirilor de tip lunch-seminar, în cadrul cărora au fost abordate teme de interes comun pentru membrii săi (precum discuții referitoare la ediția din anul 2025 a Raportului Comisiei Europene privind statul de drept, orientările Biroului O</w:t>
      </w:r>
      <w:r w:rsidR="00FC684D" w:rsidRPr="000F0D8B">
        <w:rPr>
          <w:rFonts w:asciiTheme="minorHAnsi" w:hAnsiTheme="minorHAnsi" w:cstheme="minorHAnsi"/>
          <w:sz w:val="26"/>
          <w:szCs w:val="26"/>
        </w:rPr>
        <w:t>.</w:t>
      </w:r>
      <w:r w:rsidRPr="000F0D8B">
        <w:rPr>
          <w:rFonts w:asciiTheme="minorHAnsi" w:hAnsiTheme="minorHAnsi" w:cstheme="minorHAnsi"/>
          <w:sz w:val="26"/>
          <w:szCs w:val="26"/>
        </w:rPr>
        <w:t>S</w:t>
      </w:r>
      <w:r w:rsidR="00FC684D" w:rsidRPr="000F0D8B">
        <w:rPr>
          <w:rFonts w:asciiTheme="minorHAnsi" w:hAnsiTheme="minorHAnsi" w:cstheme="minorHAnsi"/>
          <w:sz w:val="26"/>
          <w:szCs w:val="26"/>
        </w:rPr>
        <w:t>.</w:t>
      </w:r>
      <w:r w:rsidRPr="000F0D8B">
        <w:rPr>
          <w:rFonts w:asciiTheme="minorHAnsi" w:hAnsiTheme="minorHAnsi" w:cstheme="minorHAnsi"/>
          <w:sz w:val="26"/>
          <w:szCs w:val="26"/>
        </w:rPr>
        <w:t>C</w:t>
      </w:r>
      <w:r w:rsidR="00FC684D" w:rsidRPr="000F0D8B">
        <w:rPr>
          <w:rFonts w:asciiTheme="minorHAnsi" w:hAnsiTheme="minorHAnsi" w:cstheme="minorHAnsi"/>
          <w:sz w:val="26"/>
          <w:szCs w:val="26"/>
        </w:rPr>
        <w:t>.</w:t>
      </w:r>
      <w:r w:rsidRPr="000F0D8B">
        <w:rPr>
          <w:rFonts w:asciiTheme="minorHAnsi" w:hAnsiTheme="minorHAnsi" w:cstheme="minorHAnsi"/>
          <w:sz w:val="26"/>
          <w:szCs w:val="26"/>
        </w:rPr>
        <w:t>E</w:t>
      </w:r>
      <w:r w:rsidR="00FC684D" w:rsidRPr="000F0D8B">
        <w:rPr>
          <w:rFonts w:asciiTheme="minorHAnsi" w:hAnsiTheme="minorHAnsi" w:cstheme="minorHAnsi"/>
          <w:sz w:val="26"/>
          <w:szCs w:val="26"/>
        </w:rPr>
        <w:t>.</w:t>
      </w:r>
      <w:r w:rsidRPr="000F0D8B">
        <w:rPr>
          <w:rFonts w:asciiTheme="minorHAnsi" w:hAnsiTheme="minorHAnsi" w:cstheme="minorHAnsi"/>
          <w:sz w:val="26"/>
          <w:szCs w:val="26"/>
        </w:rPr>
        <w:t xml:space="preserve"> pentru Instituţii Democratice şi Drepturile Omului privind procesul de legiferare democratică, rolul rețelelor judiciare din perspectiva culturii juridice), dar și subiecte referitoare la situațiile specifice ale unor sisteme judiciare/Consilii ale membrilor sau observatorilor R</w:t>
      </w:r>
      <w:r w:rsidR="00FC684D" w:rsidRPr="000F0D8B">
        <w:rPr>
          <w:rFonts w:asciiTheme="minorHAnsi" w:hAnsiTheme="minorHAnsi" w:cstheme="minorHAnsi"/>
          <w:sz w:val="26"/>
          <w:szCs w:val="26"/>
        </w:rPr>
        <w:t>.</w:t>
      </w:r>
      <w:r w:rsidRPr="000F0D8B">
        <w:rPr>
          <w:rFonts w:asciiTheme="minorHAnsi" w:hAnsiTheme="minorHAnsi" w:cstheme="minorHAnsi"/>
          <w:sz w:val="26"/>
          <w:szCs w:val="26"/>
        </w:rPr>
        <w:t>E</w:t>
      </w:r>
      <w:r w:rsidR="00FC684D" w:rsidRPr="000F0D8B">
        <w:rPr>
          <w:rFonts w:asciiTheme="minorHAnsi" w:hAnsiTheme="minorHAnsi" w:cstheme="minorHAnsi"/>
          <w:sz w:val="26"/>
          <w:szCs w:val="26"/>
        </w:rPr>
        <w:t>.</w:t>
      </w:r>
      <w:r w:rsidRPr="000F0D8B">
        <w:rPr>
          <w:rFonts w:asciiTheme="minorHAnsi" w:hAnsiTheme="minorHAnsi" w:cstheme="minorHAnsi"/>
          <w:sz w:val="26"/>
          <w:szCs w:val="26"/>
        </w:rPr>
        <w:t>C</w:t>
      </w:r>
      <w:r w:rsidR="00FC684D" w:rsidRPr="000F0D8B">
        <w:rPr>
          <w:rFonts w:asciiTheme="minorHAnsi" w:hAnsiTheme="minorHAnsi" w:cstheme="minorHAnsi"/>
          <w:sz w:val="26"/>
          <w:szCs w:val="26"/>
        </w:rPr>
        <w:t>.</w:t>
      </w:r>
      <w:r w:rsidRPr="000F0D8B">
        <w:rPr>
          <w:rFonts w:asciiTheme="minorHAnsi" w:hAnsiTheme="minorHAnsi" w:cstheme="minorHAnsi"/>
          <w:sz w:val="26"/>
          <w:szCs w:val="26"/>
        </w:rPr>
        <w:t>J</w:t>
      </w:r>
      <w:r w:rsidR="00FC684D" w:rsidRPr="000F0D8B">
        <w:rPr>
          <w:rFonts w:asciiTheme="minorHAnsi" w:hAnsiTheme="minorHAnsi" w:cstheme="minorHAnsi"/>
          <w:sz w:val="26"/>
          <w:szCs w:val="26"/>
        </w:rPr>
        <w:t>.</w:t>
      </w:r>
      <w:r w:rsidRPr="000F0D8B">
        <w:rPr>
          <w:rFonts w:asciiTheme="minorHAnsi" w:hAnsiTheme="minorHAnsi" w:cstheme="minorHAnsi"/>
          <w:sz w:val="26"/>
          <w:szCs w:val="26"/>
        </w:rPr>
        <w:t>.</w:t>
      </w:r>
    </w:p>
    <w:p w14:paraId="22385B2D" w14:textId="658F8BF2" w:rsidR="003657DC" w:rsidRPr="000F0D8B" w:rsidRDefault="003657DC" w:rsidP="009E3AD8">
      <w:pPr>
        <w:spacing w:line="276" w:lineRule="auto"/>
        <w:ind w:firstLine="720"/>
        <w:jc w:val="both"/>
        <w:rPr>
          <w:rFonts w:asciiTheme="minorHAnsi" w:hAnsiTheme="minorHAnsi" w:cstheme="minorHAnsi"/>
          <w:sz w:val="26"/>
          <w:szCs w:val="26"/>
        </w:rPr>
      </w:pPr>
      <w:r w:rsidRPr="000F0D8B">
        <w:rPr>
          <w:rFonts w:asciiTheme="minorHAnsi" w:hAnsiTheme="minorHAnsi" w:cstheme="minorHAnsi"/>
          <w:sz w:val="26"/>
          <w:szCs w:val="26"/>
        </w:rPr>
        <w:t xml:space="preserve">De asemenea, în perioada </w:t>
      </w:r>
      <w:r w:rsidR="000C2498" w:rsidRPr="000F0D8B">
        <w:rPr>
          <w:rFonts w:asciiTheme="minorHAnsi" w:hAnsiTheme="minorHAnsi" w:cstheme="minorHAnsi"/>
          <w:sz w:val="26"/>
          <w:szCs w:val="26"/>
        </w:rPr>
        <w:t>0</w:t>
      </w:r>
      <w:r w:rsidRPr="000F0D8B">
        <w:rPr>
          <w:rFonts w:asciiTheme="minorHAnsi" w:hAnsiTheme="minorHAnsi" w:cstheme="minorHAnsi"/>
          <w:sz w:val="26"/>
          <w:szCs w:val="26"/>
        </w:rPr>
        <w:t>4</w:t>
      </w:r>
      <w:r w:rsidR="008302C9">
        <w:rPr>
          <w:rFonts w:asciiTheme="minorHAnsi" w:hAnsiTheme="minorHAnsi" w:cstheme="minorHAnsi"/>
          <w:sz w:val="26"/>
          <w:szCs w:val="26"/>
        </w:rPr>
        <w:t xml:space="preserve"> iunie - 06 iunie </w:t>
      </w:r>
      <w:r w:rsidRPr="000F0D8B">
        <w:rPr>
          <w:rFonts w:asciiTheme="minorHAnsi" w:hAnsiTheme="minorHAnsi" w:cstheme="minorHAnsi"/>
          <w:sz w:val="26"/>
          <w:szCs w:val="26"/>
        </w:rPr>
        <w:t>2025 a avut loc Adunarea Generalӑ a R</w:t>
      </w:r>
      <w:r w:rsidR="00BF7854" w:rsidRPr="000F0D8B">
        <w:rPr>
          <w:rFonts w:asciiTheme="minorHAnsi" w:hAnsiTheme="minorHAnsi" w:cstheme="minorHAnsi"/>
          <w:sz w:val="26"/>
          <w:szCs w:val="26"/>
        </w:rPr>
        <w:t>.</w:t>
      </w:r>
      <w:r w:rsidRPr="000F0D8B">
        <w:rPr>
          <w:rFonts w:asciiTheme="minorHAnsi" w:hAnsiTheme="minorHAnsi" w:cstheme="minorHAnsi"/>
          <w:sz w:val="26"/>
          <w:szCs w:val="26"/>
        </w:rPr>
        <w:t>E</w:t>
      </w:r>
      <w:r w:rsidR="00BF7854" w:rsidRPr="000F0D8B">
        <w:rPr>
          <w:rFonts w:asciiTheme="minorHAnsi" w:hAnsiTheme="minorHAnsi" w:cstheme="minorHAnsi"/>
          <w:sz w:val="26"/>
          <w:szCs w:val="26"/>
        </w:rPr>
        <w:t>.</w:t>
      </w:r>
      <w:r w:rsidRPr="000F0D8B">
        <w:rPr>
          <w:rFonts w:asciiTheme="minorHAnsi" w:hAnsiTheme="minorHAnsi" w:cstheme="minorHAnsi"/>
          <w:sz w:val="26"/>
          <w:szCs w:val="26"/>
        </w:rPr>
        <w:t>C</w:t>
      </w:r>
      <w:r w:rsidR="00BF7854" w:rsidRPr="000F0D8B">
        <w:rPr>
          <w:rFonts w:asciiTheme="minorHAnsi" w:hAnsiTheme="minorHAnsi" w:cstheme="minorHAnsi"/>
          <w:sz w:val="26"/>
          <w:szCs w:val="26"/>
        </w:rPr>
        <w:t>.</w:t>
      </w:r>
      <w:r w:rsidRPr="000F0D8B">
        <w:rPr>
          <w:rFonts w:asciiTheme="minorHAnsi" w:hAnsiTheme="minorHAnsi" w:cstheme="minorHAnsi"/>
          <w:sz w:val="26"/>
          <w:szCs w:val="26"/>
        </w:rPr>
        <w:t>J</w:t>
      </w:r>
      <w:r w:rsidR="00BF7854" w:rsidRPr="000F0D8B">
        <w:rPr>
          <w:rFonts w:asciiTheme="minorHAnsi" w:hAnsiTheme="minorHAnsi" w:cstheme="minorHAnsi"/>
          <w:sz w:val="26"/>
          <w:szCs w:val="26"/>
        </w:rPr>
        <w:t>.</w:t>
      </w:r>
      <w:r w:rsidRPr="000F0D8B">
        <w:rPr>
          <w:rFonts w:asciiTheme="minorHAnsi" w:hAnsiTheme="minorHAnsi" w:cstheme="minorHAnsi"/>
          <w:sz w:val="26"/>
          <w:szCs w:val="26"/>
        </w:rPr>
        <w:t xml:space="preserve"> de la Riga (Letonia), care a avut ca temă centrală consolidarea independenței sistemelor judiciare din statele membre și protejarea acestora în fața presiunilor externe, în special în contextul evoluțiilor geopolitice recente și al digitalizării accelerate a justiției. În cadrul acestui eveniment, a fost adoptată Declarația comună a statelor membre ale R</w:t>
      </w:r>
      <w:r w:rsidR="00BF7854" w:rsidRPr="000F0D8B">
        <w:rPr>
          <w:rFonts w:asciiTheme="minorHAnsi" w:hAnsiTheme="minorHAnsi" w:cstheme="minorHAnsi"/>
          <w:sz w:val="26"/>
          <w:szCs w:val="26"/>
        </w:rPr>
        <w:t>.</w:t>
      </w:r>
      <w:r w:rsidRPr="000F0D8B">
        <w:rPr>
          <w:rFonts w:asciiTheme="minorHAnsi" w:hAnsiTheme="minorHAnsi" w:cstheme="minorHAnsi"/>
          <w:sz w:val="26"/>
          <w:szCs w:val="26"/>
        </w:rPr>
        <w:t>E</w:t>
      </w:r>
      <w:r w:rsidR="00BF7854" w:rsidRPr="000F0D8B">
        <w:rPr>
          <w:rFonts w:asciiTheme="minorHAnsi" w:hAnsiTheme="minorHAnsi" w:cstheme="minorHAnsi"/>
          <w:sz w:val="26"/>
          <w:szCs w:val="26"/>
        </w:rPr>
        <w:t>.</w:t>
      </w:r>
      <w:r w:rsidRPr="000F0D8B">
        <w:rPr>
          <w:rFonts w:asciiTheme="minorHAnsi" w:hAnsiTheme="minorHAnsi" w:cstheme="minorHAnsi"/>
          <w:sz w:val="26"/>
          <w:szCs w:val="26"/>
        </w:rPr>
        <w:t>C</w:t>
      </w:r>
      <w:r w:rsidR="00BF7854" w:rsidRPr="000F0D8B">
        <w:rPr>
          <w:rFonts w:asciiTheme="minorHAnsi" w:hAnsiTheme="minorHAnsi" w:cstheme="minorHAnsi"/>
          <w:sz w:val="26"/>
          <w:szCs w:val="26"/>
        </w:rPr>
        <w:t>.</w:t>
      </w:r>
      <w:r w:rsidRPr="000F0D8B">
        <w:rPr>
          <w:rFonts w:asciiTheme="minorHAnsi" w:hAnsiTheme="minorHAnsi" w:cstheme="minorHAnsi"/>
          <w:sz w:val="26"/>
          <w:szCs w:val="26"/>
        </w:rPr>
        <w:t>J</w:t>
      </w:r>
      <w:r w:rsidR="00BF7854" w:rsidRPr="000F0D8B">
        <w:rPr>
          <w:rFonts w:asciiTheme="minorHAnsi" w:hAnsiTheme="minorHAnsi" w:cstheme="minorHAnsi"/>
          <w:sz w:val="26"/>
          <w:szCs w:val="26"/>
        </w:rPr>
        <w:t>.</w:t>
      </w:r>
      <w:r w:rsidRPr="000F0D8B">
        <w:rPr>
          <w:rFonts w:asciiTheme="minorHAnsi" w:hAnsiTheme="minorHAnsi" w:cstheme="minorHAnsi"/>
          <w:sz w:val="26"/>
          <w:szCs w:val="26"/>
        </w:rPr>
        <w:t xml:space="preserve">, care reafirmă rolul esențial al consiliilor judiciare în garantarea statului de drept și în menținerea echilibrului democratic în Europa. </w:t>
      </w:r>
    </w:p>
    <w:p w14:paraId="670E91FB" w14:textId="4B469679" w:rsidR="003657DC" w:rsidRPr="000F0D8B" w:rsidRDefault="003657DC" w:rsidP="009E3AD8">
      <w:pPr>
        <w:spacing w:line="276" w:lineRule="auto"/>
        <w:ind w:firstLine="720"/>
        <w:jc w:val="both"/>
        <w:rPr>
          <w:rFonts w:asciiTheme="minorHAnsi" w:hAnsiTheme="minorHAnsi" w:cstheme="minorHAnsi"/>
          <w:sz w:val="26"/>
          <w:szCs w:val="26"/>
        </w:rPr>
      </w:pPr>
      <w:r w:rsidRPr="000F0D8B">
        <w:rPr>
          <w:rFonts w:asciiTheme="minorHAnsi" w:hAnsiTheme="minorHAnsi" w:cstheme="minorHAnsi"/>
          <w:sz w:val="26"/>
          <w:szCs w:val="26"/>
        </w:rPr>
        <w:lastRenderedPageBreak/>
        <w:t>Cu acest prilej, a fost aprobat şi Planul de lucru al Rețelei pentru perioada 2025 - 2026, care continuă o parte din proiectele inițiate deja și propune noi teme de reflecție pentru membrii și observatorii R</w:t>
      </w:r>
      <w:r w:rsidR="00BF7854" w:rsidRPr="000F0D8B">
        <w:rPr>
          <w:rFonts w:asciiTheme="minorHAnsi" w:hAnsiTheme="minorHAnsi" w:cstheme="minorHAnsi"/>
          <w:sz w:val="26"/>
          <w:szCs w:val="26"/>
        </w:rPr>
        <w:t>.</w:t>
      </w:r>
      <w:r w:rsidRPr="000F0D8B">
        <w:rPr>
          <w:rFonts w:asciiTheme="minorHAnsi" w:hAnsiTheme="minorHAnsi" w:cstheme="minorHAnsi"/>
          <w:sz w:val="26"/>
          <w:szCs w:val="26"/>
        </w:rPr>
        <w:t>E</w:t>
      </w:r>
      <w:r w:rsidR="00BF7854" w:rsidRPr="000F0D8B">
        <w:rPr>
          <w:rFonts w:asciiTheme="minorHAnsi" w:hAnsiTheme="minorHAnsi" w:cstheme="minorHAnsi"/>
          <w:sz w:val="26"/>
          <w:szCs w:val="26"/>
        </w:rPr>
        <w:t>.</w:t>
      </w:r>
      <w:r w:rsidRPr="000F0D8B">
        <w:rPr>
          <w:rFonts w:asciiTheme="minorHAnsi" w:hAnsiTheme="minorHAnsi" w:cstheme="minorHAnsi"/>
          <w:sz w:val="26"/>
          <w:szCs w:val="26"/>
        </w:rPr>
        <w:t>C</w:t>
      </w:r>
      <w:r w:rsidR="00BF7854" w:rsidRPr="000F0D8B">
        <w:rPr>
          <w:rFonts w:asciiTheme="minorHAnsi" w:hAnsiTheme="minorHAnsi" w:cstheme="minorHAnsi"/>
          <w:sz w:val="26"/>
          <w:szCs w:val="26"/>
        </w:rPr>
        <w:t>.</w:t>
      </w:r>
      <w:r w:rsidRPr="000F0D8B">
        <w:rPr>
          <w:rFonts w:asciiTheme="minorHAnsi" w:hAnsiTheme="minorHAnsi" w:cstheme="minorHAnsi"/>
          <w:sz w:val="26"/>
          <w:szCs w:val="26"/>
        </w:rPr>
        <w:t>J</w:t>
      </w:r>
      <w:r w:rsidR="00BF7854" w:rsidRPr="000F0D8B">
        <w:rPr>
          <w:rFonts w:asciiTheme="minorHAnsi" w:hAnsiTheme="minorHAnsi" w:cstheme="minorHAnsi"/>
          <w:sz w:val="26"/>
          <w:szCs w:val="26"/>
        </w:rPr>
        <w:t>.</w:t>
      </w:r>
      <w:r w:rsidRPr="000F0D8B">
        <w:rPr>
          <w:rFonts w:asciiTheme="minorHAnsi" w:hAnsiTheme="minorHAnsi" w:cstheme="minorHAnsi"/>
          <w:sz w:val="26"/>
          <w:szCs w:val="26"/>
        </w:rPr>
        <w:t>, din perspectiva priorităților definite în plan european. Astfel, C</w:t>
      </w:r>
      <w:r w:rsidR="00E5124B">
        <w:rPr>
          <w:rFonts w:asciiTheme="minorHAnsi" w:hAnsiTheme="minorHAnsi" w:cstheme="minorHAnsi"/>
          <w:sz w:val="26"/>
          <w:szCs w:val="26"/>
        </w:rPr>
        <w:t xml:space="preserve">.S.M. </w:t>
      </w:r>
      <w:r w:rsidRPr="000F0D8B">
        <w:rPr>
          <w:rFonts w:asciiTheme="minorHAnsi" w:hAnsiTheme="minorHAnsi" w:cstheme="minorHAnsi"/>
          <w:sz w:val="26"/>
          <w:szCs w:val="26"/>
        </w:rPr>
        <w:t>va fi în continuare reprezentat în Proiectul 1</w:t>
      </w:r>
      <w:r w:rsidR="00E5124B">
        <w:rPr>
          <w:rFonts w:asciiTheme="minorHAnsi" w:hAnsiTheme="minorHAnsi" w:cstheme="minorHAnsi"/>
          <w:sz w:val="26"/>
          <w:szCs w:val="26"/>
        </w:rPr>
        <w:t xml:space="preserve"> - </w:t>
      </w:r>
      <w:r w:rsidRPr="000F0D8B">
        <w:rPr>
          <w:rFonts w:asciiTheme="minorHAnsi" w:hAnsiTheme="minorHAnsi" w:cstheme="minorHAnsi"/>
          <w:sz w:val="26"/>
          <w:szCs w:val="26"/>
        </w:rPr>
        <w:t>„Independență, responsabilitate și calitatea sistemului judiciar”, care este structurat pe trei domenii de interes: Independență și responsabilitate (sondaje privind independența și responsabilitatea, analiza indicatorilor de independență și responsabilitate din cadrul chestionarelor R</w:t>
      </w:r>
      <w:r w:rsidR="00BF7854" w:rsidRPr="000F0D8B">
        <w:rPr>
          <w:rFonts w:asciiTheme="minorHAnsi" w:hAnsiTheme="minorHAnsi" w:cstheme="minorHAnsi"/>
          <w:sz w:val="26"/>
          <w:szCs w:val="26"/>
        </w:rPr>
        <w:t>.</w:t>
      </w:r>
      <w:r w:rsidRPr="000F0D8B">
        <w:rPr>
          <w:rFonts w:asciiTheme="minorHAnsi" w:hAnsiTheme="minorHAnsi" w:cstheme="minorHAnsi"/>
          <w:sz w:val="26"/>
          <w:szCs w:val="26"/>
        </w:rPr>
        <w:t>E</w:t>
      </w:r>
      <w:r w:rsidR="00BF7854" w:rsidRPr="000F0D8B">
        <w:rPr>
          <w:rFonts w:asciiTheme="minorHAnsi" w:hAnsiTheme="minorHAnsi" w:cstheme="minorHAnsi"/>
          <w:sz w:val="26"/>
          <w:szCs w:val="26"/>
        </w:rPr>
        <w:t>.</w:t>
      </w:r>
      <w:r w:rsidRPr="000F0D8B">
        <w:rPr>
          <w:rFonts w:asciiTheme="minorHAnsi" w:hAnsiTheme="minorHAnsi" w:cstheme="minorHAnsi"/>
          <w:sz w:val="26"/>
          <w:szCs w:val="26"/>
        </w:rPr>
        <w:t>C</w:t>
      </w:r>
      <w:r w:rsidR="00BF7854" w:rsidRPr="000F0D8B">
        <w:rPr>
          <w:rFonts w:asciiTheme="minorHAnsi" w:hAnsiTheme="minorHAnsi" w:cstheme="minorHAnsi"/>
          <w:sz w:val="26"/>
          <w:szCs w:val="26"/>
        </w:rPr>
        <w:t>.</w:t>
      </w:r>
      <w:r w:rsidRPr="000F0D8B">
        <w:rPr>
          <w:rFonts w:asciiTheme="minorHAnsi" w:hAnsiTheme="minorHAnsi" w:cstheme="minorHAnsi"/>
          <w:sz w:val="26"/>
          <w:szCs w:val="26"/>
        </w:rPr>
        <w:t>J</w:t>
      </w:r>
      <w:r w:rsidR="00BF7854" w:rsidRPr="000F0D8B">
        <w:rPr>
          <w:rFonts w:asciiTheme="minorHAnsi" w:hAnsiTheme="minorHAnsi" w:cstheme="minorHAnsi"/>
          <w:sz w:val="26"/>
          <w:szCs w:val="26"/>
        </w:rPr>
        <w:t>.</w:t>
      </w:r>
      <w:r w:rsidRPr="000F0D8B">
        <w:rPr>
          <w:rFonts w:asciiTheme="minorHAnsi" w:hAnsiTheme="minorHAnsi" w:cstheme="minorHAnsi"/>
          <w:sz w:val="26"/>
          <w:szCs w:val="26"/>
        </w:rPr>
        <w:t xml:space="preserve"> și analiza cauzelor rezultatelor acestor chestionare), Calitate (se va realiza o revizuire a chestionarelor și indicatorilor privind calitatea sistemului judiciar)</w:t>
      </w:r>
      <w:r w:rsidR="00E5124B">
        <w:rPr>
          <w:rFonts w:asciiTheme="minorHAnsi" w:hAnsiTheme="minorHAnsi" w:cstheme="minorHAnsi"/>
          <w:sz w:val="26"/>
          <w:szCs w:val="26"/>
        </w:rPr>
        <w:t xml:space="preserve"> şi</w:t>
      </w:r>
      <w:r w:rsidRPr="000F0D8B">
        <w:rPr>
          <w:rFonts w:asciiTheme="minorHAnsi" w:hAnsiTheme="minorHAnsi" w:cstheme="minorHAnsi"/>
          <w:sz w:val="26"/>
          <w:szCs w:val="26"/>
        </w:rPr>
        <w:t xml:space="preserve"> Sondaje pentru justițiabili, fie la nivel de state membre ale R</w:t>
      </w:r>
      <w:r w:rsidR="00BF7854" w:rsidRPr="000F0D8B">
        <w:rPr>
          <w:rFonts w:asciiTheme="minorHAnsi" w:hAnsiTheme="minorHAnsi" w:cstheme="minorHAnsi"/>
          <w:sz w:val="26"/>
          <w:szCs w:val="26"/>
        </w:rPr>
        <w:t>.</w:t>
      </w:r>
      <w:r w:rsidRPr="000F0D8B">
        <w:rPr>
          <w:rFonts w:asciiTheme="minorHAnsi" w:hAnsiTheme="minorHAnsi" w:cstheme="minorHAnsi"/>
          <w:sz w:val="26"/>
          <w:szCs w:val="26"/>
        </w:rPr>
        <w:t>E</w:t>
      </w:r>
      <w:r w:rsidR="00BF7854" w:rsidRPr="000F0D8B">
        <w:rPr>
          <w:rFonts w:asciiTheme="minorHAnsi" w:hAnsiTheme="minorHAnsi" w:cstheme="minorHAnsi"/>
          <w:sz w:val="26"/>
          <w:szCs w:val="26"/>
        </w:rPr>
        <w:t>.</w:t>
      </w:r>
      <w:r w:rsidRPr="000F0D8B">
        <w:rPr>
          <w:rFonts w:asciiTheme="minorHAnsi" w:hAnsiTheme="minorHAnsi" w:cstheme="minorHAnsi"/>
          <w:sz w:val="26"/>
          <w:szCs w:val="26"/>
        </w:rPr>
        <w:t>C</w:t>
      </w:r>
      <w:r w:rsidR="00BF7854" w:rsidRPr="000F0D8B">
        <w:rPr>
          <w:rFonts w:asciiTheme="minorHAnsi" w:hAnsiTheme="minorHAnsi" w:cstheme="minorHAnsi"/>
          <w:sz w:val="26"/>
          <w:szCs w:val="26"/>
        </w:rPr>
        <w:t>.</w:t>
      </w:r>
      <w:r w:rsidRPr="000F0D8B">
        <w:rPr>
          <w:rFonts w:asciiTheme="minorHAnsi" w:hAnsiTheme="minorHAnsi" w:cstheme="minorHAnsi"/>
          <w:sz w:val="26"/>
          <w:szCs w:val="26"/>
        </w:rPr>
        <w:t>J</w:t>
      </w:r>
      <w:r w:rsidR="00BF7854" w:rsidRPr="000F0D8B">
        <w:rPr>
          <w:rFonts w:asciiTheme="minorHAnsi" w:hAnsiTheme="minorHAnsi" w:cstheme="minorHAnsi"/>
          <w:sz w:val="26"/>
          <w:szCs w:val="26"/>
        </w:rPr>
        <w:t>.</w:t>
      </w:r>
      <w:r w:rsidRPr="000F0D8B">
        <w:rPr>
          <w:rFonts w:asciiTheme="minorHAnsi" w:hAnsiTheme="minorHAnsi" w:cstheme="minorHAnsi"/>
          <w:sz w:val="26"/>
          <w:szCs w:val="26"/>
        </w:rPr>
        <w:t xml:space="preserve">, fie la nivel european, cu implicarea Comisiei Europene. </w:t>
      </w:r>
    </w:p>
    <w:p w14:paraId="350332B6" w14:textId="77777777" w:rsidR="003657DC" w:rsidRPr="000F0D8B" w:rsidRDefault="003657DC" w:rsidP="009E3AD8">
      <w:pPr>
        <w:spacing w:line="276" w:lineRule="auto"/>
        <w:ind w:firstLine="720"/>
        <w:jc w:val="both"/>
        <w:rPr>
          <w:rFonts w:asciiTheme="minorHAnsi" w:hAnsiTheme="minorHAnsi" w:cstheme="minorHAnsi"/>
          <w:sz w:val="26"/>
          <w:szCs w:val="26"/>
        </w:rPr>
      </w:pPr>
      <w:r w:rsidRPr="000F0D8B">
        <w:rPr>
          <w:rFonts w:asciiTheme="minorHAnsi" w:hAnsiTheme="minorHAnsi" w:cstheme="minorHAnsi"/>
          <w:sz w:val="26"/>
          <w:szCs w:val="26"/>
        </w:rPr>
        <w:t xml:space="preserve">De asemenea, Consiliul va asigura coordonarea și participarea la Proiectul 2 – „Forumul justiției digitale”, al cărui obiectiv specific pentru anul 2025 - 2026 este identificarea instrumentelor utilizate în diferite sisteme judiciare pentru facilitarea accesului la justiție în format digital, precum și a instrumentelor utilizate pentru desfășurarea ședințelor online. </w:t>
      </w:r>
    </w:p>
    <w:p w14:paraId="56BD3281" w14:textId="2A4A102B" w:rsidR="003657DC" w:rsidRPr="000F0D8B" w:rsidRDefault="003657DC" w:rsidP="009E3AD8">
      <w:pPr>
        <w:spacing w:line="276" w:lineRule="auto"/>
        <w:ind w:firstLine="720"/>
        <w:jc w:val="both"/>
        <w:rPr>
          <w:rFonts w:asciiTheme="minorHAnsi" w:hAnsiTheme="minorHAnsi" w:cstheme="minorHAnsi"/>
          <w:sz w:val="26"/>
          <w:szCs w:val="26"/>
        </w:rPr>
      </w:pPr>
      <w:r w:rsidRPr="000F0D8B">
        <w:rPr>
          <w:rFonts w:asciiTheme="minorHAnsi" w:hAnsiTheme="minorHAnsi" w:cstheme="minorHAnsi"/>
          <w:sz w:val="26"/>
          <w:szCs w:val="26"/>
        </w:rPr>
        <w:t>Pe lângă aceste două proiecte, au mai fost stabilite și alte forme pentru derularea activităților în cadrul R</w:t>
      </w:r>
      <w:r w:rsidR="00BE5042" w:rsidRPr="000F0D8B">
        <w:rPr>
          <w:rFonts w:asciiTheme="minorHAnsi" w:hAnsiTheme="minorHAnsi" w:cstheme="minorHAnsi"/>
          <w:sz w:val="26"/>
          <w:szCs w:val="26"/>
        </w:rPr>
        <w:t>.</w:t>
      </w:r>
      <w:r w:rsidRPr="000F0D8B">
        <w:rPr>
          <w:rFonts w:asciiTheme="minorHAnsi" w:hAnsiTheme="minorHAnsi" w:cstheme="minorHAnsi"/>
          <w:sz w:val="26"/>
          <w:szCs w:val="26"/>
        </w:rPr>
        <w:t>E</w:t>
      </w:r>
      <w:r w:rsidR="00BE5042" w:rsidRPr="000F0D8B">
        <w:rPr>
          <w:rFonts w:asciiTheme="minorHAnsi" w:hAnsiTheme="minorHAnsi" w:cstheme="minorHAnsi"/>
          <w:sz w:val="26"/>
          <w:szCs w:val="26"/>
        </w:rPr>
        <w:t>.</w:t>
      </w:r>
      <w:r w:rsidRPr="000F0D8B">
        <w:rPr>
          <w:rFonts w:asciiTheme="minorHAnsi" w:hAnsiTheme="minorHAnsi" w:cstheme="minorHAnsi"/>
          <w:sz w:val="26"/>
          <w:szCs w:val="26"/>
        </w:rPr>
        <w:t>C</w:t>
      </w:r>
      <w:r w:rsidR="00BE5042" w:rsidRPr="000F0D8B">
        <w:rPr>
          <w:rFonts w:asciiTheme="minorHAnsi" w:hAnsiTheme="minorHAnsi" w:cstheme="minorHAnsi"/>
          <w:sz w:val="26"/>
          <w:szCs w:val="26"/>
        </w:rPr>
        <w:t>.</w:t>
      </w:r>
      <w:r w:rsidRPr="000F0D8B">
        <w:rPr>
          <w:rFonts w:asciiTheme="minorHAnsi" w:hAnsiTheme="minorHAnsi" w:cstheme="minorHAnsi"/>
          <w:sz w:val="26"/>
          <w:szCs w:val="26"/>
        </w:rPr>
        <w:t>J</w:t>
      </w:r>
      <w:r w:rsidR="00BE5042" w:rsidRPr="000F0D8B">
        <w:rPr>
          <w:rFonts w:asciiTheme="minorHAnsi" w:hAnsiTheme="minorHAnsi" w:cstheme="minorHAnsi"/>
          <w:sz w:val="26"/>
          <w:szCs w:val="26"/>
        </w:rPr>
        <w:t>.</w:t>
      </w:r>
      <w:r w:rsidRPr="000F0D8B">
        <w:rPr>
          <w:rFonts w:asciiTheme="minorHAnsi" w:hAnsiTheme="minorHAnsi" w:cstheme="minorHAnsi"/>
          <w:sz w:val="26"/>
          <w:szCs w:val="26"/>
        </w:rPr>
        <w:t>, respectiv grupurile tematice de dialog „Justiția și media” și</w:t>
      </w:r>
      <w:r w:rsidR="00BE5042" w:rsidRPr="000F0D8B">
        <w:rPr>
          <w:rFonts w:asciiTheme="minorHAnsi" w:hAnsiTheme="minorHAnsi" w:cstheme="minorHAnsi"/>
          <w:sz w:val="26"/>
          <w:szCs w:val="26"/>
        </w:rPr>
        <w:t xml:space="preserve"> </w:t>
      </w:r>
      <w:r w:rsidRPr="000F0D8B">
        <w:rPr>
          <w:rFonts w:asciiTheme="minorHAnsi" w:hAnsiTheme="minorHAnsi" w:cstheme="minorHAnsi"/>
          <w:sz w:val="26"/>
          <w:szCs w:val="26"/>
        </w:rPr>
        <w:t>„Standarde disciplinare”. De asemenea, se vor organiza în continuare o serie de seminare online („lunch seminars”), pentru a promova încrederea și cunoașterea reciprocă în rândul membrilor și observatorilor R</w:t>
      </w:r>
      <w:r w:rsidR="00BE5042" w:rsidRPr="000F0D8B">
        <w:rPr>
          <w:rFonts w:asciiTheme="minorHAnsi" w:hAnsiTheme="minorHAnsi" w:cstheme="minorHAnsi"/>
          <w:sz w:val="26"/>
          <w:szCs w:val="26"/>
        </w:rPr>
        <w:t>.</w:t>
      </w:r>
      <w:r w:rsidRPr="000F0D8B">
        <w:rPr>
          <w:rFonts w:asciiTheme="minorHAnsi" w:hAnsiTheme="minorHAnsi" w:cstheme="minorHAnsi"/>
          <w:sz w:val="26"/>
          <w:szCs w:val="26"/>
        </w:rPr>
        <w:t>E</w:t>
      </w:r>
      <w:r w:rsidR="00BE5042" w:rsidRPr="000F0D8B">
        <w:rPr>
          <w:rFonts w:asciiTheme="minorHAnsi" w:hAnsiTheme="minorHAnsi" w:cstheme="minorHAnsi"/>
          <w:sz w:val="26"/>
          <w:szCs w:val="26"/>
        </w:rPr>
        <w:t>.</w:t>
      </w:r>
      <w:r w:rsidRPr="000F0D8B">
        <w:rPr>
          <w:rFonts w:asciiTheme="minorHAnsi" w:hAnsiTheme="minorHAnsi" w:cstheme="minorHAnsi"/>
          <w:sz w:val="26"/>
          <w:szCs w:val="26"/>
        </w:rPr>
        <w:t>C</w:t>
      </w:r>
      <w:r w:rsidR="00BE5042" w:rsidRPr="000F0D8B">
        <w:rPr>
          <w:rFonts w:asciiTheme="minorHAnsi" w:hAnsiTheme="minorHAnsi" w:cstheme="minorHAnsi"/>
          <w:sz w:val="26"/>
          <w:szCs w:val="26"/>
        </w:rPr>
        <w:t>.</w:t>
      </w:r>
      <w:r w:rsidRPr="000F0D8B">
        <w:rPr>
          <w:rFonts w:asciiTheme="minorHAnsi" w:hAnsiTheme="minorHAnsi" w:cstheme="minorHAnsi"/>
          <w:sz w:val="26"/>
          <w:szCs w:val="26"/>
        </w:rPr>
        <w:t>J</w:t>
      </w:r>
      <w:r w:rsidR="00BE5042" w:rsidRPr="000F0D8B">
        <w:rPr>
          <w:rFonts w:asciiTheme="minorHAnsi" w:hAnsiTheme="minorHAnsi" w:cstheme="minorHAnsi"/>
          <w:sz w:val="26"/>
          <w:szCs w:val="26"/>
        </w:rPr>
        <w:t>.</w:t>
      </w:r>
      <w:r w:rsidRPr="000F0D8B">
        <w:rPr>
          <w:rFonts w:asciiTheme="minorHAnsi" w:hAnsiTheme="minorHAnsi" w:cstheme="minorHAnsi"/>
          <w:sz w:val="26"/>
          <w:szCs w:val="26"/>
        </w:rPr>
        <w:t>, pe teme de interes comun, practici naționale sau evoluții recente în anumite domenii. C</w:t>
      </w:r>
      <w:r w:rsidR="00E5124B">
        <w:rPr>
          <w:rFonts w:asciiTheme="minorHAnsi" w:hAnsiTheme="minorHAnsi" w:cstheme="minorHAnsi"/>
          <w:sz w:val="26"/>
          <w:szCs w:val="26"/>
        </w:rPr>
        <w:t>.S.M. şi</w:t>
      </w:r>
      <w:r w:rsidRPr="000F0D8B">
        <w:rPr>
          <w:rFonts w:asciiTheme="minorHAnsi" w:hAnsiTheme="minorHAnsi" w:cstheme="minorHAnsi"/>
          <w:sz w:val="26"/>
          <w:szCs w:val="26"/>
        </w:rPr>
        <w:t>-a desemnat participanții pentru fiecare dintre aceste activități, atât la nivel tehnic, cât și prin membrii aleși.</w:t>
      </w:r>
    </w:p>
    <w:p w14:paraId="33475628" w14:textId="00563A3C" w:rsidR="003657DC" w:rsidRPr="000F0D8B" w:rsidRDefault="003657DC" w:rsidP="009E3AD8">
      <w:pPr>
        <w:spacing w:line="276" w:lineRule="auto"/>
        <w:ind w:firstLine="720"/>
        <w:jc w:val="both"/>
        <w:rPr>
          <w:rFonts w:asciiTheme="minorHAnsi" w:hAnsiTheme="minorHAnsi" w:cstheme="minorHAnsi"/>
          <w:sz w:val="26"/>
          <w:szCs w:val="26"/>
        </w:rPr>
      </w:pPr>
      <w:r w:rsidRPr="000F0D8B">
        <w:rPr>
          <w:rFonts w:asciiTheme="minorHAnsi" w:hAnsiTheme="minorHAnsi" w:cstheme="minorHAnsi"/>
          <w:sz w:val="26"/>
          <w:szCs w:val="26"/>
        </w:rPr>
        <w:t>Beneficiind de colaborarea cu instituţiile omologe din statele membre şi observatoare ale R</w:t>
      </w:r>
      <w:r w:rsidR="00BE5042" w:rsidRPr="000F0D8B">
        <w:rPr>
          <w:rFonts w:asciiTheme="minorHAnsi" w:hAnsiTheme="minorHAnsi" w:cstheme="minorHAnsi"/>
          <w:sz w:val="26"/>
          <w:szCs w:val="26"/>
        </w:rPr>
        <w:t>.</w:t>
      </w:r>
      <w:r w:rsidRPr="000F0D8B">
        <w:rPr>
          <w:rFonts w:asciiTheme="minorHAnsi" w:hAnsiTheme="minorHAnsi" w:cstheme="minorHAnsi"/>
          <w:sz w:val="26"/>
          <w:szCs w:val="26"/>
        </w:rPr>
        <w:t>E</w:t>
      </w:r>
      <w:r w:rsidR="00BE5042" w:rsidRPr="000F0D8B">
        <w:rPr>
          <w:rFonts w:asciiTheme="minorHAnsi" w:hAnsiTheme="minorHAnsi" w:cstheme="minorHAnsi"/>
          <w:sz w:val="26"/>
          <w:szCs w:val="26"/>
        </w:rPr>
        <w:t>.</w:t>
      </w:r>
      <w:r w:rsidRPr="000F0D8B">
        <w:rPr>
          <w:rFonts w:asciiTheme="minorHAnsi" w:hAnsiTheme="minorHAnsi" w:cstheme="minorHAnsi"/>
          <w:sz w:val="26"/>
          <w:szCs w:val="26"/>
        </w:rPr>
        <w:t>C</w:t>
      </w:r>
      <w:r w:rsidR="00BE5042" w:rsidRPr="000F0D8B">
        <w:rPr>
          <w:rFonts w:asciiTheme="minorHAnsi" w:hAnsiTheme="minorHAnsi" w:cstheme="minorHAnsi"/>
          <w:sz w:val="26"/>
          <w:szCs w:val="26"/>
        </w:rPr>
        <w:t>.</w:t>
      </w:r>
      <w:r w:rsidRPr="000F0D8B">
        <w:rPr>
          <w:rFonts w:asciiTheme="minorHAnsi" w:hAnsiTheme="minorHAnsi" w:cstheme="minorHAnsi"/>
          <w:sz w:val="26"/>
          <w:szCs w:val="26"/>
        </w:rPr>
        <w:t>J</w:t>
      </w:r>
      <w:r w:rsidR="00BE5042" w:rsidRPr="000F0D8B">
        <w:rPr>
          <w:rFonts w:asciiTheme="minorHAnsi" w:hAnsiTheme="minorHAnsi" w:cstheme="minorHAnsi"/>
          <w:sz w:val="26"/>
          <w:szCs w:val="26"/>
        </w:rPr>
        <w:t>.</w:t>
      </w:r>
      <w:r w:rsidRPr="000F0D8B">
        <w:rPr>
          <w:rFonts w:asciiTheme="minorHAnsi" w:hAnsiTheme="minorHAnsi" w:cstheme="minorHAnsi"/>
          <w:sz w:val="26"/>
          <w:szCs w:val="26"/>
        </w:rPr>
        <w:t>, la nivelul Direcţiei a fost continuată activitatea de dialog şi schimb de experienţă şi bune practici prin transmiterea şi solicitarea de informaţii pe diverse teme de interes recent, majoritatea acestora servind la elaborarea de studii de drept comparat necesare pentru fundamentarea unor propuneri de modificări legislative/de legislaţie secundară, de implementare a unor noi instituţii/concepte juridice, la punerea în aplicare a unor noi dispoziţii legislative, precum și la implementarea unor proiecte privind optimizarea și eficientizarea activităţii instanţelor sau parchetelor.</w:t>
      </w:r>
    </w:p>
    <w:p w14:paraId="781164B5" w14:textId="3FD1A27C" w:rsidR="006C1588" w:rsidRPr="000F0D8B" w:rsidRDefault="006C1588" w:rsidP="009E3AD8">
      <w:pPr>
        <w:pStyle w:val="Heading3"/>
        <w:keepLines w:val="0"/>
        <w:suppressLineNumbers/>
        <w:suppressAutoHyphens/>
        <w:rPr>
          <w:rFonts w:cstheme="minorHAnsi"/>
          <w:color w:val="auto"/>
          <w:szCs w:val="26"/>
        </w:rPr>
      </w:pPr>
      <w:bookmarkStart w:id="153" w:name="_Toc219287981"/>
      <w:r w:rsidRPr="000F0D8B">
        <w:rPr>
          <w:rFonts w:cstheme="minorHAnsi"/>
          <w:color w:val="auto"/>
          <w:szCs w:val="26"/>
        </w:rPr>
        <w:t>VI.3.3. Alte activităţi în domeniul relaţiilor externe</w:t>
      </w:r>
      <w:bookmarkEnd w:id="151"/>
      <w:bookmarkEnd w:id="152"/>
      <w:bookmarkEnd w:id="153"/>
      <w:r w:rsidRPr="000F0D8B">
        <w:rPr>
          <w:rFonts w:cstheme="minorHAnsi"/>
          <w:color w:val="auto"/>
          <w:szCs w:val="26"/>
        </w:rPr>
        <w:t xml:space="preserve"> </w:t>
      </w:r>
      <w:bookmarkStart w:id="154" w:name="_Toc381021557"/>
      <w:bookmarkStart w:id="155" w:name="_Toc430867135"/>
    </w:p>
    <w:p w14:paraId="0E54D8D9" w14:textId="77777777" w:rsidR="003657DC" w:rsidRPr="000F0D8B" w:rsidRDefault="003657DC" w:rsidP="009E3AD8">
      <w:pPr>
        <w:spacing w:line="276" w:lineRule="auto"/>
        <w:ind w:firstLine="708"/>
        <w:jc w:val="both"/>
        <w:rPr>
          <w:rFonts w:asciiTheme="minorHAnsi" w:hAnsiTheme="minorHAnsi" w:cstheme="minorHAnsi"/>
          <w:b/>
          <w:bCs/>
          <w:sz w:val="26"/>
          <w:szCs w:val="26"/>
        </w:rPr>
      </w:pPr>
      <w:r w:rsidRPr="000F0D8B">
        <w:rPr>
          <w:rFonts w:asciiTheme="minorHAnsi" w:hAnsiTheme="minorHAnsi" w:cstheme="minorHAnsi"/>
          <w:b/>
          <w:bCs/>
          <w:sz w:val="26"/>
          <w:szCs w:val="26"/>
        </w:rPr>
        <w:t>La nivelul Uniunii Europene</w:t>
      </w:r>
    </w:p>
    <w:p w14:paraId="680FAA17" w14:textId="748BF255" w:rsidR="003657DC" w:rsidRPr="000F0D8B" w:rsidRDefault="003657DC" w:rsidP="009E3AD8">
      <w:pPr>
        <w:spacing w:line="276" w:lineRule="auto"/>
        <w:ind w:firstLine="708"/>
        <w:jc w:val="both"/>
        <w:rPr>
          <w:rFonts w:asciiTheme="minorHAnsi" w:hAnsiTheme="minorHAnsi" w:cstheme="minorHAnsi"/>
          <w:sz w:val="26"/>
          <w:szCs w:val="26"/>
        </w:rPr>
      </w:pPr>
      <w:r w:rsidRPr="000F0D8B">
        <w:rPr>
          <w:rFonts w:asciiTheme="minorHAnsi" w:hAnsiTheme="minorHAnsi" w:cstheme="minorHAnsi"/>
          <w:sz w:val="26"/>
          <w:szCs w:val="26"/>
        </w:rPr>
        <w:t>Consiliul Superior al Magistraturii, inclusiv prin intermediul Institutului Național al Magistraturii, a susținut activ programele de schimburi între profesioniști. Și în anul 2025 a fost continuată seria de vizite de studiu derulate la C</w:t>
      </w:r>
      <w:r w:rsidR="00E22689">
        <w:rPr>
          <w:rFonts w:asciiTheme="minorHAnsi" w:hAnsiTheme="minorHAnsi" w:cstheme="minorHAnsi"/>
          <w:sz w:val="26"/>
          <w:szCs w:val="26"/>
        </w:rPr>
        <w:t>.S.M.</w:t>
      </w:r>
      <w:r w:rsidRPr="000F0D8B">
        <w:rPr>
          <w:rFonts w:asciiTheme="minorHAnsi" w:hAnsiTheme="minorHAnsi" w:cstheme="minorHAnsi"/>
          <w:sz w:val="26"/>
          <w:szCs w:val="26"/>
        </w:rPr>
        <w:t xml:space="preserve">, în cadrul Programului de schimb de magistrați, derulat sub egida Rețelei Europene de Formare Judiciară. În acest context, reprezentanți ai Consiliului au participat la întâlniri periodice cu delegații de magistrați străini participanți la stagiile organizate în acest context, pentru înțelegerea modului de organizare și funcționare a sistemului judiciar din România. </w:t>
      </w:r>
    </w:p>
    <w:p w14:paraId="3BFD1179" w14:textId="3D660CE1" w:rsidR="003657DC" w:rsidRPr="000F0D8B" w:rsidRDefault="003657DC" w:rsidP="009E3AD8">
      <w:pPr>
        <w:spacing w:line="276" w:lineRule="auto"/>
        <w:ind w:firstLine="708"/>
        <w:jc w:val="both"/>
        <w:rPr>
          <w:rFonts w:asciiTheme="minorHAnsi" w:hAnsiTheme="minorHAnsi" w:cstheme="minorHAnsi"/>
          <w:sz w:val="26"/>
          <w:szCs w:val="26"/>
        </w:rPr>
      </w:pPr>
      <w:r w:rsidRPr="000F0D8B">
        <w:rPr>
          <w:rFonts w:asciiTheme="minorHAnsi" w:hAnsiTheme="minorHAnsi" w:cstheme="minorHAnsi"/>
          <w:sz w:val="26"/>
          <w:szCs w:val="26"/>
        </w:rPr>
        <w:t>De asemenea, în perioada 22</w:t>
      </w:r>
      <w:r w:rsidR="001040CF">
        <w:rPr>
          <w:rFonts w:asciiTheme="minorHAnsi" w:hAnsiTheme="minorHAnsi" w:cstheme="minorHAnsi"/>
          <w:sz w:val="26"/>
          <w:szCs w:val="26"/>
        </w:rPr>
        <w:t xml:space="preserve"> septembrie – 2</w:t>
      </w:r>
      <w:r w:rsidRPr="000F0D8B">
        <w:rPr>
          <w:rFonts w:asciiTheme="minorHAnsi" w:hAnsiTheme="minorHAnsi" w:cstheme="minorHAnsi"/>
          <w:sz w:val="26"/>
          <w:szCs w:val="26"/>
        </w:rPr>
        <w:t>6</w:t>
      </w:r>
      <w:r w:rsidR="001040CF">
        <w:rPr>
          <w:rFonts w:asciiTheme="minorHAnsi" w:hAnsiTheme="minorHAnsi" w:cstheme="minorHAnsi"/>
          <w:sz w:val="26"/>
          <w:szCs w:val="26"/>
        </w:rPr>
        <w:t xml:space="preserve"> septembrie </w:t>
      </w:r>
      <w:r w:rsidRPr="000F0D8B">
        <w:rPr>
          <w:rFonts w:asciiTheme="minorHAnsi" w:hAnsiTheme="minorHAnsi" w:cstheme="minorHAnsi"/>
          <w:sz w:val="26"/>
          <w:szCs w:val="26"/>
        </w:rPr>
        <w:t xml:space="preserve">2025, reprezentanții Consiliului au participat la un eveniment organizat de Ministerul Afacerilor Externe, în parteneriat cu Agenția de Cooperare Internațională pentru Dezvoltare (RoAid), care a reunit diplomați și experți civili din </w:t>
      </w:r>
      <w:r w:rsidRPr="000F0D8B">
        <w:rPr>
          <w:rFonts w:asciiTheme="minorHAnsi" w:hAnsiTheme="minorHAnsi" w:cstheme="minorHAnsi"/>
          <w:sz w:val="26"/>
          <w:szCs w:val="26"/>
        </w:rPr>
        <w:lastRenderedPageBreak/>
        <w:t xml:space="preserve">Siria, Palestina, Liban și Irak unde au fost prezentate informații despre rolul instituției în susținerea statului de drept. </w:t>
      </w:r>
    </w:p>
    <w:p w14:paraId="76942832" w14:textId="274E41E9" w:rsidR="003657DC" w:rsidRPr="000F0D8B" w:rsidRDefault="003657DC" w:rsidP="009E3AD8">
      <w:pPr>
        <w:spacing w:line="276" w:lineRule="auto"/>
        <w:ind w:firstLine="708"/>
        <w:jc w:val="both"/>
        <w:rPr>
          <w:rFonts w:asciiTheme="minorHAnsi" w:hAnsiTheme="minorHAnsi" w:cstheme="minorHAnsi"/>
          <w:sz w:val="26"/>
          <w:szCs w:val="26"/>
        </w:rPr>
      </w:pPr>
      <w:r w:rsidRPr="000F0D8B">
        <w:rPr>
          <w:rFonts w:asciiTheme="minorHAnsi" w:hAnsiTheme="minorHAnsi" w:cstheme="minorHAnsi"/>
          <w:sz w:val="26"/>
          <w:szCs w:val="26"/>
        </w:rPr>
        <w:t>În anul 2025, C</w:t>
      </w:r>
      <w:r w:rsidR="00CE087D">
        <w:rPr>
          <w:rFonts w:asciiTheme="minorHAnsi" w:hAnsiTheme="minorHAnsi" w:cstheme="minorHAnsi"/>
          <w:sz w:val="26"/>
          <w:szCs w:val="26"/>
        </w:rPr>
        <w:t>.S.M. a c</w:t>
      </w:r>
      <w:r w:rsidRPr="000F0D8B">
        <w:rPr>
          <w:rFonts w:asciiTheme="minorHAnsi" w:hAnsiTheme="minorHAnsi" w:cstheme="minorHAnsi"/>
          <w:sz w:val="26"/>
          <w:szCs w:val="26"/>
        </w:rPr>
        <w:t>ontinuat să participe la reuniunile persoanelor de contact organizate de Comisia Europeană, în legӑturӑ cu Tabloul de bord privind Justiția în Uniunea Europeană U</w:t>
      </w:r>
      <w:r w:rsidR="00BF32DB" w:rsidRPr="000F0D8B">
        <w:rPr>
          <w:rFonts w:asciiTheme="minorHAnsi" w:hAnsiTheme="minorHAnsi" w:cstheme="minorHAnsi"/>
          <w:sz w:val="26"/>
          <w:szCs w:val="26"/>
        </w:rPr>
        <w:t>.</w:t>
      </w:r>
      <w:r w:rsidRPr="000F0D8B">
        <w:rPr>
          <w:rFonts w:asciiTheme="minorHAnsi" w:hAnsiTheme="minorHAnsi" w:cstheme="minorHAnsi"/>
          <w:sz w:val="26"/>
          <w:szCs w:val="26"/>
        </w:rPr>
        <w:t>E</w:t>
      </w:r>
      <w:r w:rsidR="00BF32DB" w:rsidRPr="000F0D8B">
        <w:rPr>
          <w:rFonts w:asciiTheme="minorHAnsi" w:hAnsiTheme="minorHAnsi" w:cstheme="minorHAnsi"/>
          <w:sz w:val="26"/>
          <w:szCs w:val="26"/>
        </w:rPr>
        <w:t>.</w:t>
      </w:r>
      <w:r w:rsidRPr="000F0D8B">
        <w:rPr>
          <w:rFonts w:asciiTheme="minorHAnsi" w:hAnsiTheme="minorHAnsi" w:cstheme="minorHAnsi"/>
          <w:sz w:val="26"/>
          <w:szCs w:val="26"/>
        </w:rPr>
        <w:t xml:space="preserve"> – E</w:t>
      </w:r>
      <w:r w:rsidR="00BF32DB" w:rsidRPr="000F0D8B">
        <w:rPr>
          <w:rFonts w:asciiTheme="minorHAnsi" w:hAnsiTheme="minorHAnsi" w:cstheme="minorHAnsi"/>
          <w:sz w:val="26"/>
          <w:szCs w:val="26"/>
        </w:rPr>
        <w:t>.</w:t>
      </w:r>
      <w:r w:rsidRPr="000F0D8B">
        <w:rPr>
          <w:rFonts w:asciiTheme="minorHAnsi" w:hAnsiTheme="minorHAnsi" w:cstheme="minorHAnsi"/>
          <w:sz w:val="26"/>
          <w:szCs w:val="26"/>
        </w:rPr>
        <w:t>U</w:t>
      </w:r>
      <w:r w:rsidR="00BF32DB" w:rsidRPr="000F0D8B">
        <w:rPr>
          <w:rFonts w:asciiTheme="minorHAnsi" w:hAnsiTheme="minorHAnsi" w:cstheme="minorHAnsi"/>
          <w:sz w:val="26"/>
          <w:szCs w:val="26"/>
        </w:rPr>
        <w:t>.</w:t>
      </w:r>
      <w:r w:rsidRPr="000F0D8B">
        <w:rPr>
          <w:rFonts w:asciiTheme="minorHAnsi" w:hAnsiTheme="minorHAnsi" w:cstheme="minorHAnsi"/>
          <w:sz w:val="26"/>
          <w:szCs w:val="26"/>
        </w:rPr>
        <w:t xml:space="preserve"> Justice Scoreboard. Consiliul a continuat implicarea activă prin completarea chestionarului transmis de Comisia Europeană, chestionar care va sta la baza elaborării ediției 2025 a Raportului E</w:t>
      </w:r>
      <w:r w:rsidR="00AE3CD2" w:rsidRPr="000F0D8B">
        <w:rPr>
          <w:rFonts w:asciiTheme="minorHAnsi" w:hAnsiTheme="minorHAnsi" w:cstheme="minorHAnsi"/>
          <w:sz w:val="26"/>
          <w:szCs w:val="26"/>
        </w:rPr>
        <w:t>.</w:t>
      </w:r>
      <w:r w:rsidRPr="000F0D8B">
        <w:rPr>
          <w:rFonts w:asciiTheme="minorHAnsi" w:hAnsiTheme="minorHAnsi" w:cstheme="minorHAnsi"/>
          <w:sz w:val="26"/>
          <w:szCs w:val="26"/>
        </w:rPr>
        <w:t>U</w:t>
      </w:r>
      <w:r w:rsidR="00AE3CD2" w:rsidRPr="000F0D8B">
        <w:rPr>
          <w:rFonts w:asciiTheme="minorHAnsi" w:hAnsiTheme="minorHAnsi" w:cstheme="minorHAnsi"/>
          <w:sz w:val="26"/>
          <w:szCs w:val="26"/>
        </w:rPr>
        <w:t>.</w:t>
      </w:r>
      <w:r w:rsidRPr="000F0D8B">
        <w:rPr>
          <w:rFonts w:asciiTheme="minorHAnsi" w:hAnsiTheme="minorHAnsi" w:cstheme="minorHAnsi"/>
          <w:sz w:val="26"/>
          <w:szCs w:val="26"/>
        </w:rPr>
        <w:t xml:space="preserve"> Justice Scoreboard. Totodată, precizăm că Raportul E</w:t>
      </w:r>
      <w:r w:rsidR="00AE3CD2" w:rsidRPr="000F0D8B">
        <w:rPr>
          <w:rFonts w:asciiTheme="minorHAnsi" w:hAnsiTheme="minorHAnsi" w:cstheme="minorHAnsi"/>
          <w:sz w:val="26"/>
          <w:szCs w:val="26"/>
        </w:rPr>
        <w:t>.</w:t>
      </w:r>
      <w:r w:rsidRPr="000F0D8B">
        <w:rPr>
          <w:rFonts w:asciiTheme="minorHAnsi" w:hAnsiTheme="minorHAnsi" w:cstheme="minorHAnsi"/>
          <w:sz w:val="26"/>
          <w:szCs w:val="26"/>
        </w:rPr>
        <w:t>U</w:t>
      </w:r>
      <w:r w:rsidR="00AE3CD2" w:rsidRPr="000F0D8B">
        <w:rPr>
          <w:rFonts w:asciiTheme="minorHAnsi" w:hAnsiTheme="minorHAnsi" w:cstheme="minorHAnsi"/>
          <w:sz w:val="26"/>
          <w:szCs w:val="26"/>
        </w:rPr>
        <w:t>.</w:t>
      </w:r>
      <w:r w:rsidRPr="000F0D8B">
        <w:rPr>
          <w:rFonts w:asciiTheme="minorHAnsi" w:hAnsiTheme="minorHAnsi" w:cstheme="minorHAnsi"/>
          <w:sz w:val="26"/>
          <w:szCs w:val="26"/>
        </w:rPr>
        <w:t xml:space="preserve"> Justice Scoreboard a fost publicat în luna iunie 2025.</w:t>
      </w:r>
    </w:p>
    <w:p w14:paraId="3C8A1318" w14:textId="77777777" w:rsidR="003657DC" w:rsidRPr="000F0D8B" w:rsidRDefault="003657DC" w:rsidP="009E3AD8">
      <w:pPr>
        <w:spacing w:line="276" w:lineRule="auto"/>
        <w:ind w:firstLine="708"/>
        <w:jc w:val="both"/>
        <w:rPr>
          <w:rFonts w:asciiTheme="minorHAnsi" w:hAnsiTheme="minorHAnsi" w:cstheme="minorHAnsi"/>
          <w:b/>
          <w:bCs/>
          <w:sz w:val="26"/>
          <w:szCs w:val="26"/>
        </w:rPr>
      </w:pPr>
      <w:r w:rsidRPr="000F0D8B">
        <w:rPr>
          <w:rFonts w:asciiTheme="minorHAnsi" w:hAnsiTheme="minorHAnsi" w:cstheme="minorHAnsi"/>
          <w:b/>
          <w:bCs/>
          <w:sz w:val="26"/>
          <w:szCs w:val="26"/>
        </w:rPr>
        <w:t>La nivelul Consiliului Europei (CoE)</w:t>
      </w:r>
    </w:p>
    <w:p w14:paraId="180B518B" w14:textId="4A9C0B0C" w:rsidR="003657DC" w:rsidRPr="000F0D8B" w:rsidRDefault="003657DC" w:rsidP="009E3AD8">
      <w:pPr>
        <w:spacing w:line="276" w:lineRule="auto"/>
        <w:ind w:firstLine="708"/>
        <w:jc w:val="both"/>
        <w:rPr>
          <w:rFonts w:asciiTheme="minorHAnsi" w:hAnsiTheme="minorHAnsi" w:cstheme="minorHAnsi"/>
          <w:sz w:val="26"/>
          <w:szCs w:val="26"/>
        </w:rPr>
      </w:pPr>
      <w:r w:rsidRPr="000F0D8B">
        <w:rPr>
          <w:rFonts w:asciiTheme="minorHAnsi" w:hAnsiTheme="minorHAnsi" w:cstheme="minorHAnsi"/>
          <w:sz w:val="26"/>
          <w:szCs w:val="26"/>
        </w:rPr>
        <w:t>Referitor la colaborarea în cadrul proiectului Consiliului Europei – Comisia Europeană pentru Eficientizarea Justiției (C</w:t>
      </w:r>
      <w:r w:rsidR="00AE3CD2" w:rsidRPr="000F0D8B">
        <w:rPr>
          <w:rFonts w:asciiTheme="minorHAnsi" w:hAnsiTheme="minorHAnsi" w:cstheme="minorHAnsi"/>
          <w:sz w:val="26"/>
          <w:szCs w:val="26"/>
        </w:rPr>
        <w:t>.</w:t>
      </w:r>
      <w:r w:rsidRPr="000F0D8B">
        <w:rPr>
          <w:rFonts w:asciiTheme="minorHAnsi" w:hAnsiTheme="minorHAnsi" w:cstheme="minorHAnsi"/>
          <w:sz w:val="26"/>
          <w:szCs w:val="26"/>
        </w:rPr>
        <w:t>E</w:t>
      </w:r>
      <w:r w:rsidR="00AE3CD2" w:rsidRPr="000F0D8B">
        <w:rPr>
          <w:rFonts w:asciiTheme="minorHAnsi" w:hAnsiTheme="minorHAnsi" w:cstheme="minorHAnsi"/>
          <w:sz w:val="26"/>
          <w:szCs w:val="26"/>
        </w:rPr>
        <w:t>.</w:t>
      </w:r>
      <w:r w:rsidRPr="000F0D8B">
        <w:rPr>
          <w:rFonts w:asciiTheme="minorHAnsi" w:hAnsiTheme="minorHAnsi" w:cstheme="minorHAnsi"/>
          <w:sz w:val="26"/>
          <w:szCs w:val="26"/>
        </w:rPr>
        <w:t>P</w:t>
      </w:r>
      <w:r w:rsidR="00AE3CD2" w:rsidRPr="000F0D8B">
        <w:rPr>
          <w:rFonts w:asciiTheme="minorHAnsi" w:hAnsiTheme="minorHAnsi" w:cstheme="minorHAnsi"/>
          <w:sz w:val="26"/>
          <w:szCs w:val="26"/>
        </w:rPr>
        <w:t>.</w:t>
      </w:r>
      <w:r w:rsidRPr="000F0D8B">
        <w:rPr>
          <w:rFonts w:asciiTheme="minorHAnsi" w:hAnsiTheme="minorHAnsi" w:cstheme="minorHAnsi"/>
          <w:sz w:val="26"/>
          <w:szCs w:val="26"/>
        </w:rPr>
        <w:t>E</w:t>
      </w:r>
      <w:r w:rsidR="00AE3CD2" w:rsidRPr="000F0D8B">
        <w:rPr>
          <w:rFonts w:asciiTheme="minorHAnsi" w:hAnsiTheme="minorHAnsi" w:cstheme="minorHAnsi"/>
          <w:sz w:val="26"/>
          <w:szCs w:val="26"/>
        </w:rPr>
        <w:t>.</w:t>
      </w:r>
      <w:r w:rsidRPr="000F0D8B">
        <w:rPr>
          <w:rFonts w:asciiTheme="minorHAnsi" w:hAnsiTheme="minorHAnsi" w:cstheme="minorHAnsi"/>
          <w:sz w:val="26"/>
          <w:szCs w:val="26"/>
        </w:rPr>
        <w:t>J</w:t>
      </w:r>
      <w:r w:rsidR="00AE3CD2" w:rsidRPr="000F0D8B">
        <w:rPr>
          <w:rFonts w:asciiTheme="minorHAnsi" w:hAnsiTheme="minorHAnsi" w:cstheme="minorHAnsi"/>
          <w:sz w:val="26"/>
          <w:szCs w:val="26"/>
        </w:rPr>
        <w:t>.</w:t>
      </w:r>
      <w:r w:rsidRPr="000F0D8B">
        <w:rPr>
          <w:rFonts w:asciiTheme="minorHAnsi" w:hAnsiTheme="minorHAnsi" w:cstheme="minorHAnsi"/>
          <w:sz w:val="26"/>
          <w:szCs w:val="26"/>
        </w:rPr>
        <w:t>), aceasta s-a realizat atât prin reprezentarea instituției, la nivel tehnic, în activitatea specifică, precum și prin transmiterea contribuției României la chestionarele elaborate de C</w:t>
      </w:r>
      <w:r w:rsidR="00AE3CD2" w:rsidRPr="000F0D8B">
        <w:rPr>
          <w:rFonts w:asciiTheme="minorHAnsi" w:hAnsiTheme="minorHAnsi" w:cstheme="minorHAnsi"/>
          <w:sz w:val="26"/>
          <w:szCs w:val="26"/>
        </w:rPr>
        <w:t>.</w:t>
      </w:r>
      <w:r w:rsidRPr="000F0D8B">
        <w:rPr>
          <w:rFonts w:asciiTheme="minorHAnsi" w:hAnsiTheme="minorHAnsi" w:cstheme="minorHAnsi"/>
          <w:sz w:val="26"/>
          <w:szCs w:val="26"/>
        </w:rPr>
        <w:t>E</w:t>
      </w:r>
      <w:r w:rsidR="00AE3CD2" w:rsidRPr="000F0D8B">
        <w:rPr>
          <w:rFonts w:asciiTheme="minorHAnsi" w:hAnsiTheme="minorHAnsi" w:cstheme="minorHAnsi"/>
          <w:sz w:val="26"/>
          <w:szCs w:val="26"/>
        </w:rPr>
        <w:t>.</w:t>
      </w:r>
      <w:r w:rsidRPr="000F0D8B">
        <w:rPr>
          <w:rFonts w:asciiTheme="minorHAnsi" w:hAnsiTheme="minorHAnsi" w:cstheme="minorHAnsi"/>
          <w:sz w:val="26"/>
          <w:szCs w:val="26"/>
        </w:rPr>
        <w:t>P</w:t>
      </w:r>
      <w:r w:rsidR="00AE3CD2" w:rsidRPr="000F0D8B">
        <w:rPr>
          <w:rFonts w:asciiTheme="minorHAnsi" w:hAnsiTheme="minorHAnsi" w:cstheme="minorHAnsi"/>
          <w:sz w:val="26"/>
          <w:szCs w:val="26"/>
        </w:rPr>
        <w:t>.</w:t>
      </w:r>
      <w:r w:rsidRPr="000F0D8B">
        <w:rPr>
          <w:rFonts w:asciiTheme="minorHAnsi" w:hAnsiTheme="minorHAnsi" w:cstheme="minorHAnsi"/>
          <w:sz w:val="26"/>
          <w:szCs w:val="26"/>
        </w:rPr>
        <w:t>E</w:t>
      </w:r>
      <w:r w:rsidR="00AE3CD2" w:rsidRPr="000F0D8B">
        <w:rPr>
          <w:rFonts w:asciiTheme="minorHAnsi" w:hAnsiTheme="minorHAnsi" w:cstheme="minorHAnsi"/>
          <w:sz w:val="26"/>
          <w:szCs w:val="26"/>
        </w:rPr>
        <w:t>.</w:t>
      </w:r>
      <w:r w:rsidRPr="000F0D8B">
        <w:rPr>
          <w:rFonts w:asciiTheme="minorHAnsi" w:hAnsiTheme="minorHAnsi" w:cstheme="minorHAnsi"/>
          <w:sz w:val="26"/>
          <w:szCs w:val="26"/>
        </w:rPr>
        <w:t>J</w:t>
      </w:r>
      <w:r w:rsidR="00AE3CD2" w:rsidRPr="000F0D8B">
        <w:rPr>
          <w:rFonts w:asciiTheme="minorHAnsi" w:hAnsiTheme="minorHAnsi" w:cstheme="minorHAnsi"/>
          <w:sz w:val="26"/>
          <w:szCs w:val="26"/>
        </w:rPr>
        <w:t>.</w:t>
      </w:r>
      <w:r w:rsidRPr="000F0D8B">
        <w:rPr>
          <w:rFonts w:asciiTheme="minorHAnsi" w:hAnsiTheme="minorHAnsi" w:cstheme="minorHAnsi"/>
          <w:sz w:val="26"/>
          <w:szCs w:val="26"/>
        </w:rPr>
        <w:t>, care stau la baza evaluărilor sistemelor judiciare naționale ale statelor membre ale Consiliului Europei – atât cea realizată la fiecare doi ani, cât și distinct, pentru evaluarea anuală în cadrul E</w:t>
      </w:r>
      <w:r w:rsidR="000C406B" w:rsidRPr="000F0D8B">
        <w:rPr>
          <w:rFonts w:asciiTheme="minorHAnsi" w:hAnsiTheme="minorHAnsi" w:cstheme="minorHAnsi"/>
          <w:sz w:val="26"/>
          <w:szCs w:val="26"/>
        </w:rPr>
        <w:t>.</w:t>
      </w:r>
      <w:r w:rsidRPr="000F0D8B">
        <w:rPr>
          <w:rFonts w:asciiTheme="minorHAnsi" w:hAnsiTheme="minorHAnsi" w:cstheme="minorHAnsi"/>
          <w:sz w:val="26"/>
          <w:szCs w:val="26"/>
        </w:rPr>
        <w:t>U</w:t>
      </w:r>
      <w:r w:rsidR="000C406B" w:rsidRPr="000F0D8B">
        <w:rPr>
          <w:rFonts w:asciiTheme="minorHAnsi" w:hAnsiTheme="minorHAnsi" w:cstheme="minorHAnsi"/>
          <w:sz w:val="26"/>
          <w:szCs w:val="26"/>
        </w:rPr>
        <w:t>.</w:t>
      </w:r>
      <w:r w:rsidRPr="000F0D8B">
        <w:rPr>
          <w:rFonts w:asciiTheme="minorHAnsi" w:hAnsiTheme="minorHAnsi" w:cstheme="minorHAnsi"/>
          <w:sz w:val="26"/>
          <w:szCs w:val="26"/>
        </w:rPr>
        <w:t xml:space="preserve"> Justice Scoreboard. Ca şi până acum, implicarea C</w:t>
      </w:r>
      <w:r w:rsidR="00CE087D">
        <w:rPr>
          <w:rFonts w:asciiTheme="minorHAnsi" w:hAnsiTheme="minorHAnsi" w:cstheme="minorHAnsi"/>
          <w:sz w:val="26"/>
          <w:szCs w:val="26"/>
        </w:rPr>
        <w:t xml:space="preserve">.S.M. </w:t>
      </w:r>
      <w:r w:rsidRPr="000F0D8B">
        <w:rPr>
          <w:rFonts w:asciiTheme="minorHAnsi" w:hAnsiTheme="minorHAnsi" w:cstheme="minorHAnsi"/>
          <w:sz w:val="26"/>
          <w:szCs w:val="26"/>
        </w:rPr>
        <w:t>a fost una activă, în colaborare cu Ministerul Justiţiei</w:t>
      </w:r>
      <w:r w:rsidR="00CE087D">
        <w:rPr>
          <w:rFonts w:asciiTheme="minorHAnsi" w:hAnsiTheme="minorHAnsi" w:cstheme="minorHAnsi"/>
          <w:sz w:val="26"/>
          <w:szCs w:val="26"/>
        </w:rPr>
        <w:t>, iar l</w:t>
      </w:r>
      <w:r w:rsidRPr="000F0D8B">
        <w:rPr>
          <w:rFonts w:asciiTheme="minorHAnsi" w:hAnsiTheme="minorHAnsi" w:cstheme="minorHAnsi"/>
          <w:sz w:val="26"/>
          <w:szCs w:val="26"/>
        </w:rPr>
        <w:t xml:space="preserve">a data de 25 septembrie 2025, reprezentantul Consiliului a participat, la Strasbourg, la cea de-a XIX-a reuniune a corespondenților naționali. </w:t>
      </w:r>
    </w:p>
    <w:p w14:paraId="05440276" w14:textId="62AC2E2A" w:rsidR="003657DC" w:rsidRPr="000F0D8B" w:rsidRDefault="003657DC" w:rsidP="009E3AD8">
      <w:pPr>
        <w:spacing w:line="276" w:lineRule="auto"/>
        <w:ind w:firstLine="708"/>
        <w:jc w:val="both"/>
        <w:rPr>
          <w:rFonts w:asciiTheme="minorHAnsi" w:hAnsiTheme="minorHAnsi" w:cstheme="minorHAnsi"/>
          <w:sz w:val="26"/>
          <w:szCs w:val="26"/>
        </w:rPr>
      </w:pPr>
      <w:r w:rsidRPr="000F0D8B">
        <w:rPr>
          <w:rFonts w:asciiTheme="minorHAnsi" w:hAnsiTheme="minorHAnsi" w:cstheme="minorHAnsi"/>
          <w:sz w:val="26"/>
          <w:szCs w:val="26"/>
        </w:rPr>
        <w:t>Tabloul de bord privind justiția în U</w:t>
      </w:r>
      <w:r w:rsidR="009118C7" w:rsidRPr="000F0D8B">
        <w:rPr>
          <w:rFonts w:asciiTheme="minorHAnsi" w:hAnsiTheme="minorHAnsi" w:cstheme="minorHAnsi"/>
          <w:sz w:val="26"/>
          <w:szCs w:val="26"/>
        </w:rPr>
        <w:t>.</w:t>
      </w:r>
      <w:r w:rsidRPr="000F0D8B">
        <w:rPr>
          <w:rFonts w:asciiTheme="minorHAnsi" w:hAnsiTheme="minorHAnsi" w:cstheme="minorHAnsi"/>
          <w:sz w:val="26"/>
          <w:szCs w:val="26"/>
        </w:rPr>
        <w:t>E</w:t>
      </w:r>
      <w:r w:rsidR="009118C7" w:rsidRPr="000F0D8B">
        <w:rPr>
          <w:rFonts w:asciiTheme="minorHAnsi" w:hAnsiTheme="minorHAnsi" w:cstheme="minorHAnsi"/>
          <w:sz w:val="26"/>
          <w:szCs w:val="26"/>
        </w:rPr>
        <w:t>.</w:t>
      </w:r>
      <w:r w:rsidRPr="000F0D8B">
        <w:rPr>
          <w:rFonts w:asciiTheme="minorHAnsi" w:hAnsiTheme="minorHAnsi" w:cstheme="minorHAnsi"/>
          <w:sz w:val="26"/>
          <w:szCs w:val="26"/>
        </w:rPr>
        <w:t xml:space="preserve"> (E</w:t>
      </w:r>
      <w:r w:rsidR="009118C7" w:rsidRPr="000F0D8B">
        <w:rPr>
          <w:rFonts w:asciiTheme="minorHAnsi" w:hAnsiTheme="minorHAnsi" w:cstheme="minorHAnsi"/>
          <w:sz w:val="26"/>
          <w:szCs w:val="26"/>
        </w:rPr>
        <w:t>.</w:t>
      </w:r>
      <w:r w:rsidRPr="000F0D8B">
        <w:rPr>
          <w:rFonts w:asciiTheme="minorHAnsi" w:hAnsiTheme="minorHAnsi" w:cstheme="minorHAnsi"/>
          <w:sz w:val="26"/>
          <w:szCs w:val="26"/>
        </w:rPr>
        <w:t>U</w:t>
      </w:r>
      <w:r w:rsidR="009118C7" w:rsidRPr="000F0D8B">
        <w:rPr>
          <w:rFonts w:asciiTheme="minorHAnsi" w:hAnsiTheme="minorHAnsi" w:cstheme="minorHAnsi"/>
          <w:sz w:val="26"/>
          <w:szCs w:val="26"/>
        </w:rPr>
        <w:t>.</w:t>
      </w:r>
      <w:r w:rsidRPr="000F0D8B">
        <w:rPr>
          <w:rFonts w:asciiTheme="minorHAnsi" w:hAnsiTheme="minorHAnsi" w:cstheme="minorHAnsi"/>
          <w:sz w:val="26"/>
          <w:szCs w:val="26"/>
        </w:rPr>
        <w:t xml:space="preserve"> Justice Scoreboard) este un instrument de informare menit să ajute U</w:t>
      </w:r>
      <w:r w:rsidR="009118C7" w:rsidRPr="000F0D8B">
        <w:rPr>
          <w:rFonts w:asciiTheme="minorHAnsi" w:hAnsiTheme="minorHAnsi" w:cstheme="minorHAnsi"/>
          <w:sz w:val="26"/>
          <w:szCs w:val="26"/>
        </w:rPr>
        <w:t>.</w:t>
      </w:r>
      <w:r w:rsidRPr="000F0D8B">
        <w:rPr>
          <w:rFonts w:asciiTheme="minorHAnsi" w:hAnsiTheme="minorHAnsi" w:cstheme="minorHAnsi"/>
          <w:sz w:val="26"/>
          <w:szCs w:val="26"/>
        </w:rPr>
        <w:t>E</w:t>
      </w:r>
      <w:r w:rsidR="009118C7" w:rsidRPr="000F0D8B">
        <w:rPr>
          <w:rFonts w:asciiTheme="minorHAnsi" w:hAnsiTheme="minorHAnsi" w:cstheme="minorHAnsi"/>
          <w:sz w:val="26"/>
          <w:szCs w:val="26"/>
        </w:rPr>
        <w:t>.</w:t>
      </w:r>
      <w:r w:rsidRPr="000F0D8B">
        <w:rPr>
          <w:rFonts w:asciiTheme="minorHAnsi" w:hAnsiTheme="minorHAnsi" w:cstheme="minorHAnsi"/>
          <w:sz w:val="26"/>
          <w:szCs w:val="26"/>
        </w:rPr>
        <w:t xml:space="preserve"> și statele membre să crească gradul de eficacitate al justiției, prin furnizarea de date obiective, fiabile și comparabile privind calitatea, independența și eficiența sistemelor de justiție în toate statele membre. Acesta contribuie la identificarea eventualelor deficiențe, a îmbunătățirilor</w:t>
      </w:r>
      <w:r w:rsidR="001040CF">
        <w:rPr>
          <w:rFonts w:asciiTheme="minorHAnsi" w:hAnsiTheme="minorHAnsi" w:cstheme="minorHAnsi"/>
          <w:sz w:val="26"/>
          <w:szCs w:val="26"/>
        </w:rPr>
        <w:t xml:space="preserve"> </w:t>
      </w:r>
      <w:r w:rsidRPr="000F0D8B">
        <w:rPr>
          <w:rFonts w:asciiTheme="minorHAnsi" w:hAnsiTheme="minorHAnsi" w:cstheme="minorHAnsi"/>
          <w:sz w:val="26"/>
          <w:szCs w:val="26"/>
        </w:rPr>
        <w:t xml:space="preserve">care pot fi aduse și a bunelor practici şi prezintă tendințele funcționării sistemelor naționale de justiție de-a lungul timpului. </w:t>
      </w:r>
    </w:p>
    <w:p w14:paraId="1D1F2EDA" w14:textId="60AB2237" w:rsidR="003657DC" w:rsidRPr="000F0D8B" w:rsidRDefault="003657DC" w:rsidP="009E3AD8">
      <w:pPr>
        <w:spacing w:line="276" w:lineRule="auto"/>
        <w:ind w:firstLine="708"/>
        <w:jc w:val="both"/>
        <w:rPr>
          <w:rFonts w:asciiTheme="minorHAnsi" w:hAnsiTheme="minorHAnsi" w:cstheme="minorHAnsi"/>
          <w:sz w:val="26"/>
          <w:szCs w:val="26"/>
        </w:rPr>
      </w:pPr>
      <w:r w:rsidRPr="000F0D8B">
        <w:rPr>
          <w:rFonts w:asciiTheme="minorHAnsi" w:hAnsiTheme="minorHAnsi" w:cstheme="minorHAnsi"/>
          <w:sz w:val="26"/>
          <w:szCs w:val="26"/>
        </w:rPr>
        <w:t>În contextul colaborării în cadrul Consiliului Europei (CoE) – Curtea Europeană a Drepturilor Omului (C</w:t>
      </w:r>
      <w:r w:rsidR="009118C7" w:rsidRPr="000F0D8B">
        <w:rPr>
          <w:rFonts w:asciiTheme="minorHAnsi" w:hAnsiTheme="minorHAnsi" w:cstheme="minorHAnsi"/>
          <w:sz w:val="26"/>
          <w:szCs w:val="26"/>
        </w:rPr>
        <w:t>.</w:t>
      </w:r>
      <w:r w:rsidRPr="000F0D8B">
        <w:rPr>
          <w:rFonts w:asciiTheme="minorHAnsi" w:hAnsiTheme="minorHAnsi" w:cstheme="minorHAnsi"/>
          <w:sz w:val="26"/>
          <w:szCs w:val="26"/>
        </w:rPr>
        <w:t>E</w:t>
      </w:r>
      <w:r w:rsidR="009118C7" w:rsidRPr="000F0D8B">
        <w:rPr>
          <w:rFonts w:asciiTheme="minorHAnsi" w:hAnsiTheme="minorHAnsi" w:cstheme="minorHAnsi"/>
          <w:sz w:val="26"/>
          <w:szCs w:val="26"/>
        </w:rPr>
        <w:t>.</w:t>
      </w:r>
      <w:r w:rsidRPr="000F0D8B">
        <w:rPr>
          <w:rFonts w:asciiTheme="minorHAnsi" w:hAnsiTheme="minorHAnsi" w:cstheme="minorHAnsi"/>
          <w:sz w:val="26"/>
          <w:szCs w:val="26"/>
        </w:rPr>
        <w:t>D</w:t>
      </w:r>
      <w:r w:rsidR="009118C7" w:rsidRPr="000F0D8B">
        <w:rPr>
          <w:rFonts w:asciiTheme="minorHAnsi" w:hAnsiTheme="minorHAnsi" w:cstheme="minorHAnsi"/>
          <w:sz w:val="26"/>
          <w:szCs w:val="26"/>
        </w:rPr>
        <w:t>.</w:t>
      </w:r>
      <w:r w:rsidRPr="000F0D8B">
        <w:rPr>
          <w:rFonts w:asciiTheme="minorHAnsi" w:hAnsiTheme="minorHAnsi" w:cstheme="minorHAnsi"/>
          <w:sz w:val="26"/>
          <w:szCs w:val="26"/>
        </w:rPr>
        <w:t>O</w:t>
      </w:r>
      <w:r w:rsidR="009118C7" w:rsidRPr="000F0D8B">
        <w:rPr>
          <w:rFonts w:asciiTheme="minorHAnsi" w:hAnsiTheme="minorHAnsi" w:cstheme="minorHAnsi"/>
          <w:sz w:val="26"/>
          <w:szCs w:val="26"/>
        </w:rPr>
        <w:t>.</w:t>
      </w:r>
      <w:r w:rsidRPr="000F0D8B">
        <w:rPr>
          <w:rFonts w:asciiTheme="minorHAnsi" w:hAnsiTheme="minorHAnsi" w:cstheme="minorHAnsi"/>
          <w:sz w:val="26"/>
          <w:szCs w:val="26"/>
        </w:rPr>
        <w:t>), trebuie menționată implicarea Consiliului în materia drepturilor omului, precum şi colaborarea cu Agentul Guvernamental pentru Curtea Europeană a Drepturilor Omului, prin diseminarea jurisprudenței relevante, la solicitarea Agentului Guvernamental pentru C</w:t>
      </w:r>
      <w:r w:rsidR="009118C7" w:rsidRPr="000F0D8B">
        <w:rPr>
          <w:rFonts w:asciiTheme="minorHAnsi" w:hAnsiTheme="minorHAnsi" w:cstheme="minorHAnsi"/>
          <w:sz w:val="26"/>
          <w:szCs w:val="26"/>
        </w:rPr>
        <w:t>.</w:t>
      </w:r>
      <w:r w:rsidRPr="000F0D8B">
        <w:rPr>
          <w:rFonts w:asciiTheme="minorHAnsi" w:hAnsiTheme="minorHAnsi" w:cstheme="minorHAnsi"/>
          <w:sz w:val="26"/>
          <w:szCs w:val="26"/>
        </w:rPr>
        <w:t>E</w:t>
      </w:r>
      <w:r w:rsidR="009118C7" w:rsidRPr="000F0D8B">
        <w:rPr>
          <w:rFonts w:asciiTheme="minorHAnsi" w:hAnsiTheme="minorHAnsi" w:cstheme="minorHAnsi"/>
          <w:sz w:val="26"/>
          <w:szCs w:val="26"/>
        </w:rPr>
        <w:t>.</w:t>
      </w:r>
      <w:r w:rsidRPr="000F0D8B">
        <w:rPr>
          <w:rFonts w:asciiTheme="minorHAnsi" w:hAnsiTheme="minorHAnsi" w:cstheme="minorHAnsi"/>
          <w:sz w:val="26"/>
          <w:szCs w:val="26"/>
        </w:rPr>
        <w:t>D</w:t>
      </w:r>
      <w:r w:rsidR="009118C7" w:rsidRPr="000F0D8B">
        <w:rPr>
          <w:rFonts w:asciiTheme="minorHAnsi" w:hAnsiTheme="minorHAnsi" w:cstheme="minorHAnsi"/>
          <w:sz w:val="26"/>
          <w:szCs w:val="26"/>
        </w:rPr>
        <w:t>.</w:t>
      </w:r>
      <w:r w:rsidRPr="000F0D8B">
        <w:rPr>
          <w:rFonts w:asciiTheme="minorHAnsi" w:hAnsiTheme="minorHAnsi" w:cstheme="minorHAnsi"/>
          <w:sz w:val="26"/>
          <w:szCs w:val="26"/>
        </w:rPr>
        <w:t>O</w:t>
      </w:r>
      <w:r w:rsidR="009118C7" w:rsidRPr="000F0D8B">
        <w:rPr>
          <w:rFonts w:asciiTheme="minorHAnsi" w:hAnsiTheme="minorHAnsi" w:cstheme="minorHAnsi"/>
          <w:sz w:val="26"/>
          <w:szCs w:val="26"/>
        </w:rPr>
        <w:t>.</w:t>
      </w:r>
      <w:r w:rsidRPr="000F0D8B">
        <w:rPr>
          <w:rFonts w:asciiTheme="minorHAnsi" w:hAnsiTheme="minorHAnsi" w:cstheme="minorHAnsi"/>
          <w:sz w:val="26"/>
          <w:szCs w:val="26"/>
        </w:rPr>
        <w:t>. În același context, C</w:t>
      </w:r>
      <w:r w:rsidR="00CE087D">
        <w:rPr>
          <w:rFonts w:asciiTheme="minorHAnsi" w:hAnsiTheme="minorHAnsi" w:cstheme="minorHAnsi"/>
          <w:sz w:val="26"/>
          <w:szCs w:val="26"/>
        </w:rPr>
        <w:t xml:space="preserve">.S.M. </w:t>
      </w:r>
      <w:r w:rsidRPr="000F0D8B">
        <w:rPr>
          <w:rFonts w:asciiTheme="minorHAnsi" w:hAnsiTheme="minorHAnsi" w:cstheme="minorHAnsi"/>
          <w:sz w:val="26"/>
          <w:szCs w:val="26"/>
        </w:rPr>
        <w:t>a continuat colaborarea cu Institutul European din România (I</w:t>
      </w:r>
      <w:r w:rsidR="009118C7" w:rsidRPr="000F0D8B">
        <w:rPr>
          <w:rFonts w:asciiTheme="minorHAnsi" w:hAnsiTheme="minorHAnsi" w:cstheme="minorHAnsi"/>
          <w:sz w:val="26"/>
          <w:szCs w:val="26"/>
        </w:rPr>
        <w:t>.</w:t>
      </w:r>
      <w:r w:rsidRPr="000F0D8B">
        <w:rPr>
          <w:rFonts w:asciiTheme="minorHAnsi" w:hAnsiTheme="minorHAnsi" w:cstheme="minorHAnsi"/>
          <w:sz w:val="26"/>
          <w:szCs w:val="26"/>
        </w:rPr>
        <w:t>E</w:t>
      </w:r>
      <w:r w:rsidR="009118C7" w:rsidRPr="000F0D8B">
        <w:rPr>
          <w:rFonts w:asciiTheme="minorHAnsi" w:hAnsiTheme="minorHAnsi" w:cstheme="minorHAnsi"/>
          <w:sz w:val="26"/>
          <w:szCs w:val="26"/>
        </w:rPr>
        <w:t>.</w:t>
      </w:r>
      <w:r w:rsidRPr="000F0D8B">
        <w:rPr>
          <w:rFonts w:asciiTheme="minorHAnsi" w:hAnsiTheme="minorHAnsi" w:cstheme="minorHAnsi"/>
          <w:sz w:val="26"/>
          <w:szCs w:val="26"/>
        </w:rPr>
        <w:t>R</w:t>
      </w:r>
      <w:r w:rsidR="009118C7" w:rsidRPr="000F0D8B">
        <w:rPr>
          <w:rFonts w:asciiTheme="minorHAnsi" w:hAnsiTheme="minorHAnsi" w:cstheme="minorHAnsi"/>
          <w:sz w:val="26"/>
          <w:szCs w:val="26"/>
        </w:rPr>
        <w:t>.</w:t>
      </w:r>
      <w:r w:rsidRPr="000F0D8B">
        <w:rPr>
          <w:rFonts w:asciiTheme="minorHAnsi" w:hAnsiTheme="minorHAnsi" w:cstheme="minorHAnsi"/>
          <w:sz w:val="26"/>
          <w:szCs w:val="26"/>
        </w:rPr>
        <w:t>), în ceea ce privește jurisprudența C</w:t>
      </w:r>
      <w:r w:rsidR="00CE087D">
        <w:rPr>
          <w:rFonts w:asciiTheme="minorHAnsi" w:hAnsiTheme="minorHAnsi" w:cstheme="minorHAnsi"/>
          <w:sz w:val="26"/>
          <w:szCs w:val="26"/>
        </w:rPr>
        <w:t>.E.D.O.</w:t>
      </w:r>
      <w:r w:rsidRPr="000F0D8B">
        <w:rPr>
          <w:rFonts w:asciiTheme="minorHAnsi" w:hAnsiTheme="minorHAnsi" w:cstheme="minorHAnsi"/>
          <w:sz w:val="26"/>
          <w:szCs w:val="26"/>
        </w:rPr>
        <w:t>, transmisă de I</w:t>
      </w:r>
      <w:r w:rsidR="009118C7" w:rsidRPr="000F0D8B">
        <w:rPr>
          <w:rFonts w:asciiTheme="minorHAnsi" w:hAnsiTheme="minorHAnsi" w:cstheme="minorHAnsi"/>
          <w:sz w:val="26"/>
          <w:szCs w:val="26"/>
        </w:rPr>
        <w:t>.</w:t>
      </w:r>
      <w:r w:rsidRPr="000F0D8B">
        <w:rPr>
          <w:rFonts w:asciiTheme="minorHAnsi" w:hAnsiTheme="minorHAnsi" w:cstheme="minorHAnsi"/>
          <w:sz w:val="26"/>
          <w:szCs w:val="26"/>
        </w:rPr>
        <w:t>E</w:t>
      </w:r>
      <w:r w:rsidR="009118C7" w:rsidRPr="000F0D8B">
        <w:rPr>
          <w:rFonts w:asciiTheme="minorHAnsi" w:hAnsiTheme="minorHAnsi" w:cstheme="minorHAnsi"/>
          <w:sz w:val="26"/>
          <w:szCs w:val="26"/>
        </w:rPr>
        <w:t>.</w:t>
      </w:r>
      <w:r w:rsidRPr="000F0D8B">
        <w:rPr>
          <w:rFonts w:asciiTheme="minorHAnsi" w:hAnsiTheme="minorHAnsi" w:cstheme="minorHAnsi"/>
          <w:sz w:val="26"/>
          <w:szCs w:val="26"/>
        </w:rPr>
        <w:t>R</w:t>
      </w:r>
      <w:r w:rsidR="009118C7" w:rsidRPr="000F0D8B">
        <w:rPr>
          <w:rFonts w:asciiTheme="minorHAnsi" w:hAnsiTheme="minorHAnsi" w:cstheme="minorHAnsi"/>
          <w:sz w:val="26"/>
          <w:szCs w:val="26"/>
        </w:rPr>
        <w:t xml:space="preserve">. </w:t>
      </w:r>
      <w:r w:rsidRPr="000F0D8B">
        <w:rPr>
          <w:rFonts w:asciiTheme="minorHAnsi" w:hAnsiTheme="minorHAnsi" w:cstheme="minorHAnsi"/>
          <w:sz w:val="26"/>
          <w:szCs w:val="26"/>
        </w:rPr>
        <w:t>în forma tradusă în limba română.</w:t>
      </w:r>
    </w:p>
    <w:p w14:paraId="6EC6F0F5" w14:textId="77777777" w:rsidR="003657DC" w:rsidRPr="000F0D8B" w:rsidRDefault="003657DC" w:rsidP="009E3AD8">
      <w:pPr>
        <w:spacing w:line="276" w:lineRule="auto"/>
        <w:ind w:firstLine="708"/>
        <w:jc w:val="both"/>
        <w:rPr>
          <w:rFonts w:asciiTheme="minorHAnsi" w:hAnsiTheme="minorHAnsi" w:cstheme="minorHAnsi"/>
          <w:b/>
          <w:bCs/>
          <w:sz w:val="26"/>
          <w:szCs w:val="26"/>
        </w:rPr>
      </w:pPr>
      <w:r w:rsidRPr="000F0D8B">
        <w:rPr>
          <w:rFonts w:asciiTheme="minorHAnsi" w:hAnsiTheme="minorHAnsi" w:cstheme="minorHAnsi"/>
          <w:b/>
          <w:bCs/>
          <w:sz w:val="26"/>
          <w:szCs w:val="26"/>
        </w:rPr>
        <w:t xml:space="preserve">La nivelul altor foruri internaționale </w:t>
      </w:r>
    </w:p>
    <w:p w14:paraId="6116EB67" w14:textId="204C7F9C" w:rsidR="003657DC" w:rsidRPr="000F0D8B" w:rsidRDefault="003657DC" w:rsidP="009E3AD8">
      <w:pPr>
        <w:spacing w:line="276" w:lineRule="auto"/>
        <w:ind w:firstLine="708"/>
        <w:jc w:val="both"/>
        <w:rPr>
          <w:rFonts w:asciiTheme="minorHAnsi" w:hAnsiTheme="minorHAnsi" w:cstheme="minorHAnsi"/>
          <w:sz w:val="26"/>
          <w:szCs w:val="26"/>
        </w:rPr>
      </w:pPr>
      <w:r w:rsidRPr="000F0D8B">
        <w:rPr>
          <w:rFonts w:asciiTheme="minorHAnsi" w:hAnsiTheme="minorHAnsi" w:cstheme="minorHAnsi"/>
          <w:sz w:val="26"/>
          <w:szCs w:val="26"/>
        </w:rPr>
        <w:t>În cursul anului 2025, Consiliul Superior al Magistraturii a susţinut constant, în limita atribuțiilor care îi revin, eforturile autorităților naționale în procesul de aderare a României la Organizaţia pentru Cooperare şi Dezvoltare Economică (O</w:t>
      </w:r>
      <w:r w:rsidR="00661674" w:rsidRPr="000F0D8B">
        <w:rPr>
          <w:rFonts w:asciiTheme="minorHAnsi" w:hAnsiTheme="minorHAnsi" w:cstheme="minorHAnsi"/>
          <w:sz w:val="26"/>
          <w:szCs w:val="26"/>
        </w:rPr>
        <w:t>.</w:t>
      </w:r>
      <w:r w:rsidRPr="000F0D8B">
        <w:rPr>
          <w:rFonts w:asciiTheme="minorHAnsi" w:hAnsiTheme="minorHAnsi" w:cstheme="minorHAnsi"/>
          <w:sz w:val="26"/>
          <w:szCs w:val="26"/>
        </w:rPr>
        <w:t>C</w:t>
      </w:r>
      <w:r w:rsidR="00661674" w:rsidRPr="000F0D8B">
        <w:rPr>
          <w:rFonts w:asciiTheme="minorHAnsi" w:hAnsiTheme="minorHAnsi" w:cstheme="minorHAnsi"/>
          <w:sz w:val="26"/>
          <w:szCs w:val="26"/>
        </w:rPr>
        <w:t>.</w:t>
      </w:r>
      <w:r w:rsidRPr="000F0D8B">
        <w:rPr>
          <w:rFonts w:asciiTheme="minorHAnsi" w:hAnsiTheme="minorHAnsi" w:cstheme="minorHAnsi"/>
          <w:sz w:val="26"/>
          <w:szCs w:val="26"/>
        </w:rPr>
        <w:t>D</w:t>
      </w:r>
      <w:r w:rsidR="00661674" w:rsidRPr="000F0D8B">
        <w:rPr>
          <w:rFonts w:asciiTheme="minorHAnsi" w:hAnsiTheme="minorHAnsi" w:cstheme="minorHAnsi"/>
          <w:sz w:val="26"/>
          <w:szCs w:val="26"/>
        </w:rPr>
        <w:t>.</w:t>
      </w:r>
      <w:r w:rsidRPr="000F0D8B">
        <w:rPr>
          <w:rFonts w:asciiTheme="minorHAnsi" w:hAnsiTheme="minorHAnsi" w:cstheme="minorHAnsi"/>
          <w:sz w:val="26"/>
          <w:szCs w:val="26"/>
        </w:rPr>
        <w:t>E</w:t>
      </w:r>
      <w:r w:rsidR="00661674" w:rsidRPr="000F0D8B">
        <w:rPr>
          <w:rFonts w:asciiTheme="minorHAnsi" w:hAnsiTheme="minorHAnsi" w:cstheme="minorHAnsi"/>
          <w:sz w:val="26"/>
          <w:szCs w:val="26"/>
        </w:rPr>
        <w:t>.</w:t>
      </w:r>
      <w:r w:rsidRPr="000F0D8B">
        <w:rPr>
          <w:rFonts w:asciiTheme="minorHAnsi" w:hAnsiTheme="minorHAnsi" w:cstheme="minorHAnsi"/>
          <w:sz w:val="26"/>
          <w:szCs w:val="26"/>
        </w:rPr>
        <w:t>). Astfel, în contextul evaluărilor periodice realizate de comitetele acestui for interguvernamental, pentru îmbunătățirea eforturilor de aliniere la standardele și bunele practici ale O</w:t>
      </w:r>
      <w:r w:rsidR="006C779A" w:rsidRPr="000F0D8B">
        <w:rPr>
          <w:rFonts w:asciiTheme="minorHAnsi" w:hAnsiTheme="minorHAnsi" w:cstheme="minorHAnsi"/>
          <w:sz w:val="26"/>
          <w:szCs w:val="26"/>
        </w:rPr>
        <w:t>.</w:t>
      </w:r>
      <w:r w:rsidRPr="000F0D8B">
        <w:rPr>
          <w:rFonts w:asciiTheme="minorHAnsi" w:hAnsiTheme="minorHAnsi" w:cstheme="minorHAnsi"/>
          <w:sz w:val="26"/>
          <w:szCs w:val="26"/>
        </w:rPr>
        <w:t>C</w:t>
      </w:r>
      <w:r w:rsidR="006C779A" w:rsidRPr="000F0D8B">
        <w:rPr>
          <w:rFonts w:asciiTheme="minorHAnsi" w:hAnsiTheme="minorHAnsi" w:cstheme="minorHAnsi"/>
          <w:sz w:val="26"/>
          <w:szCs w:val="26"/>
        </w:rPr>
        <w:t>.</w:t>
      </w:r>
      <w:r w:rsidRPr="000F0D8B">
        <w:rPr>
          <w:rFonts w:asciiTheme="minorHAnsi" w:hAnsiTheme="minorHAnsi" w:cstheme="minorHAnsi"/>
          <w:sz w:val="26"/>
          <w:szCs w:val="26"/>
        </w:rPr>
        <w:t>D</w:t>
      </w:r>
      <w:r w:rsidR="006C779A" w:rsidRPr="000F0D8B">
        <w:rPr>
          <w:rFonts w:asciiTheme="minorHAnsi" w:hAnsiTheme="minorHAnsi" w:cstheme="minorHAnsi"/>
          <w:sz w:val="26"/>
          <w:szCs w:val="26"/>
        </w:rPr>
        <w:t>.</w:t>
      </w:r>
      <w:r w:rsidRPr="000F0D8B">
        <w:rPr>
          <w:rFonts w:asciiTheme="minorHAnsi" w:hAnsiTheme="minorHAnsi" w:cstheme="minorHAnsi"/>
          <w:sz w:val="26"/>
          <w:szCs w:val="26"/>
        </w:rPr>
        <w:t>E</w:t>
      </w:r>
      <w:r w:rsidR="006C779A" w:rsidRPr="000F0D8B">
        <w:rPr>
          <w:rFonts w:asciiTheme="minorHAnsi" w:hAnsiTheme="minorHAnsi" w:cstheme="minorHAnsi"/>
          <w:sz w:val="26"/>
          <w:szCs w:val="26"/>
        </w:rPr>
        <w:t>.</w:t>
      </w:r>
      <w:r w:rsidRPr="000F0D8B">
        <w:rPr>
          <w:rFonts w:asciiTheme="minorHAnsi" w:hAnsiTheme="minorHAnsi" w:cstheme="minorHAnsi"/>
          <w:sz w:val="26"/>
          <w:szCs w:val="26"/>
        </w:rPr>
        <w:t xml:space="preserve"> pe termen mediu și lung, s-a continuat efectuarea raportărilor privind activitatea grupului de lucru interinstituțional, în cadrul căruia Consiliul este reprezentat prin domnul judecător Claudiu-Marian Drăgușin și domnul procuror Bogdan Silviu Staicu, membri aleși ai Consiliului Superior al Magistraturii.</w:t>
      </w:r>
    </w:p>
    <w:p w14:paraId="4751A6C2" w14:textId="6203225E" w:rsidR="003657DC" w:rsidRPr="000F0D8B" w:rsidRDefault="003657DC" w:rsidP="009E3AD8">
      <w:pPr>
        <w:spacing w:line="276" w:lineRule="auto"/>
        <w:ind w:firstLine="708"/>
        <w:jc w:val="both"/>
        <w:rPr>
          <w:rFonts w:asciiTheme="minorHAnsi" w:hAnsiTheme="minorHAnsi" w:cstheme="minorHAnsi"/>
          <w:sz w:val="26"/>
          <w:szCs w:val="26"/>
        </w:rPr>
      </w:pPr>
      <w:r w:rsidRPr="000F0D8B">
        <w:rPr>
          <w:rFonts w:asciiTheme="minorHAnsi" w:hAnsiTheme="minorHAnsi" w:cstheme="minorHAnsi"/>
          <w:sz w:val="26"/>
          <w:szCs w:val="26"/>
        </w:rPr>
        <w:t>În acest cadru, pe parcursul anului 2025, C</w:t>
      </w:r>
      <w:r w:rsidR="00CE087D">
        <w:rPr>
          <w:rFonts w:asciiTheme="minorHAnsi" w:hAnsiTheme="minorHAnsi" w:cstheme="minorHAnsi"/>
          <w:sz w:val="26"/>
          <w:szCs w:val="26"/>
        </w:rPr>
        <w:t xml:space="preserve">.S.M. </w:t>
      </w:r>
      <w:r w:rsidRPr="000F0D8B">
        <w:rPr>
          <w:rFonts w:asciiTheme="minorHAnsi" w:hAnsiTheme="minorHAnsi" w:cstheme="minorHAnsi"/>
          <w:sz w:val="26"/>
          <w:szCs w:val="26"/>
        </w:rPr>
        <w:t>a participat la reuniunile periodice organizate la Ministerul Justiţiei, ce au vizat actualizarea stadiului de implementare a măsurilor propuse de Consiliul Superior al Magistraturii din Planul de acţiune pentru implementarea recomandărilor P</w:t>
      </w:r>
      <w:r w:rsidR="002968ED" w:rsidRPr="000F0D8B">
        <w:rPr>
          <w:rFonts w:asciiTheme="minorHAnsi" w:hAnsiTheme="minorHAnsi" w:cstheme="minorHAnsi"/>
          <w:sz w:val="26"/>
          <w:szCs w:val="26"/>
        </w:rPr>
        <w:t>.</w:t>
      </w:r>
      <w:r w:rsidRPr="000F0D8B">
        <w:rPr>
          <w:rFonts w:asciiTheme="minorHAnsi" w:hAnsiTheme="minorHAnsi" w:cstheme="minorHAnsi"/>
          <w:sz w:val="26"/>
          <w:szCs w:val="26"/>
        </w:rPr>
        <w:t>G</w:t>
      </w:r>
      <w:r w:rsidR="002968ED" w:rsidRPr="000F0D8B">
        <w:rPr>
          <w:rFonts w:asciiTheme="minorHAnsi" w:hAnsiTheme="minorHAnsi" w:cstheme="minorHAnsi"/>
          <w:sz w:val="26"/>
          <w:szCs w:val="26"/>
        </w:rPr>
        <w:t>.</w:t>
      </w:r>
      <w:r w:rsidRPr="000F0D8B">
        <w:rPr>
          <w:rFonts w:asciiTheme="minorHAnsi" w:hAnsiTheme="minorHAnsi" w:cstheme="minorHAnsi"/>
          <w:sz w:val="26"/>
          <w:szCs w:val="26"/>
        </w:rPr>
        <w:t>C</w:t>
      </w:r>
      <w:r w:rsidR="002968ED" w:rsidRPr="000F0D8B">
        <w:rPr>
          <w:rFonts w:asciiTheme="minorHAnsi" w:hAnsiTheme="minorHAnsi" w:cstheme="minorHAnsi"/>
          <w:sz w:val="26"/>
          <w:szCs w:val="26"/>
        </w:rPr>
        <w:t>.</w:t>
      </w:r>
      <w:r w:rsidRPr="000F0D8B">
        <w:rPr>
          <w:rFonts w:asciiTheme="minorHAnsi" w:hAnsiTheme="minorHAnsi" w:cstheme="minorHAnsi"/>
          <w:sz w:val="26"/>
          <w:szCs w:val="26"/>
        </w:rPr>
        <w:t>, și a transmis contribuții scrise privind recomandările O</w:t>
      </w:r>
      <w:r w:rsidR="00B16E63" w:rsidRPr="000F0D8B">
        <w:rPr>
          <w:rFonts w:asciiTheme="minorHAnsi" w:hAnsiTheme="minorHAnsi" w:cstheme="minorHAnsi"/>
          <w:sz w:val="26"/>
          <w:szCs w:val="26"/>
        </w:rPr>
        <w:t>.</w:t>
      </w:r>
      <w:r w:rsidRPr="000F0D8B">
        <w:rPr>
          <w:rFonts w:asciiTheme="minorHAnsi" w:hAnsiTheme="minorHAnsi" w:cstheme="minorHAnsi"/>
          <w:sz w:val="26"/>
          <w:szCs w:val="26"/>
        </w:rPr>
        <w:t>C</w:t>
      </w:r>
      <w:r w:rsidR="00B16E63" w:rsidRPr="000F0D8B">
        <w:rPr>
          <w:rFonts w:asciiTheme="minorHAnsi" w:hAnsiTheme="minorHAnsi" w:cstheme="minorHAnsi"/>
          <w:sz w:val="26"/>
          <w:szCs w:val="26"/>
        </w:rPr>
        <w:t>.</w:t>
      </w:r>
      <w:r w:rsidRPr="000F0D8B">
        <w:rPr>
          <w:rFonts w:asciiTheme="minorHAnsi" w:hAnsiTheme="minorHAnsi" w:cstheme="minorHAnsi"/>
          <w:sz w:val="26"/>
          <w:szCs w:val="26"/>
        </w:rPr>
        <w:t>D</w:t>
      </w:r>
      <w:r w:rsidR="00B16E63" w:rsidRPr="000F0D8B">
        <w:rPr>
          <w:rFonts w:asciiTheme="minorHAnsi" w:hAnsiTheme="minorHAnsi" w:cstheme="minorHAnsi"/>
          <w:sz w:val="26"/>
          <w:szCs w:val="26"/>
        </w:rPr>
        <w:t>.</w:t>
      </w:r>
      <w:r w:rsidRPr="000F0D8B">
        <w:rPr>
          <w:rFonts w:asciiTheme="minorHAnsi" w:hAnsiTheme="minorHAnsi" w:cstheme="minorHAnsi"/>
          <w:sz w:val="26"/>
          <w:szCs w:val="26"/>
        </w:rPr>
        <w:t>E</w:t>
      </w:r>
      <w:r w:rsidR="00B16E63" w:rsidRPr="000F0D8B">
        <w:rPr>
          <w:rFonts w:asciiTheme="minorHAnsi" w:hAnsiTheme="minorHAnsi" w:cstheme="minorHAnsi"/>
          <w:sz w:val="26"/>
          <w:szCs w:val="26"/>
        </w:rPr>
        <w:t>.</w:t>
      </w:r>
      <w:r w:rsidRPr="000F0D8B">
        <w:rPr>
          <w:rFonts w:asciiTheme="minorHAnsi" w:hAnsiTheme="minorHAnsi" w:cstheme="minorHAnsi"/>
          <w:sz w:val="26"/>
          <w:szCs w:val="26"/>
        </w:rPr>
        <w:t>, finalizând în proporţie de 90% implementarea măsurilor propuse.</w:t>
      </w:r>
    </w:p>
    <w:p w14:paraId="2277403D" w14:textId="4FE069DB" w:rsidR="003657DC" w:rsidRPr="000F0D8B" w:rsidRDefault="003657DC" w:rsidP="009E3AD8">
      <w:pPr>
        <w:spacing w:line="276" w:lineRule="auto"/>
        <w:ind w:firstLine="708"/>
        <w:jc w:val="both"/>
        <w:rPr>
          <w:rFonts w:asciiTheme="minorHAnsi" w:hAnsiTheme="minorHAnsi" w:cstheme="minorHAnsi"/>
          <w:sz w:val="26"/>
          <w:szCs w:val="26"/>
        </w:rPr>
      </w:pPr>
      <w:r w:rsidRPr="000F0D8B">
        <w:rPr>
          <w:rFonts w:asciiTheme="minorHAnsi" w:hAnsiTheme="minorHAnsi" w:cstheme="minorHAnsi"/>
          <w:sz w:val="26"/>
          <w:szCs w:val="26"/>
        </w:rPr>
        <w:lastRenderedPageBreak/>
        <w:t>Totodată, în perioada 21</w:t>
      </w:r>
      <w:r w:rsidR="007A37C8">
        <w:rPr>
          <w:rFonts w:asciiTheme="minorHAnsi" w:hAnsiTheme="minorHAnsi" w:cstheme="minorHAnsi"/>
          <w:sz w:val="26"/>
          <w:szCs w:val="26"/>
        </w:rPr>
        <w:t xml:space="preserve"> ianuarie – </w:t>
      </w:r>
      <w:r w:rsidRPr="000F0D8B">
        <w:rPr>
          <w:rFonts w:asciiTheme="minorHAnsi" w:hAnsiTheme="minorHAnsi" w:cstheme="minorHAnsi"/>
          <w:sz w:val="26"/>
          <w:szCs w:val="26"/>
        </w:rPr>
        <w:t>22</w:t>
      </w:r>
      <w:r w:rsidR="007A37C8">
        <w:rPr>
          <w:rFonts w:asciiTheme="minorHAnsi" w:hAnsiTheme="minorHAnsi" w:cstheme="minorHAnsi"/>
          <w:sz w:val="26"/>
          <w:szCs w:val="26"/>
        </w:rPr>
        <w:t xml:space="preserve"> ianuarie </w:t>
      </w:r>
      <w:r w:rsidRPr="000F0D8B">
        <w:rPr>
          <w:rFonts w:asciiTheme="minorHAnsi" w:hAnsiTheme="minorHAnsi" w:cstheme="minorHAnsi"/>
          <w:sz w:val="26"/>
          <w:szCs w:val="26"/>
        </w:rPr>
        <w:t>2025, s-a asigurat participarea Consiliului, prin desemnarea a doi reprezentanți de la nivel tehnic din cadrul D</w:t>
      </w:r>
      <w:r w:rsidR="001930C1" w:rsidRPr="000F0D8B">
        <w:rPr>
          <w:rFonts w:asciiTheme="minorHAnsi" w:hAnsiTheme="minorHAnsi" w:cstheme="minorHAnsi"/>
          <w:sz w:val="26"/>
          <w:szCs w:val="26"/>
        </w:rPr>
        <w:t>.</w:t>
      </w:r>
      <w:r w:rsidRPr="000F0D8B">
        <w:rPr>
          <w:rFonts w:asciiTheme="minorHAnsi" w:hAnsiTheme="minorHAnsi" w:cstheme="minorHAnsi"/>
          <w:sz w:val="26"/>
          <w:szCs w:val="26"/>
        </w:rPr>
        <w:t>A</w:t>
      </w:r>
      <w:r w:rsidR="001930C1" w:rsidRPr="000F0D8B">
        <w:rPr>
          <w:rFonts w:asciiTheme="minorHAnsi" w:hAnsiTheme="minorHAnsi" w:cstheme="minorHAnsi"/>
          <w:sz w:val="26"/>
          <w:szCs w:val="26"/>
        </w:rPr>
        <w:t>.</w:t>
      </w:r>
      <w:r w:rsidRPr="000F0D8B">
        <w:rPr>
          <w:rFonts w:asciiTheme="minorHAnsi" w:hAnsiTheme="minorHAnsi" w:cstheme="minorHAnsi"/>
          <w:sz w:val="26"/>
          <w:szCs w:val="26"/>
        </w:rPr>
        <w:t>E</w:t>
      </w:r>
      <w:r w:rsidR="001930C1" w:rsidRPr="000F0D8B">
        <w:rPr>
          <w:rFonts w:asciiTheme="minorHAnsi" w:hAnsiTheme="minorHAnsi" w:cstheme="minorHAnsi"/>
          <w:sz w:val="26"/>
          <w:szCs w:val="26"/>
        </w:rPr>
        <w:t>.</w:t>
      </w:r>
      <w:r w:rsidRPr="000F0D8B">
        <w:rPr>
          <w:rFonts w:asciiTheme="minorHAnsi" w:hAnsiTheme="minorHAnsi" w:cstheme="minorHAnsi"/>
          <w:sz w:val="26"/>
          <w:szCs w:val="26"/>
        </w:rPr>
        <w:t>R</w:t>
      </w:r>
      <w:r w:rsidR="001930C1" w:rsidRPr="000F0D8B">
        <w:rPr>
          <w:rFonts w:asciiTheme="minorHAnsi" w:hAnsiTheme="minorHAnsi" w:cstheme="minorHAnsi"/>
          <w:sz w:val="26"/>
          <w:szCs w:val="26"/>
        </w:rPr>
        <w:t>.</w:t>
      </w:r>
      <w:r w:rsidRPr="000F0D8B">
        <w:rPr>
          <w:rFonts w:asciiTheme="minorHAnsi" w:hAnsiTheme="minorHAnsi" w:cstheme="minorHAnsi"/>
          <w:sz w:val="26"/>
          <w:szCs w:val="26"/>
        </w:rPr>
        <w:t>I</w:t>
      </w:r>
      <w:r w:rsidR="001930C1" w:rsidRPr="000F0D8B">
        <w:rPr>
          <w:rFonts w:asciiTheme="minorHAnsi" w:hAnsiTheme="minorHAnsi" w:cstheme="minorHAnsi"/>
          <w:sz w:val="26"/>
          <w:szCs w:val="26"/>
        </w:rPr>
        <w:t>.</w:t>
      </w:r>
      <w:r w:rsidRPr="000F0D8B">
        <w:rPr>
          <w:rFonts w:asciiTheme="minorHAnsi" w:hAnsiTheme="minorHAnsi" w:cstheme="minorHAnsi"/>
          <w:sz w:val="26"/>
          <w:szCs w:val="26"/>
        </w:rPr>
        <w:t>P</w:t>
      </w:r>
      <w:r w:rsidR="001930C1" w:rsidRPr="000F0D8B">
        <w:rPr>
          <w:rFonts w:asciiTheme="minorHAnsi" w:hAnsiTheme="minorHAnsi" w:cstheme="minorHAnsi"/>
          <w:sz w:val="26"/>
          <w:szCs w:val="26"/>
        </w:rPr>
        <w:t>.</w:t>
      </w:r>
      <w:r w:rsidRPr="000F0D8B">
        <w:rPr>
          <w:rFonts w:asciiTheme="minorHAnsi" w:hAnsiTheme="minorHAnsi" w:cstheme="minorHAnsi"/>
          <w:sz w:val="26"/>
          <w:szCs w:val="26"/>
        </w:rPr>
        <w:t xml:space="preserve"> – S</w:t>
      </w:r>
      <w:r w:rsidR="001930C1" w:rsidRPr="000F0D8B">
        <w:rPr>
          <w:rFonts w:asciiTheme="minorHAnsi" w:hAnsiTheme="minorHAnsi" w:cstheme="minorHAnsi"/>
          <w:sz w:val="26"/>
          <w:szCs w:val="26"/>
        </w:rPr>
        <w:t>.</w:t>
      </w:r>
      <w:r w:rsidRPr="000F0D8B">
        <w:rPr>
          <w:rFonts w:asciiTheme="minorHAnsi" w:hAnsiTheme="minorHAnsi" w:cstheme="minorHAnsi"/>
          <w:sz w:val="26"/>
          <w:szCs w:val="26"/>
        </w:rPr>
        <w:t>A</w:t>
      </w:r>
      <w:r w:rsidR="001930C1" w:rsidRPr="000F0D8B">
        <w:rPr>
          <w:rFonts w:asciiTheme="minorHAnsi" w:hAnsiTheme="minorHAnsi" w:cstheme="minorHAnsi"/>
          <w:sz w:val="26"/>
          <w:szCs w:val="26"/>
        </w:rPr>
        <w:t>.</w:t>
      </w:r>
      <w:r w:rsidRPr="000F0D8B">
        <w:rPr>
          <w:rFonts w:asciiTheme="minorHAnsi" w:hAnsiTheme="minorHAnsi" w:cstheme="minorHAnsi"/>
          <w:sz w:val="26"/>
          <w:szCs w:val="26"/>
        </w:rPr>
        <w:t>E</w:t>
      </w:r>
      <w:r w:rsidR="001930C1" w:rsidRPr="000F0D8B">
        <w:rPr>
          <w:rFonts w:asciiTheme="minorHAnsi" w:hAnsiTheme="minorHAnsi" w:cstheme="minorHAnsi"/>
          <w:sz w:val="26"/>
          <w:szCs w:val="26"/>
        </w:rPr>
        <w:t>.</w:t>
      </w:r>
      <w:r w:rsidRPr="000F0D8B">
        <w:rPr>
          <w:rFonts w:asciiTheme="minorHAnsi" w:hAnsiTheme="minorHAnsi" w:cstheme="minorHAnsi"/>
          <w:sz w:val="26"/>
          <w:szCs w:val="26"/>
        </w:rPr>
        <w:t>R</w:t>
      </w:r>
      <w:r w:rsidR="001930C1" w:rsidRPr="000F0D8B">
        <w:rPr>
          <w:rFonts w:asciiTheme="minorHAnsi" w:hAnsiTheme="minorHAnsi" w:cstheme="minorHAnsi"/>
          <w:sz w:val="26"/>
          <w:szCs w:val="26"/>
        </w:rPr>
        <w:t>.</w:t>
      </w:r>
      <w:r w:rsidRPr="000F0D8B">
        <w:rPr>
          <w:rFonts w:asciiTheme="minorHAnsi" w:hAnsiTheme="minorHAnsi" w:cstheme="minorHAnsi"/>
          <w:sz w:val="26"/>
          <w:szCs w:val="26"/>
        </w:rPr>
        <w:t>I</w:t>
      </w:r>
      <w:r w:rsidR="001930C1" w:rsidRPr="000F0D8B">
        <w:rPr>
          <w:rFonts w:asciiTheme="minorHAnsi" w:hAnsiTheme="minorHAnsi" w:cstheme="minorHAnsi"/>
          <w:sz w:val="26"/>
          <w:szCs w:val="26"/>
        </w:rPr>
        <w:t>.</w:t>
      </w:r>
      <w:r w:rsidRPr="000F0D8B">
        <w:rPr>
          <w:rFonts w:asciiTheme="minorHAnsi" w:hAnsiTheme="minorHAnsi" w:cstheme="minorHAnsi"/>
          <w:sz w:val="26"/>
          <w:szCs w:val="26"/>
        </w:rPr>
        <w:t>, în cadrul proiectului 23RO06 – Sprijinul în implementarea integrității și anti-corupției în sfera cadrului legal din România, inclusiv în reducerea riscului de corupție în domeniul achizițiilor publice, finanţat prin instrumentul de sprijin tehnic (T</w:t>
      </w:r>
      <w:r w:rsidR="001930C1" w:rsidRPr="000F0D8B">
        <w:rPr>
          <w:rFonts w:asciiTheme="minorHAnsi" w:hAnsiTheme="minorHAnsi" w:cstheme="minorHAnsi"/>
          <w:sz w:val="26"/>
          <w:szCs w:val="26"/>
        </w:rPr>
        <w:t>.</w:t>
      </w:r>
      <w:r w:rsidRPr="000F0D8B">
        <w:rPr>
          <w:rFonts w:asciiTheme="minorHAnsi" w:hAnsiTheme="minorHAnsi" w:cstheme="minorHAnsi"/>
          <w:sz w:val="26"/>
          <w:szCs w:val="26"/>
        </w:rPr>
        <w:t>S</w:t>
      </w:r>
      <w:r w:rsidR="001930C1" w:rsidRPr="000F0D8B">
        <w:rPr>
          <w:rFonts w:asciiTheme="minorHAnsi" w:hAnsiTheme="minorHAnsi" w:cstheme="minorHAnsi"/>
          <w:sz w:val="26"/>
          <w:szCs w:val="26"/>
        </w:rPr>
        <w:t>.</w:t>
      </w:r>
      <w:r w:rsidRPr="000F0D8B">
        <w:rPr>
          <w:rFonts w:asciiTheme="minorHAnsi" w:hAnsiTheme="minorHAnsi" w:cstheme="minorHAnsi"/>
          <w:sz w:val="26"/>
          <w:szCs w:val="26"/>
        </w:rPr>
        <w:t>I</w:t>
      </w:r>
      <w:r w:rsidR="001930C1" w:rsidRPr="000F0D8B">
        <w:rPr>
          <w:rFonts w:asciiTheme="minorHAnsi" w:hAnsiTheme="minorHAnsi" w:cstheme="minorHAnsi"/>
          <w:sz w:val="26"/>
          <w:szCs w:val="26"/>
        </w:rPr>
        <w:t>.</w:t>
      </w:r>
      <w:r w:rsidRPr="000F0D8B">
        <w:rPr>
          <w:rFonts w:asciiTheme="minorHAnsi" w:hAnsiTheme="minorHAnsi" w:cstheme="minorHAnsi"/>
          <w:sz w:val="26"/>
          <w:szCs w:val="26"/>
        </w:rPr>
        <w:t>) al Comisiei Europene, dezvoltat de Agenția Națională de Integritate (A</w:t>
      </w:r>
      <w:r w:rsidR="001930C1" w:rsidRPr="000F0D8B">
        <w:rPr>
          <w:rFonts w:asciiTheme="minorHAnsi" w:hAnsiTheme="minorHAnsi" w:cstheme="minorHAnsi"/>
          <w:sz w:val="26"/>
          <w:szCs w:val="26"/>
        </w:rPr>
        <w:t>.</w:t>
      </w:r>
      <w:r w:rsidRPr="000F0D8B">
        <w:rPr>
          <w:rFonts w:asciiTheme="minorHAnsi" w:hAnsiTheme="minorHAnsi" w:cstheme="minorHAnsi"/>
          <w:sz w:val="26"/>
          <w:szCs w:val="26"/>
        </w:rPr>
        <w:t>N</w:t>
      </w:r>
      <w:r w:rsidR="001930C1" w:rsidRPr="000F0D8B">
        <w:rPr>
          <w:rFonts w:asciiTheme="minorHAnsi" w:hAnsiTheme="minorHAnsi" w:cstheme="minorHAnsi"/>
          <w:sz w:val="26"/>
          <w:szCs w:val="26"/>
        </w:rPr>
        <w:t>.</w:t>
      </w:r>
      <w:r w:rsidRPr="000F0D8B">
        <w:rPr>
          <w:rFonts w:asciiTheme="minorHAnsi" w:hAnsiTheme="minorHAnsi" w:cstheme="minorHAnsi"/>
          <w:sz w:val="26"/>
          <w:szCs w:val="26"/>
        </w:rPr>
        <w:t>I</w:t>
      </w:r>
      <w:r w:rsidR="001930C1" w:rsidRPr="000F0D8B">
        <w:rPr>
          <w:rFonts w:asciiTheme="minorHAnsi" w:hAnsiTheme="minorHAnsi" w:cstheme="minorHAnsi"/>
          <w:sz w:val="26"/>
          <w:szCs w:val="26"/>
        </w:rPr>
        <w:t>.</w:t>
      </w:r>
      <w:r w:rsidRPr="000F0D8B">
        <w:rPr>
          <w:rFonts w:asciiTheme="minorHAnsi" w:hAnsiTheme="minorHAnsi" w:cstheme="minorHAnsi"/>
          <w:sz w:val="26"/>
          <w:szCs w:val="26"/>
        </w:rPr>
        <w:t>) și Organizația pentru Cooperare si Dezvoltare Economică (O</w:t>
      </w:r>
      <w:r w:rsidR="001930C1" w:rsidRPr="000F0D8B">
        <w:rPr>
          <w:rFonts w:asciiTheme="minorHAnsi" w:hAnsiTheme="minorHAnsi" w:cstheme="minorHAnsi"/>
          <w:sz w:val="26"/>
          <w:szCs w:val="26"/>
        </w:rPr>
        <w:t>.</w:t>
      </w:r>
      <w:r w:rsidRPr="000F0D8B">
        <w:rPr>
          <w:rFonts w:asciiTheme="minorHAnsi" w:hAnsiTheme="minorHAnsi" w:cstheme="minorHAnsi"/>
          <w:sz w:val="26"/>
          <w:szCs w:val="26"/>
        </w:rPr>
        <w:t>C</w:t>
      </w:r>
      <w:r w:rsidR="001930C1" w:rsidRPr="000F0D8B">
        <w:rPr>
          <w:rFonts w:asciiTheme="minorHAnsi" w:hAnsiTheme="minorHAnsi" w:cstheme="minorHAnsi"/>
          <w:sz w:val="26"/>
          <w:szCs w:val="26"/>
        </w:rPr>
        <w:t>.</w:t>
      </w:r>
      <w:r w:rsidRPr="000F0D8B">
        <w:rPr>
          <w:rFonts w:asciiTheme="minorHAnsi" w:hAnsiTheme="minorHAnsi" w:cstheme="minorHAnsi"/>
          <w:sz w:val="26"/>
          <w:szCs w:val="26"/>
        </w:rPr>
        <w:t>D</w:t>
      </w:r>
      <w:r w:rsidR="001930C1" w:rsidRPr="000F0D8B">
        <w:rPr>
          <w:rFonts w:asciiTheme="minorHAnsi" w:hAnsiTheme="minorHAnsi" w:cstheme="minorHAnsi"/>
          <w:sz w:val="26"/>
          <w:szCs w:val="26"/>
        </w:rPr>
        <w:t>.</w:t>
      </w:r>
      <w:r w:rsidRPr="000F0D8B">
        <w:rPr>
          <w:rFonts w:asciiTheme="minorHAnsi" w:hAnsiTheme="minorHAnsi" w:cstheme="minorHAnsi"/>
          <w:sz w:val="26"/>
          <w:szCs w:val="26"/>
        </w:rPr>
        <w:t>E</w:t>
      </w:r>
      <w:r w:rsidR="001930C1" w:rsidRPr="000F0D8B">
        <w:rPr>
          <w:rFonts w:asciiTheme="minorHAnsi" w:hAnsiTheme="minorHAnsi" w:cstheme="minorHAnsi"/>
          <w:sz w:val="26"/>
          <w:szCs w:val="26"/>
        </w:rPr>
        <w:t>.</w:t>
      </w:r>
      <w:r w:rsidRPr="000F0D8B">
        <w:rPr>
          <w:rFonts w:asciiTheme="minorHAnsi" w:hAnsiTheme="minorHAnsi" w:cstheme="minorHAnsi"/>
          <w:sz w:val="26"/>
          <w:szCs w:val="26"/>
        </w:rPr>
        <w:t>), în parteneriat cu Ministerul Justiției. În cadrul acestui proiect, unul dintre rezultatele de interes a vizat sprijinirea în procesul de actualizare a cadrului legal privind integritatea, precum și elaboarea de recomandări privind îmbunătățirea sistemului de conflicte de interese și eficientizarea procesului de verificare a declarațiilor de avere și de interese printr-o misiune de fact-finding pe această temă.</w:t>
      </w:r>
    </w:p>
    <w:p w14:paraId="53E81CE1" w14:textId="6BD287F9" w:rsidR="003657DC" w:rsidRPr="000F0D8B" w:rsidRDefault="003657DC" w:rsidP="009E3AD8">
      <w:pPr>
        <w:spacing w:line="276" w:lineRule="auto"/>
        <w:ind w:firstLine="708"/>
        <w:jc w:val="both"/>
        <w:rPr>
          <w:rFonts w:asciiTheme="minorHAnsi" w:hAnsiTheme="minorHAnsi" w:cstheme="minorHAnsi"/>
          <w:sz w:val="26"/>
          <w:szCs w:val="26"/>
        </w:rPr>
      </w:pPr>
      <w:r w:rsidRPr="000F0D8B">
        <w:rPr>
          <w:rFonts w:asciiTheme="minorHAnsi" w:hAnsiTheme="minorHAnsi" w:cstheme="minorHAnsi"/>
          <w:sz w:val="26"/>
          <w:szCs w:val="26"/>
        </w:rPr>
        <w:t>Nu în ultimul rând, în vederea raportării către O</w:t>
      </w:r>
      <w:r w:rsidR="001930C1" w:rsidRPr="000F0D8B">
        <w:rPr>
          <w:rFonts w:asciiTheme="minorHAnsi" w:hAnsiTheme="minorHAnsi" w:cstheme="minorHAnsi"/>
          <w:sz w:val="26"/>
          <w:szCs w:val="26"/>
        </w:rPr>
        <w:t>.</w:t>
      </w:r>
      <w:r w:rsidRPr="000F0D8B">
        <w:rPr>
          <w:rFonts w:asciiTheme="minorHAnsi" w:hAnsiTheme="minorHAnsi" w:cstheme="minorHAnsi"/>
          <w:sz w:val="26"/>
          <w:szCs w:val="26"/>
        </w:rPr>
        <w:t>C</w:t>
      </w:r>
      <w:r w:rsidR="001930C1" w:rsidRPr="000F0D8B">
        <w:rPr>
          <w:rFonts w:asciiTheme="minorHAnsi" w:hAnsiTheme="minorHAnsi" w:cstheme="minorHAnsi"/>
          <w:sz w:val="26"/>
          <w:szCs w:val="26"/>
        </w:rPr>
        <w:t>.</w:t>
      </w:r>
      <w:r w:rsidRPr="000F0D8B">
        <w:rPr>
          <w:rFonts w:asciiTheme="minorHAnsi" w:hAnsiTheme="minorHAnsi" w:cstheme="minorHAnsi"/>
          <w:sz w:val="26"/>
          <w:szCs w:val="26"/>
        </w:rPr>
        <w:t>D</w:t>
      </w:r>
      <w:r w:rsidR="001930C1" w:rsidRPr="000F0D8B">
        <w:rPr>
          <w:rFonts w:asciiTheme="minorHAnsi" w:hAnsiTheme="minorHAnsi" w:cstheme="minorHAnsi"/>
          <w:sz w:val="26"/>
          <w:szCs w:val="26"/>
        </w:rPr>
        <w:t>.</w:t>
      </w:r>
      <w:r w:rsidRPr="000F0D8B">
        <w:rPr>
          <w:rFonts w:asciiTheme="minorHAnsi" w:hAnsiTheme="minorHAnsi" w:cstheme="minorHAnsi"/>
          <w:sz w:val="26"/>
          <w:szCs w:val="26"/>
        </w:rPr>
        <w:t>E</w:t>
      </w:r>
      <w:r w:rsidR="001930C1" w:rsidRPr="000F0D8B">
        <w:rPr>
          <w:rFonts w:asciiTheme="minorHAnsi" w:hAnsiTheme="minorHAnsi" w:cstheme="minorHAnsi"/>
          <w:sz w:val="26"/>
          <w:szCs w:val="26"/>
        </w:rPr>
        <w:t>.</w:t>
      </w:r>
      <w:r w:rsidRPr="000F0D8B">
        <w:rPr>
          <w:rFonts w:asciiTheme="minorHAnsi" w:hAnsiTheme="minorHAnsi" w:cstheme="minorHAnsi"/>
          <w:sz w:val="26"/>
          <w:szCs w:val="26"/>
        </w:rPr>
        <w:t>, Consiliul Superior al Magistraturii a contribuit, în colaborare cu Ministerul Justiției, la completarea chestionarului aferent Principiului 11 – Integritatea în sistemul judiciar, parte a inițiativei Directoratului pentru Guvernanță Publică (Public Governance Committee – P</w:t>
      </w:r>
      <w:r w:rsidR="001930C1" w:rsidRPr="000F0D8B">
        <w:rPr>
          <w:rFonts w:asciiTheme="minorHAnsi" w:hAnsiTheme="minorHAnsi" w:cstheme="minorHAnsi"/>
          <w:sz w:val="26"/>
          <w:szCs w:val="26"/>
        </w:rPr>
        <w:t>.</w:t>
      </w:r>
      <w:r w:rsidRPr="000F0D8B">
        <w:rPr>
          <w:rFonts w:asciiTheme="minorHAnsi" w:hAnsiTheme="minorHAnsi" w:cstheme="minorHAnsi"/>
          <w:sz w:val="26"/>
          <w:szCs w:val="26"/>
        </w:rPr>
        <w:t>G</w:t>
      </w:r>
      <w:r w:rsidR="001930C1" w:rsidRPr="000F0D8B">
        <w:rPr>
          <w:rFonts w:asciiTheme="minorHAnsi" w:hAnsiTheme="minorHAnsi" w:cstheme="minorHAnsi"/>
          <w:sz w:val="26"/>
          <w:szCs w:val="26"/>
        </w:rPr>
        <w:t>.</w:t>
      </w:r>
      <w:r w:rsidRPr="000F0D8B">
        <w:rPr>
          <w:rFonts w:asciiTheme="minorHAnsi" w:hAnsiTheme="minorHAnsi" w:cstheme="minorHAnsi"/>
          <w:sz w:val="26"/>
          <w:szCs w:val="26"/>
        </w:rPr>
        <w:t>C</w:t>
      </w:r>
      <w:r w:rsidR="001930C1" w:rsidRPr="000F0D8B">
        <w:rPr>
          <w:rFonts w:asciiTheme="minorHAnsi" w:hAnsiTheme="minorHAnsi" w:cstheme="minorHAnsi"/>
          <w:sz w:val="26"/>
          <w:szCs w:val="26"/>
        </w:rPr>
        <w:t>.</w:t>
      </w:r>
      <w:r w:rsidRPr="000F0D8B">
        <w:rPr>
          <w:rFonts w:asciiTheme="minorHAnsi" w:hAnsiTheme="minorHAnsi" w:cstheme="minorHAnsi"/>
          <w:sz w:val="26"/>
          <w:szCs w:val="26"/>
        </w:rPr>
        <w:t>) al</w:t>
      </w:r>
      <w:r w:rsidR="006A2B5F">
        <w:rPr>
          <w:rFonts w:asciiTheme="minorHAnsi" w:hAnsiTheme="minorHAnsi" w:cstheme="minorHAnsi"/>
          <w:sz w:val="26"/>
          <w:szCs w:val="26"/>
        </w:rPr>
        <w:t xml:space="preserve"> </w:t>
      </w:r>
      <w:r w:rsidRPr="000F0D8B">
        <w:rPr>
          <w:rFonts w:asciiTheme="minorHAnsi" w:hAnsiTheme="minorHAnsi" w:cstheme="minorHAnsi"/>
          <w:sz w:val="26"/>
          <w:szCs w:val="26"/>
        </w:rPr>
        <w:t>O</w:t>
      </w:r>
      <w:r w:rsidR="00FB63B2" w:rsidRPr="000F0D8B">
        <w:rPr>
          <w:rFonts w:asciiTheme="minorHAnsi" w:hAnsiTheme="minorHAnsi" w:cstheme="minorHAnsi"/>
          <w:sz w:val="26"/>
          <w:szCs w:val="26"/>
        </w:rPr>
        <w:t>.</w:t>
      </w:r>
      <w:r w:rsidRPr="000F0D8B">
        <w:rPr>
          <w:rFonts w:asciiTheme="minorHAnsi" w:hAnsiTheme="minorHAnsi" w:cstheme="minorHAnsi"/>
          <w:sz w:val="26"/>
          <w:szCs w:val="26"/>
        </w:rPr>
        <w:t>C</w:t>
      </w:r>
      <w:r w:rsidR="00FB63B2" w:rsidRPr="000F0D8B">
        <w:rPr>
          <w:rFonts w:asciiTheme="minorHAnsi" w:hAnsiTheme="minorHAnsi" w:cstheme="minorHAnsi"/>
          <w:sz w:val="26"/>
          <w:szCs w:val="26"/>
        </w:rPr>
        <w:t>.</w:t>
      </w:r>
      <w:r w:rsidRPr="000F0D8B">
        <w:rPr>
          <w:rFonts w:asciiTheme="minorHAnsi" w:hAnsiTheme="minorHAnsi" w:cstheme="minorHAnsi"/>
          <w:sz w:val="26"/>
          <w:szCs w:val="26"/>
        </w:rPr>
        <w:t>D</w:t>
      </w:r>
      <w:r w:rsidR="00FB63B2" w:rsidRPr="000F0D8B">
        <w:rPr>
          <w:rFonts w:asciiTheme="minorHAnsi" w:hAnsiTheme="minorHAnsi" w:cstheme="minorHAnsi"/>
          <w:sz w:val="26"/>
          <w:szCs w:val="26"/>
        </w:rPr>
        <w:t>.</w:t>
      </w:r>
      <w:r w:rsidRPr="000F0D8B">
        <w:rPr>
          <w:rFonts w:asciiTheme="minorHAnsi" w:hAnsiTheme="minorHAnsi" w:cstheme="minorHAnsi"/>
          <w:sz w:val="26"/>
          <w:szCs w:val="26"/>
        </w:rPr>
        <w:t>E</w:t>
      </w:r>
      <w:r w:rsidR="00FB63B2" w:rsidRPr="000F0D8B">
        <w:rPr>
          <w:rFonts w:asciiTheme="minorHAnsi" w:hAnsiTheme="minorHAnsi" w:cstheme="minorHAnsi"/>
          <w:sz w:val="26"/>
          <w:szCs w:val="26"/>
        </w:rPr>
        <w:t>.</w:t>
      </w:r>
      <w:r w:rsidRPr="000F0D8B">
        <w:rPr>
          <w:rFonts w:asciiTheme="minorHAnsi" w:hAnsiTheme="minorHAnsi" w:cstheme="minorHAnsi"/>
          <w:sz w:val="26"/>
          <w:szCs w:val="26"/>
        </w:rPr>
        <w:t>, intitulată Public Integrity Indicators (P</w:t>
      </w:r>
      <w:r w:rsidR="00FB63B2" w:rsidRPr="000F0D8B">
        <w:rPr>
          <w:rFonts w:asciiTheme="minorHAnsi" w:hAnsiTheme="minorHAnsi" w:cstheme="minorHAnsi"/>
          <w:sz w:val="26"/>
          <w:szCs w:val="26"/>
        </w:rPr>
        <w:t>.</w:t>
      </w:r>
      <w:r w:rsidRPr="000F0D8B">
        <w:rPr>
          <w:rFonts w:asciiTheme="minorHAnsi" w:hAnsiTheme="minorHAnsi" w:cstheme="minorHAnsi"/>
          <w:sz w:val="26"/>
          <w:szCs w:val="26"/>
        </w:rPr>
        <w:t>I</w:t>
      </w:r>
      <w:r w:rsidR="00FB63B2" w:rsidRPr="000F0D8B">
        <w:rPr>
          <w:rFonts w:asciiTheme="minorHAnsi" w:hAnsiTheme="minorHAnsi" w:cstheme="minorHAnsi"/>
          <w:sz w:val="26"/>
          <w:szCs w:val="26"/>
        </w:rPr>
        <w:t>.</w:t>
      </w:r>
      <w:r w:rsidRPr="000F0D8B">
        <w:rPr>
          <w:rFonts w:asciiTheme="minorHAnsi" w:hAnsiTheme="minorHAnsi" w:cstheme="minorHAnsi"/>
          <w:sz w:val="26"/>
          <w:szCs w:val="26"/>
        </w:rPr>
        <w:t>I</w:t>
      </w:r>
      <w:r w:rsidR="00FB63B2" w:rsidRPr="000F0D8B">
        <w:rPr>
          <w:rFonts w:asciiTheme="minorHAnsi" w:hAnsiTheme="minorHAnsi" w:cstheme="minorHAnsi"/>
          <w:sz w:val="26"/>
          <w:szCs w:val="26"/>
        </w:rPr>
        <w:t>.</w:t>
      </w:r>
      <w:r w:rsidRPr="000F0D8B">
        <w:rPr>
          <w:rFonts w:asciiTheme="minorHAnsi" w:hAnsiTheme="minorHAnsi" w:cstheme="minorHAnsi"/>
          <w:sz w:val="26"/>
          <w:szCs w:val="26"/>
        </w:rPr>
        <w:t>) – Indicatori de integritate publică. Principiul 11 vizează mecanismele de asigurare a integrității în sistemul de justiție, inclusiv selecția, numirea și promovarea magistraților, măsurile disciplinare, protecția avertizorilor de integritate și transparența datelor privind infracțiunile de corupție.</w:t>
      </w:r>
    </w:p>
    <w:p w14:paraId="09606734" w14:textId="36D558DF" w:rsidR="003657DC" w:rsidRPr="000F0D8B" w:rsidRDefault="003657DC" w:rsidP="009E3AD8">
      <w:pPr>
        <w:spacing w:line="276" w:lineRule="auto"/>
        <w:ind w:firstLine="708"/>
        <w:jc w:val="both"/>
        <w:rPr>
          <w:rFonts w:asciiTheme="minorHAnsi" w:hAnsiTheme="minorHAnsi" w:cstheme="minorHAnsi"/>
          <w:b/>
          <w:bCs/>
          <w:sz w:val="26"/>
          <w:szCs w:val="26"/>
        </w:rPr>
      </w:pPr>
      <w:r w:rsidRPr="000F0D8B">
        <w:rPr>
          <w:rFonts w:asciiTheme="minorHAnsi" w:hAnsiTheme="minorHAnsi" w:cstheme="minorHAnsi"/>
          <w:b/>
          <w:bCs/>
          <w:sz w:val="26"/>
          <w:szCs w:val="26"/>
        </w:rPr>
        <w:t xml:space="preserve">La nivelul relațiilor bilaterale </w:t>
      </w:r>
    </w:p>
    <w:p w14:paraId="5263F7FA" w14:textId="1B3B1370" w:rsidR="003657DC" w:rsidRPr="000F0D8B" w:rsidRDefault="003657DC" w:rsidP="009E3AD8">
      <w:pPr>
        <w:spacing w:line="276" w:lineRule="auto"/>
        <w:ind w:firstLine="708"/>
        <w:jc w:val="both"/>
        <w:rPr>
          <w:rFonts w:asciiTheme="minorHAnsi" w:hAnsiTheme="minorHAnsi" w:cstheme="minorHAnsi"/>
          <w:sz w:val="26"/>
          <w:szCs w:val="26"/>
        </w:rPr>
      </w:pPr>
      <w:r w:rsidRPr="000F0D8B">
        <w:rPr>
          <w:rFonts w:asciiTheme="minorHAnsi" w:hAnsiTheme="minorHAnsi" w:cstheme="minorHAnsi"/>
          <w:sz w:val="26"/>
          <w:szCs w:val="26"/>
        </w:rPr>
        <w:t>Continuând politica instituțională din anii precedenți, care a pus accentul pe consolidarea bunei cooperări și pe deschiderea spre dialog cu instituțiile omologe din Republica Moldova, în anul 2025 au fost parcurși pași importanți în acest sens. Consiliul și-a reafirmat disponibilitatea de a împărtăși din experiența sistemului judiciar românesc în armonizarea legislației cu standardele europene, precum și din lecțiile învățate în parcursul european al României. Cooperarea dintre cele două țări în domeniul justiției este deosebit de importantă, având în vedere aspirațiile europene ale Republicii Moldova și dorința sa de a implementa reforme care să alinieze sistemul judiciar la standardele europene. Experiența României în acest domeniu, inclusiv în ceea ce privește reforma judiciară și lupta împotriva corupției, reprezintă un model valoros pentru Republica Moldova.</w:t>
      </w:r>
    </w:p>
    <w:p w14:paraId="602D139A" w14:textId="4011DFC4" w:rsidR="003657DC" w:rsidRPr="000F0D8B" w:rsidRDefault="003657DC" w:rsidP="009E3AD8">
      <w:pPr>
        <w:spacing w:line="276" w:lineRule="auto"/>
        <w:ind w:firstLine="708"/>
        <w:jc w:val="both"/>
        <w:rPr>
          <w:rFonts w:asciiTheme="minorHAnsi" w:hAnsiTheme="minorHAnsi" w:cstheme="minorHAnsi"/>
          <w:sz w:val="26"/>
          <w:szCs w:val="26"/>
        </w:rPr>
      </w:pPr>
      <w:r w:rsidRPr="000F0D8B">
        <w:rPr>
          <w:rFonts w:asciiTheme="minorHAnsi" w:hAnsiTheme="minorHAnsi" w:cstheme="minorHAnsi"/>
          <w:sz w:val="26"/>
          <w:szCs w:val="26"/>
        </w:rPr>
        <w:t>Astfel, în perioada 22</w:t>
      </w:r>
      <w:r w:rsidR="0078706B">
        <w:rPr>
          <w:rFonts w:asciiTheme="minorHAnsi" w:hAnsiTheme="minorHAnsi" w:cstheme="minorHAnsi"/>
          <w:sz w:val="26"/>
          <w:szCs w:val="26"/>
        </w:rPr>
        <w:t xml:space="preserve"> ianuarie – </w:t>
      </w:r>
      <w:r w:rsidRPr="000F0D8B">
        <w:rPr>
          <w:rFonts w:asciiTheme="minorHAnsi" w:hAnsiTheme="minorHAnsi" w:cstheme="minorHAnsi"/>
          <w:sz w:val="26"/>
          <w:szCs w:val="26"/>
        </w:rPr>
        <w:t>25</w:t>
      </w:r>
      <w:r w:rsidR="0078706B">
        <w:rPr>
          <w:rFonts w:asciiTheme="minorHAnsi" w:hAnsiTheme="minorHAnsi" w:cstheme="minorHAnsi"/>
          <w:sz w:val="26"/>
          <w:szCs w:val="26"/>
        </w:rPr>
        <w:t xml:space="preserve"> ianuarie </w:t>
      </w:r>
      <w:r w:rsidRPr="000F0D8B">
        <w:rPr>
          <w:rFonts w:asciiTheme="minorHAnsi" w:hAnsiTheme="minorHAnsi" w:cstheme="minorHAnsi"/>
          <w:sz w:val="26"/>
          <w:szCs w:val="26"/>
        </w:rPr>
        <w:t>2025, o delegație compusă din membri ai Consiliului Superior al Magistraturii din România a efectuat o vizită la Chișinău, la Consiliul Superior al Magistraturii din Republica Moldova. Agenda dedicată evenimentelor a inclus întâlniri oficiale cu reprezentanți ai Consiliului Superior al Magistraturii din Republica Moldova, ai Ministerului Justiției, ai Curții Supreme de Justiție, precum și vizite la Curtea de Apel Centru, Judecătoria Chișinău și Judecătoria Ungheni. Principalele subiecte abordate în cadrul întâlnirilor au fost managementul resurselor umane în sistemul judiciar, organizarea și eficiența activității judecătorilor, reglementările privind etica și disciplina în rândul acestora, precum și situația judecătorilor suspendați din funcție.</w:t>
      </w:r>
    </w:p>
    <w:p w14:paraId="3C55D65C" w14:textId="7AF86EB3" w:rsidR="003657DC" w:rsidRPr="000F0D8B" w:rsidRDefault="003657DC" w:rsidP="009E3AD8">
      <w:pPr>
        <w:spacing w:line="276" w:lineRule="auto"/>
        <w:ind w:firstLine="708"/>
        <w:jc w:val="both"/>
        <w:rPr>
          <w:rFonts w:asciiTheme="minorHAnsi" w:hAnsiTheme="minorHAnsi" w:cstheme="minorHAnsi"/>
          <w:sz w:val="26"/>
          <w:szCs w:val="26"/>
        </w:rPr>
      </w:pPr>
      <w:r w:rsidRPr="000F0D8B">
        <w:rPr>
          <w:rFonts w:asciiTheme="minorHAnsi" w:hAnsiTheme="minorHAnsi" w:cstheme="minorHAnsi"/>
          <w:sz w:val="26"/>
          <w:szCs w:val="26"/>
        </w:rPr>
        <w:t xml:space="preserve">De asemenea, în perioada </w:t>
      </w:r>
      <w:r w:rsidR="000B3B9F" w:rsidRPr="000F0D8B">
        <w:rPr>
          <w:rFonts w:asciiTheme="minorHAnsi" w:hAnsiTheme="minorHAnsi" w:cstheme="minorHAnsi"/>
          <w:sz w:val="26"/>
          <w:szCs w:val="26"/>
        </w:rPr>
        <w:t>0</w:t>
      </w:r>
      <w:r w:rsidRPr="000F0D8B">
        <w:rPr>
          <w:rFonts w:asciiTheme="minorHAnsi" w:hAnsiTheme="minorHAnsi" w:cstheme="minorHAnsi"/>
          <w:sz w:val="26"/>
          <w:szCs w:val="26"/>
        </w:rPr>
        <w:t>5</w:t>
      </w:r>
      <w:r w:rsidR="0078706B">
        <w:rPr>
          <w:rFonts w:asciiTheme="minorHAnsi" w:hAnsiTheme="minorHAnsi" w:cstheme="minorHAnsi"/>
          <w:sz w:val="26"/>
          <w:szCs w:val="26"/>
        </w:rPr>
        <w:t xml:space="preserve"> mai</w:t>
      </w:r>
      <w:r w:rsidR="00F2135A">
        <w:rPr>
          <w:rFonts w:asciiTheme="minorHAnsi" w:hAnsiTheme="minorHAnsi" w:cstheme="minorHAnsi"/>
          <w:sz w:val="26"/>
          <w:szCs w:val="26"/>
        </w:rPr>
        <w:t xml:space="preserve"> - </w:t>
      </w:r>
      <w:r w:rsidR="000B3B9F" w:rsidRPr="000F0D8B">
        <w:rPr>
          <w:rFonts w:asciiTheme="minorHAnsi" w:hAnsiTheme="minorHAnsi" w:cstheme="minorHAnsi"/>
          <w:sz w:val="26"/>
          <w:szCs w:val="26"/>
        </w:rPr>
        <w:t>0</w:t>
      </w:r>
      <w:r w:rsidRPr="000F0D8B">
        <w:rPr>
          <w:rFonts w:asciiTheme="minorHAnsi" w:hAnsiTheme="minorHAnsi" w:cstheme="minorHAnsi"/>
          <w:sz w:val="26"/>
          <w:szCs w:val="26"/>
        </w:rPr>
        <w:t>7</w:t>
      </w:r>
      <w:r w:rsidR="0078706B">
        <w:rPr>
          <w:rFonts w:asciiTheme="minorHAnsi" w:hAnsiTheme="minorHAnsi" w:cstheme="minorHAnsi"/>
          <w:sz w:val="26"/>
          <w:szCs w:val="26"/>
        </w:rPr>
        <w:t xml:space="preserve"> mai </w:t>
      </w:r>
      <w:r w:rsidRPr="000F0D8B">
        <w:rPr>
          <w:rFonts w:asciiTheme="minorHAnsi" w:hAnsiTheme="minorHAnsi" w:cstheme="minorHAnsi"/>
          <w:sz w:val="26"/>
          <w:szCs w:val="26"/>
        </w:rPr>
        <w:t>2025, membrii Secţiei pentru procurori a Consiliului Superior al Magistraturii a</w:t>
      </w:r>
      <w:r w:rsidR="00F56A0A" w:rsidRPr="000F0D8B">
        <w:rPr>
          <w:rFonts w:asciiTheme="minorHAnsi" w:hAnsiTheme="minorHAnsi" w:cstheme="minorHAnsi"/>
          <w:sz w:val="26"/>
          <w:szCs w:val="26"/>
        </w:rPr>
        <w:t>u</w:t>
      </w:r>
      <w:r w:rsidRPr="000F0D8B">
        <w:rPr>
          <w:rFonts w:asciiTheme="minorHAnsi" w:hAnsiTheme="minorHAnsi" w:cstheme="minorHAnsi"/>
          <w:sz w:val="26"/>
          <w:szCs w:val="26"/>
        </w:rPr>
        <w:t xml:space="preserve"> efectuat o vizită de lucru la Consiliul Superior al Procurorilor din Republica Moldova. Agenda vizitei a inclus întâlniri cu membrii Consiliului Superior al Procurorilor, Procurorul General al Republicii Moldova, precum și cu conducerea Procuraturii pentru Combaterea Criminalității Organizate și Cauze Speciale și Procuratura Anticorupție, Consiliului Superior al Magistraturii şi cu membrii Institutului Național al Justiției. Vizita de lucru se înscrie în demersurile comune de consolidare a cooperării interinstituționale și de schimb de bune </w:t>
      </w:r>
      <w:r w:rsidRPr="000F0D8B">
        <w:rPr>
          <w:rFonts w:asciiTheme="minorHAnsi" w:hAnsiTheme="minorHAnsi" w:cstheme="minorHAnsi"/>
          <w:sz w:val="26"/>
          <w:szCs w:val="26"/>
        </w:rPr>
        <w:lastRenderedPageBreak/>
        <w:t>practici între sistemele de drept din România şi Republica Moldova, discuţiile purtate pe durata întâlnirilor vizând aspecte esențiale referioare la evaluarea performanțelor procurorilor, procedurile disciplinare, criteriile de promovare în funcții de conducere, precum și interacțiunea interprofesională în cadrul sistemului de justiție.</w:t>
      </w:r>
    </w:p>
    <w:p w14:paraId="5EF0873A" w14:textId="77F214DA" w:rsidR="00C83937" w:rsidRPr="000F0D8B" w:rsidRDefault="003657DC" w:rsidP="00184E17">
      <w:pPr>
        <w:spacing w:line="276" w:lineRule="auto"/>
        <w:ind w:firstLine="708"/>
        <w:jc w:val="both"/>
        <w:rPr>
          <w:rFonts w:asciiTheme="minorHAnsi" w:hAnsiTheme="minorHAnsi" w:cstheme="minorHAnsi"/>
          <w:sz w:val="26"/>
          <w:szCs w:val="26"/>
        </w:rPr>
      </w:pPr>
      <w:r w:rsidRPr="000F0D8B">
        <w:rPr>
          <w:rFonts w:asciiTheme="minorHAnsi" w:hAnsiTheme="minorHAnsi" w:cstheme="minorHAnsi"/>
          <w:sz w:val="26"/>
          <w:szCs w:val="26"/>
        </w:rPr>
        <w:t xml:space="preserve">La data de 18 iulie 2025, reprezentanți ai Consiliului au participat la conferința regională cu tema </w:t>
      </w:r>
      <w:r w:rsidR="00AC13F5" w:rsidRPr="000F0D8B">
        <w:rPr>
          <w:rFonts w:asciiTheme="minorHAnsi" w:hAnsiTheme="minorHAnsi" w:cstheme="minorHAnsi"/>
          <w:sz w:val="26"/>
          <w:szCs w:val="26"/>
        </w:rPr>
        <w:t>„</w:t>
      </w:r>
      <w:r w:rsidRPr="000F0D8B">
        <w:rPr>
          <w:rFonts w:asciiTheme="minorHAnsi" w:hAnsiTheme="minorHAnsi" w:cstheme="minorHAnsi"/>
          <w:sz w:val="26"/>
          <w:szCs w:val="26"/>
        </w:rPr>
        <w:t>Consolidarea independenței și responsabilității judiciare: Perspective și provocări regionale” care a avut loc la Chișinău, eveniment organizat de Consiliul Superior al Magistraturii din Republica Moldova, în parteneriat cu Oficiul Consiliului Europei. Pe lângă membrii Consiliului Superior al Magistraturii din Republica Moldova și România, la conferință au mai participat membrii Consiliului Superior din Ucraina, reprezentanți ai Institutului Național al Justiției, Curții Supreme de Justiție, Consiliului Superior al Procurorilor din Republica Moldova, precum și judecători, procurori, avocați cercetători, parteneri internaționali de dezvoltare și organizații locale ale soci</w:t>
      </w:r>
      <w:r w:rsidR="00125B4A">
        <w:rPr>
          <w:rFonts w:asciiTheme="minorHAnsi" w:hAnsiTheme="minorHAnsi" w:cstheme="minorHAnsi"/>
          <w:sz w:val="26"/>
          <w:szCs w:val="26"/>
        </w:rPr>
        <w:t>e</w:t>
      </w:r>
      <w:r w:rsidRPr="000F0D8B">
        <w:rPr>
          <w:rFonts w:asciiTheme="minorHAnsi" w:hAnsiTheme="minorHAnsi" w:cstheme="minorHAnsi"/>
          <w:sz w:val="26"/>
          <w:szCs w:val="26"/>
        </w:rPr>
        <w:t>tății civile și ale mediului academic. Au fost abordate teme precum evaluarea realizărilor și provocărilor reformelor judiciare în Republica Moldova, România și Ucraina, cu accent pe rolul consiliilor judiciare în garantarea independenței și responsabilității judiciare, rolul consiliilor judiciare în menținerea independenței instituționale, gestionarea procedurilor disciplinare și îmbunătățirea dezvoltării profesionale a judecătorilor, facilitarea schimburilor profesionale pe teme de interes comun între actorii din justiție și consiliile judiciare din Republica Moldova, România și Ucraina.</w:t>
      </w:r>
    </w:p>
    <w:p w14:paraId="4E517468" w14:textId="45F465C4" w:rsidR="006C1588" w:rsidRPr="000F0D8B" w:rsidRDefault="006C1588" w:rsidP="009E3AD8">
      <w:pPr>
        <w:pStyle w:val="Heading3"/>
        <w:keepNext w:val="0"/>
        <w:keepLines w:val="0"/>
        <w:suppressLineNumbers/>
        <w:suppressAutoHyphens/>
        <w:rPr>
          <w:rFonts w:cstheme="minorHAnsi"/>
          <w:color w:val="auto"/>
          <w:szCs w:val="26"/>
        </w:rPr>
      </w:pPr>
      <w:bookmarkStart w:id="156" w:name="_Toc219287982"/>
      <w:r w:rsidRPr="000F0D8B">
        <w:rPr>
          <w:rFonts w:cstheme="minorHAnsi"/>
          <w:color w:val="auto"/>
          <w:szCs w:val="26"/>
        </w:rPr>
        <w:t>VI.3.4. Activitatea în domeniul programelor cu finanţare europeană şi internaţională</w:t>
      </w:r>
      <w:bookmarkStart w:id="157" w:name="_Toc430867136"/>
      <w:bookmarkEnd w:id="154"/>
      <w:bookmarkEnd w:id="155"/>
      <w:bookmarkEnd w:id="156"/>
    </w:p>
    <w:p w14:paraId="39BB8FCB" w14:textId="77777777" w:rsidR="002D49E4" w:rsidRPr="000F0D8B" w:rsidRDefault="002D49E4" w:rsidP="009E3AD8">
      <w:pPr>
        <w:spacing w:line="276" w:lineRule="auto"/>
        <w:ind w:firstLine="708"/>
        <w:jc w:val="both"/>
        <w:rPr>
          <w:rFonts w:asciiTheme="minorHAnsi" w:hAnsiTheme="minorHAnsi" w:cstheme="minorHAnsi"/>
          <w:sz w:val="26"/>
          <w:szCs w:val="26"/>
        </w:rPr>
      </w:pPr>
      <w:r w:rsidRPr="000F0D8B">
        <w:rPr>
          <w:rFonts w:asciiTheme="minorHAnsi" w:hAnsiTheme="minorHAnsi" w:cstheme="minorHAnsi"/>
          <w:sz w:val="26"/>
          <w:szCs w:val="26"/>
        </w:rPr>
        <w:t>Serviciul Programe Europene și Internaționale a continuat, în anul 2025, activitatea de implementare a proiectelor cu finanțare externă nerambursabilă demarate în anii anteriori, după cum urmează:</w:t>
      </w:r>
    </w:p>
    <w:p w14:paraId="6151E24C" w14:textId="7BBB4F88" w:rsidR="002D49E4" w:rsidRPr="000F0D8B" w:rsidRDefault="002D49E4" w:rsidP="009E3AD8">
      <w:pPr>
        <w:spacing w:line="276" w:lineRule="auto"/>
        <w:ind w:firstLine="709"/>
        <w:jc w:val="both"/>
        <w:rPr>
          <w:rFonts w:asciiTheme="minorHAnsi" w:hAnsiTheme="minorHAnsi" w:cstheme="minorHAnsi"/>
          <w:b/>
          <w:bCs/>
          <w:sz w:val="26"/>
          <w:szCs w:val="26"/>
        </w:rPr>
      </w:pPr>
      <w:r w:rsidRPr="000F0D8B">
        <w:rPr>
          <w:rFonts w:asciiTheme="minorHAnsi" w:hAnsiTheme="minorHAnsi" w:cstheme="minorHAnsi"/>
          <w:b/>
          <w:bCs/>
          <w:sz w:val="26"/>
          <w:szCs w:val="26"/>
        </w:rPr>
        <w:t>1. Planul Național de Redresare și Reziliență (P</w:t>
      </w:r>
      <w:r w:rsidR="00125A13" w:rsidRPr="000F0D8B">
        <w:rPr>
          <w:rFonts w:asciiTheme="minorHAnsi" w:hAnsiTheme="minorHAnsi" w:cstheme="minorHAnsi"/>
          <w:b/>
          <w:bCs/>
          <w:sz w:val="26"/>
          <w:szCs w:val="26"/>
        </w:rPr>
        <w:t>.</w:t>
      </w:r>
      <w:r w:rsidRPr="000F0D8B">
        <w:rPr>
          <w:rFonts w:asciiTheme="minorHAnsi" w:hAnsiTheme="minorHAnsi" w:cstheme="minorHAnsi"/>
          <w:b/>
          <w:bCs/>
          <w:sz w:val="26"/>
          <w:szCs w:val="26"/>
        </w:rPr>
        <w:t>N</w:t>
      </w:r>
      <w:r w:rsidR="00125A13" w:rsidRPr="000F0D8B">
        <w:rPr>
          <w:rFonts w:asciiTheme="minorHAnsi" w:hAnsiTheme="minorHAnsi" w:cstheme="minorHAnsi"/>
          <w:b/>
          <w:bCs/>
          <w:sz w:val="26"/>
          <w:szCs w:val="26"/>
        </w:rPr>
        <w:t>.</w:t>
      </w:r>
      <w:r w:rsidRPr="000F0D8B">
        <w:rPr>
          <w:rFonts w:asciiTheme="minorHAnsi" w:hAnsiTheme="minorHAnsi" w:cstheme="minorHAnsi"/>
          <w:b/>
          <w:bCs/>
          <w:sz w:val="26"/>
          <w:szCs w:val="26"/>
        </w:rPr>
        <w:t>R</w:t>
      </w:r>
      <w:r w:rsidR="00125A13" w:rsidRPr="000F0D8B">
        <w:rPr>
          <w:rFonts w:asciiTheme="minorHAnsi" w:hAnsiTheme="minorHAnsi" w:cstheme="minorHAnsi"/>
          <w:b/>
          <w:bCs/>
          <w:sz w:val="26"/>
          <w:szCs w:val="26"/>
        </w:rPr>
        <w:t>.</w:t>
      </w:r>
      <w:r w:rsidRPr="000F0D8B">
        <w:rPr>
          <w:rFonts w:asciiTheme="minorHAnsi" w:hAnsiTheme="minorHAnsi" w:cstheme="minorHAnsi"/>
          <w:b/>
          <w:bCs/>
          <w:sz w:val="26"/>
          <w:szCs w:val="26"/>
        </w:rPr>
        <w:t>R</w:t>
      </w:r>
      <w:r w:rsidR="00125A13" w:rsidRPr="000F0D8B">
        <w:rPr>
          <w:rFonts w:asciiTheme="minorHAnsi" w:hAnsiTheme="minorHAnsi" w:cstheme="minorHAnsi"/>
          <w:b/>
          <w:bCs/>
          <w:sz w:val="26"/>
          <w:szCs w:val="26"/>
        </w:rPr>
        <w:t>.</w:t>
      </w:r>
      <w:r w:rsidRPr="000F0D8B">
        <w:rPr>
          <w:rFonts w:asciiTheme="minorHAnsi" w:hAnsiTheme="minorHAnsi" w:cstheme="minorHAnsi"/>
          <w:b/>
          <w:bCs/>
          <w:sz w:val="26"/>
          <w:szCs w:val="26"/>
        </w:rPr>
        <w:t>)</w:t>
      </w:r>
    </w:p>
    <w:p w14:paraId="1D635833" w14:textId="77777777" w:rsidR="002D49E4" w:rsidRPr="000F0D8B" w:rsidRDefault="002D49E4" w:rsidP="009E3AD8">
      <w:pPr>
        <w:spacing w:line="276" w:lineRule="auto"/>
        <w:ind w:firstLine="709"/>
        <w:jc w:val="both"/>
        <w:rPr>
          <w:rFonts w:asciiTheme="minorHAnsi" w:hAnsiTheme="minorHAnsi" w:cstheme="minorHAnsi"/>
          <w:sz w:val="26"/>
          <w:szCs w:val="26"/>
        </w:rPr>
      </w:pPr>
      <w:r w:rsidRPr="000F0D8B">
        <w:rPr>
          <w:rFonts w:asciiTheme="minorHAnsi" w:hAnsiTheme="minorHAnsi" w:cstheme="minorHAnsi"/>
          <w:sz w:val="26"/>
          <w:szCs w:val="26"/>
        </w:rPr>
        <w:t xml:space="preserve">Consiliul Superior al Magistraturii a finalizat, în anul 2025, implementarea proiectului „Îmbunătățirea digitalizării la nivelul Consiliului Superior al Magistraturii”, finanțat prin Mecanismul de Redresare și Reziliență, în cadrul Componentei 7 - „Transformare digitală”, Investiția 4 - „Digitalizarea sistemului judiciar” din Planul Național de Redresare și Reziliență. </w:t>
      </w:r>
    </w:p>
    <w:p w14:paraId="073B6729" w14:textId="4B601B00" w:rsidR="002D49E4" w:rsidRPr="000F0D8B" w:rsidRDefault="002D49E4" w:rsidP="009E3AD8">
      <w:pPr>
        <w:spacing w:line="276" w:lineRule="auto"/>
        <w:ind w:firstLine="709"/>
        <w:jc w:val="both"/>
        <w:rPr>
          <w:rFonts w:asciiTheme="minorHAnsi" w:hAnsiTheme="minorHAnsi" w:cstheme="minorHAnsi"/>
          <w:sz w:val="26"/>
          <w:szCs w:val="26"/>
        </w:rPr>
      </w:pPr>
      <w:r w:rsidRPr="000F0D8B">
        <w:rPr>
          <w:rFonts w:asciiTheme="minorHAnsi" w:hAnsiTheme="minorHAnsi" w:cstheme="minorHAnsi"/>
          <w:sz w:val="26"/>
          <w:szCs w:val="26"/>
        </w:rPr>
        <w:t xml:space="preserve">Ca urmare a implementării proiectului, a fost atins obiectivul de consolidare a capacității instituționale a Consiliului Superior al Magistraturii pentru asigurarea îndeplinirii adecvate a atribuțiilor, prin sporirea infrastructurii IT și a securității informatice. </w:t>
      </w:r>
      <w:r w:rsidR="007016E7">
        <w:rPr>
          <w:rFonts w:asciiTheme="minorHAnsi" w:hAnsiTheme="minorHAnsi" w:cstheme="minorHAnsi"/>
          <w:sz w:val="26"/>
          <w:szCs w:val="26"/>
        </w:rPr>
        <w:t>Ca u</w:t>
      </w:r>
      <w:r w:rsidRPr="000F0D8B">
        <w:rPr>
          <w:rFonts w:asciiTheme="minorHAnsi" w:hAnsiTheme="minorHAnsi" w:cstheme="minorHAnsi"/>
          <w:sz w:val="26"/>
          <w:szCs w:val="26"/>
        </w:rPr>
        <w:t>rmare a activității de dotare realizare în acest context, a fost realizat upgrade-ul tehnologic al platformei tehnice din sălile de ședințe ale instituției cu echipamente care permit o comunicare mai sigură în condiții de distanțare socială, interconectarea cu sisteme de comunicare audio-video la distanță, transmisia în online și înregistrarea ședințelor publice la calitate superioară. De asemenea, a fost consolidat nivelul de securitate pentru infrastructura cibernetică de la nivelul C</w:t>
      </w:r>
      <w:r w:rsidR="00184E17">
        <w:rPr>
          <w:rFonts w:asciiTheme="minorHAnsi" w:hAnsiTheme="minorHAnsi" w:cstheme="minorHAnsi"/>
          <w:sz w:val="26"/>
          <w:szCs w:val="26"/>
        </w:rPr>
        <w:t xml:space="preserve">.S.M. </w:t>
      </w:r>
      <w:r w:rsidRPr="000F0D8B">
        <w:rPr>
          <w:rFonts w:asciiTheme="minorHAnsi" w:hAnsiTheme="minorHAnsi" w:cstheme="minorHAnsi"/>
          <w:sz w:val="26"/>
          <w:szCs w:val="26"/>
        </w:rPr>
        <w:t>și s-au realizat dotări de virtualizare. Nu în ultimul rând, s-a asigurat dotarea instituției cu mijloace tehnice pentru desfășurarea activității atât în cadrul C</w:t>
      </w:r>
      <w:r w:rsidR="00184E17">
        <w:rPr>
          <w:rFonts w:asciiTheme="minorHAnsi" w:hAnsiTheme="minorHAnsi" w:cstheme="minorHAnsi"/>
          <w:sz w:val="26"/>
          <w:szCs w:val="26"/>
        </w:rPr>
        <w:t>.S.M.</w:t>
      </w:r>
      <w:r w:rsidRPr="000F0D8B">
        <w:rPr>
          <w:rFonts w:asciiTheme="minorHAnsi" w:hAnsiTheme="minorHAnsi" w:cstheme="minorHAnsi"/>
          <w:sz w:val="26"/>
          <w:szCs w:val="26"/>
        </w:rPr>
        <w:t>, cât și în regim de muncă la domiciliu.</w:t>
      </w:r>
    </w:p>
    <w:p w14:paraId="48C66246" w14:textId="14987DA5" w:rsidR="002D49E4" w:rsidRPr="00B41651" w:rsidRDefault="002D49E4" w:rsidP="000C1923">
      <w:pPr>
        <w:keepNext/>
        <w:spacing w:line="276" w:lineRule="auto"/>
        <w:ind w:firstLine="706"/>
        <w:jc w:val="both"/>
        <w:rPr>
          <w:rFonts w:asciiTheme="minorHAnsi" w:hAnsiTheme="minorHAnsi" w:cstheme="minorHAnsi"/>
          <w:b/>
          <w:bCs/>
          <w:sz w:val="26"/>
          <w:szCs w:val="26"/>
        </w:rPr>
      </w:pPr>
      <w:r w:rsidRPr="00B41651">
        <w:rPr>
          <w:rFonts w:asciiTheme="minorHAnsi" w:hAnsiTheme="minorHAnsi" w:cstheme="minorHAnsi"/>
          <w:b/>
          <w:bCs/>
          <w:sz w:val="26"/>
          <w:szCs w:val="26"/>
        </w:rPr>
        <w:t>2. Proiectul „Dezvoltarea sistemului de management al cauzelor – Ecris V” (cod My SMIS 142520)</w:t>
      </w:r>
    </w:p>
    <w:p w14:paraId="5046B53D" w14:textId="77777777" w:rsidR="004C72B1" w:rsidRPr="00B41651" w:rsidRDefault="004C72B1" w:rsidP="004C72B1">
      <w:pPr>
        <w:keepNext/>
        <w:spacing w:line="276" w:lineRule="auto"/>
        <w:ind w:firstLine="706"/>
        <w:jc w:val="both"/>
        <w:rPr>
          <w:rFonts w:asciiTheme="minorHAnsi" w:hAnsiTheme="minorHAnsi" w:cstheme="minorHAnsi"/>
          <w:bCs/>
          <w:sz w:val="26"/>
          <w:szCs w:val="26"/>
        </w:rPr>
      </w:pPr>
      <w:r w:rsidRPr="00B41651">
        <w:rPr>
          <w:rFonts w:asciiTheme="minorHAnsi" w:hAnsiTheme="minorHAnsi" w:cstheme="minorHAnsi"/>
          <w:bCs/>
          <w:sz w:val="26"/>
          <w:szCs w:val="26"/>
        </w:rPr>
        <w:t xml:space="preserve">Consiliul Superior al Magistraturii şi Parchetul de pe lângă Înalta Curte de Casație și Justiție participă, în calitate de parteneri, ȋn cadrul proiectului „Dezvoltarea sistemului de management al </w:t>
      </w:r>
      <w:r w:rsidRPr="00B41651">
        <w:rPr>
          <w:rFonts w:asciiTheme="minorHAnsi" w:hAnsiTheme="minorHAnsi" w:cstheme="minorHAnsi"/>
          <w:bCs/>
          <w:sz w:val="26"/>
          <w:szCs w:val="26"/>
        </w:rPr>
        <w:lastRenderedPageBreak/>
        <w:t>cauzelor – Ecris V”, a cărui implementare a fost începută de Ministerul Justiției în cadrul Programului Operațional Capacitate Administrativă.</w:t>
      </w:r>
    </w:p>
    <w:p w14:paraId="43A3C033" w14:textId="77777777" w:rsidR="004C72B1" w:rsidRPr="00B41651" w:rsidRDefault="004C72B1" w:rsidP="004C72B1">
      <w:pPr>
        <w:keepNext/>
        <w:spacing w:line="276" w:lineRule="auto"/>
        <w:ind w:firstLine="706"/>
        <w:jc w:val="both"/>
        <w:rPr>
          <w:rFonts w:asciiTheme="minorHAnsi" w:hAnsiTheme="minorHAnsi" w:cstheme="minorHAnsi"/>
          <w:bCs/>
          <w:sz w:val="26"/>
          <w:szCs w:val="26"/>
        </w:rPr>
      </w:pPr>
      <w:r w:rsidRPr="00B41651">
        <w:rPr>
          <w:rFonts w:asciiTheme="minorHAnsi" w:hAnsiTheme="minorHAnsi" w:cstheme="minorHAnsi"/>
          <w:bCs/>
          <w:sz w:val="26"/>
          <w:szCs w:val="26"/>
        </w:rPr>
        <w:t>Proiectul urmăreşte eficientizarea sistemului judiciar prin punerea la dispoziţie a unui sistem informatic modern şi adaptat nevoilor actuale, care să susţină activitatea specifică a acestuia. Acest obiectiv va fi concretizat prin modernizarea şi adaptarea sistemului electronic de management al cauzelor ECRIS, pentru a răspunde actualelor nevoi ale sistemului judiciar.</w:t>
      </w:r>
    </w:p>
    <w:p w14:paraId="7C113299" w14:textId="77777777" w:rsidR="004C72B1" w:rsidRPr="00B41651" w:rsidRDefault="004C72B1" w:rsidP="004C72B1">
      <w:pPr>
        <w:keepNext/>
        <w:spacing w:line="276" w:lineRule="auto"/>
        <w:ind w:firstLine="706"/>
        <w:jc w:val="both"/>
        <w:rPr>
          <w:rFonts w:asciiTheme="minorHAnsi" w:hAnsiTheme="minorHAnsi" w:cstheme="minorHAnsi"/>
          <w:bCs/>
          <w:sz w:val="26"/>
          <w:szCs w:val="26"/>
        </w:rPr>
      </w:pPr>
      <w:r w:rsidRPr="00B41651">
        <w:rPr>
          <w:rFonts w:asciiTheme="minorHAnsi" w:hAnsiTheme="minorHAnsi" w:cstheme="minorHAnsi"/>
          <w:bCs/>
          <w:sz w:val="26"/>
          <w:szCs w:val="26"/>
        </w:rPr>
        <w:t xml:space="preserve">În considerarea activităţilor de punere în producţie derulate pe parcursul anului 2025, Consiliul Superior al Magistraturii a continuat să sprijine și să colaboreze cu celelalte instituții implicate în proiect, în vederea definitivării noului sistem ECRIS V. În special, Consiliul a facilitat dialogul între instanțele judecătorești și prestatorii de servicii, colaborarea cu instanțele pilot  implicate în prezent în implementarea sistemului ECRIS V, verificarea și amendarea livrabilelor transmise conform calendarului de proiect, precum și analiza oportunității dezvoltării unor subcomponente noi. De asemenea, Consiliul Superior al Magistraturii a facilitat activitățile de dezvoltare specifice privind interconectarea noului sistem ECRIS V cu sistemele informatice ale unor instituții implicate în activitatea judiciară, a acordat sprijin tehnic și logistic pentru derularea activităților de migrare între sistemul ECRIS IV și noul sistem, precum și pentru îmbunătățirea mecanismului de repartizare aleatorie a cauzelor. </w:t>
      </w:r>
    </w:p>
    <w:p w14:paraId="3918F1D7" w14:textId="3ACF2220" w:rsidR="00E372E7" w:rsidRPr="00B41651" w:rsidRDefault="004C72B1" w:rsidP="004C72B1">
      <w:pPr>
        <w:keepNext/>
        <w:spacing w:line="276" w:lineRule="auto"/>
        <w:ind w:firstLine="706"/>
        <w:jc w:val="both"/>
        <w:rPr>
          <w:rFonts w:asciiTheme="minorHAnsi" w:hAnsiTheme="minorHAnsi" w:cstheme="minorHAnsi"/>
          <w:bCs/>
          <w:sz w:val="26"/>
          <w:szCs w:val="26"/>
        </w:rPr>
      </w:pPr>
      <w:r w:rsidRPr="00B41651">
        <w:rPr>
          <w:rFonts w:asciiTheme="minorHAnsi" w:hAnsiTheme="minorHAnsi" w:cstheme="minorHAnsi"/>
          <w:bCs/>
          <w:sz w:val="26"/>
          <w:szCs w:val="26"/>
        </w:rPr>
        <w:tab/>
        <w:t>În ultimul semestru al anului 2025, Consiliul Superior al Magistraturii s-a implicat activ şi a acordat o susţinere semnificativă, atât sub aspect tehnic, cât şi logistic, activităţii de testare a noului sistem ECRIS V în cadrul instanţelor pilot.</w:t>
      </w:r>
    </w:p>
    <w:p w14:paraId="02ECA59A" w14:textId="19A02D65" w:rsidR="002D49E4" w:rsidRPr="000F0D8B" w:rsidRDefault="002D49E4" w:rsidP="009E3AD8">
      <w:pPr>
        <w:spacing w:line="276" w:lineRule="auto"/>
        <w:ind w:firstLine="709"/>
        <w:jc w:val="both"/>
        <w:rPr>
          <w:rFonts w:asciiTheme="minorHAnsi" w:hAnsiTheme="minorHAnsi" w:cstheme="minorHAnsi"/>
          <w:sz w:val="26"/>
          <w:szCs w:val="26"/>
        </w:rPr>
      </w:pPr>
      <w:r w:rsidRPr="000F0D8B">
        <w:rPr>
          <w:rFonts w:asciiTheme="minorHAnsi" w:hAnsiTheme="minorHAnsi" w:cstheme="minorHAnsi"/>
          <w:b/>
          <w:bCs/>
          <w:sz w:val="26"/>
          <w:szCs w:val="26"/>
        </w:rPr>
        <w:t>3.</w:t>
      </w:r>
      <w:r w:rsidRPr="000F0D8B">
        <w:rPr>
          <w:rFonts w:asciiTheme="minorHAnsi" w:hAnsiTheme="minorHAnsi" w:cstheme="minorHAnsi"/>
          <w:sz w:val="26"/>
          <w:szCs w:val="26"/>
        </w:rPr>
        <w:t xml:space="preserve"> </w:t>
      </w:r>
      <w:r w:rsidR="00462BE9" w:rsidRPr="000F0D8B">
        <w:rPr>
          <w:rFonts w:asciiTheme="minorHAnsi" w:hAnsiTheme="minorHAnsi" w:cstheme="minorHAnsi"/>
          <w:sz w:val="26"/>
          <w:szCs w:val="26"/>
        </w:rPr>
        <w:t>Î</w:t>
      </w:r>
      <w:r w:rsidRPr="000F0D8B">
        <w:rPr>
          <w:rFonts w:asciiTheme="minorHAnsi" w:hAnsiTheme="minorHAnsi" w:cstheme="minorHAnsi"/>
          <w:sz w:val="26"/>
          <w:szCs w:val="26"/>
        </w:rPr>
        <w:t xml:space="preserve">n luna aprilie 2025, Consiliul Superior al Magistraturii a semnat contractul de finanțare aferent </w:t>
      </w:r>
      <w:r w:rsidRPr="00307998">
        <w:rPr>
          <w:rFonts w:asciiTheme="minorHAnsi" w:hAnsiTheme="minorHAnsi" w:cstheme="minorHAnsi"/>
          <w:b/>
          <w:i/>
          <w:sz w:val="26"/>
          <w:szCs w:val="26"/>
        </w:rPr>
        <w:t>Componentei de program 5</w:t>
      </w:r>
      <w:r w:rsidR="00936217" w:rsidRPr="00307998">
        <w:rPr>
          <w:rFonts w:asciiTheme="minorHAnsi" w:hAnsiTheme="minorHAnsi" w:cstheme="minorHAnsi"/>
          <w:b/>
          <w:i/>
          <w:sz w:val="26"/>
          <w:szCs w:val="26"/>
        </w:rPr>
        <w:t xml:space="preserve"> - </w:t>
      </w:r>
      <w:r w:rsidR="00C448A7" w:rsidRPr="00307998">
        <w:rPr>
          <w:rFonts w:asciiTheme="minorHAnsi" w:hAnsiTheme="minorHAnsi" w:cstheme="minorHAnsi"/>
          <w:b/>
          <w:i/>
          <w:sz w:val="26"/>
          <w:szCs w:val="26"/>
        </w:rPr>
        <w:t>Î</w:t>
      </w:r>
      <w:r w:rsidRPr="00307998">
        <w:rPr>
          <w:rFonts w:asciiTheme="minorHAnsi" w:hAnsiTheme="minorHAnsi" w:cstheme="minorHAnsi"/>
          <w:b/>
          <w:i/>
          <w:sz w:val="26"/>
          <w:szCs w:val="26"/>
        </w:rPr>
        <w:t>mbunătățirea și consolidarea sistemului de justiție pentru minori,</w:t>
      </w:r>
      <w:r w:rsidRPr="000F0D8B">
        <w:rPr>
          <w:rFonts w:asciiTheme="minorHAnsi" w:hAnsiTheme="minorHAnsi" w:cstheme="minorHAnsi"/>
          <w:sz w:val="26"/>
          <w:szCs w:val="26"/>
        </w:rPr>
        <w:t xml:space="preserve"> un demers de anvergură finanțat în cadrul Programului de Cooperare Elvețiano-Român (a doua contribuție), Programul de securitate și siguranță publică (Justiție). Această componentă se concentrează pe dezvoltarea unui sistem judiciar mai prietenos cu copiii, cu impact direct asupra protecției acestora în timpul procedurilor judiciare, pentru a reduce riscul de revictimizare a acestora și traumele sistemice.</w:t>
      </w:r>
    </w:p>
    <w:p w14:paraId="4B99B69F" w14:textId="77777777" w:rsidR="002D49E4" w:rsidRPr="000F0D8B" w:rsidRDefault="002D49E4" w:rsidP="009E3AD8">
      <w:pPr>
        <w:spacing w:line="276" w:lineRule="auto"/>
        <w:ind w:firstLine="709"/>
        <w:jc w:val="both"/>
        <w:rPr>
          <w:rFonts w:asciiTheme="minorHAnsi" w:hAnsiTheme="minorHAnsi" w:cstheme="minorHAnsi"/>
          <w:sz w:val="26"/>
          <w:szCs w:val="26"/>
        </w:rPr>
      </w:pPr>
      <w:r w:rsidRPr="000F0D8B">
        <w:rPr>
          <w:rFonts w:asciiTheme="minorHAnsi" w:hAnsiTheme="minorHAnsi" w:cstheme="minorHAnsi"/>
          <w:sz w:val="26"/>
          <w:szCs w:val="26"/>
        </w:rPr>
        <w:t>Pentru atingerea obiectivului proiectului, au fost concepute următoarele activități principale: dezvoltarea unei metodologii unitare privind procedurile judiciare care implică minori, axată pe cazurile de violență sexuală împotriva copiilor; formarea profesioniștilor atât din sistemul judiciar cât și, după caz, din domenii în strânsă legătură cu acesta, în domeniul tehnicilor de audiere a minorilor, implementarea protocolului NICHD, pornografie infantilă; organizarea unei campanii de conștientizare (în școli/social media) în ceea ce privește drepturile minorilor în cadrul procedurilor judiciare, cu accent pe cazurile de abuz sexual; continuarea dezvoltării infrastructurii instanțelor, prin crearea de noi camere de audiere a minorilor, la nivel național.</w:t>
      </w:r>
    </w:p>
    <w:p w14:paraId="0CA83F4D" w14:textId="7A2BB693" w:rsidR="002D49E4" w:rsidRPr="000F0D8B" w:rsidRDefault="002D49E4" w:rsidP="009E3AD8">
      <w:pPr>
        <w:spacing w:line="276" w:lineRule="auto"/>
        <w:ind w:firstLine="709"/>
        <w:jc w:val="both"/>
        <w:rPr>
          <w:rFonts w:asciiTheme="minorHAnsi" w:hAnsiTheme="minorHAnsi" w:cstheme="minorHAnsi"/>
          <w:sz w:val="26"/>
          <w:szCs w:val="26"/>
        </w:rPr>
      </w:pPr>
      <w:r w:rsidRPr="000F0D8B">
        <w:rPr>
          <w:rFonts w:asciiTheme="minorHAnsi" w:hAnsiTheme="minorHAnsi" w:cstheme="minorHAnsi"/>
          <w:sz w:val="26"/>
          <w:szCs w:val="26"/>
        </w:rPr>
        <w:t>Nu în ultimul rând, în cursul anului 2025 au fost parcurse etape preliminare în procesul de negociere a priorităților de finanțare care vor fi incluse în cadrul Mecanismului Financiar Norvegian 2021</w:t>
      </w:r>
      <w:r w:rsidR="00BD5217" w:rsidRPr="000F0D8B">
        <w:rPr>
          <w:rFonts w:asciiTheme="minorHAnsi" w:hAnsiTheme="minorHAnsi" w:cstheme="minorHAnsi"/>
          <w:sz w:val="26"/>
          <w:szCs w:val="26"/>
        </w:rPr>
        <w:t xml:space="preserve"> </w:t>
      </w:r>
      <w:r w:rsidRPr="000F0D8B">
        <w:rPr>
          <w:rFonts w:asciiTheme="minorHAnsi" w:hAnsiTheme="minorHAnsi" w:cstheme="minorHAnsi"/>
          <w:sz w:val="26"/>
          <w:szCs w:val="26"/>
        </w:rPr>
        <w:t>-</w:t>
      </w:r>
      <w:r w:rsidR="00BD5217" w:rsidRPr="000F0D8B">
        <w:rPr>
          <w:rFonts w:asciiTheme="minorHAnsi" w:hAnsiTheme="minorHAnsi" w:cstheme="minorHAnsi"/>
          <w:sz w:val="26"/>
          <w:szCs w:val="26"/>
        </w:rPr>
        <w:t xml:space="preserve"> </w:t>
      </w:r>
      <w:r w:rsidRPr="000F0D8B">
        <w:rPr>
          <w:rFonts w:asciiTheme="minorHAnsi" w:hAnsiTheme="minorHAnsi" w:cstheme="minorHAnsi"/>
          <w:sz w:val="26"/>
          <w:szCs w:val="26"/>
        </w:rPr>
        <w:t>2028.</w:t>
      </w:r>
    </w:p>
    <w:p w14:paraId="25EB8EFA" w14:textId="34C36560" w:rsidR="006C1588" w:rsidRPr="000F0D8B" w:rsidRDefault="006C1588" w:rsidP="009E3AD8">
      <w:pPr>
        <w:pStyle w:val="Heading2"/>
        <w:keepLines w:val="0"/>
        <w:suppressLineNumbers/>
        <w:suppressAutoHyphens/>
        <w:jc w:val="both"/>
        <w:rPr>
          <w:rFonts w:cstheme="minorHAnsi"/>
          <w:color w:val="auto"/>
          <w:lang w:val="ro-RO"/>
        </w:rPr>
      </w:pPr>
      <w:bookmarkStart w:id="158" w:name="_Toc219287983"/>
      <w:r w:rsidRPr="000F0D8B">
        <w:rPr>
          <w:rFonts w:cstheme="minorHAnsi"/>
          <w:color w:val="auto"/>
          <w:lang w:val="ro-RO"/>
        </w:rPr>
        <w:lastRenderedPageBreak/>
        <w:t>VI.4.</w:t>
      </w:r>
      <w:r w:rsidR="00143852" w:rsidRPr="000F0D8B">
        <w:rPr>
          <w:rFonts w:cstheme="minorHAnsi"/>
          <w:color w:val="auto"/>
          <w:lang w:val="ro-RO"/>
        </w:rPr>
        <w:t xml:space="preserve"> </w:t>
      </w:r>
      <w:r w:rsidRPr="000F0D8B">
        <w:rPr>
          <w:rFonts w:cstheme="minorHAnsi"/>
          <w:color w:val="auto"/>
          <w:lang w:val="ro-RO"/>
        </w:rPr>
        <w:t>Activitatea Serviciului sinteze şi pregătirea lucrărilor şedinţelor Consiliului Superior al Magistraturii</w:t>
      </w:r>
      <w:bookmarkEnd w:id="157"/>
      <w:bookmarkEnd w:id="158"/>
    </w:p>
    <w:p w14:paraId="0C6FBBE8" w14:textId="77777777" w:rsidR="005A66B9" w:rsidRPr="000F0D8B" w:rsidRDefault="005A66B9" w:rsidP="009E3AD8">
      <w:pPr>
        <w:spacing w:line="276" w:lineRule="auto"/>
        <w:ind w:firstLine="709"/>
        <w:jc w:val="both"/>
        <w:rPr>
          <w:rStyle w:val="Strong"/>
          <w:rFonts w:asciiTheme="minorHAnsi" w:hAnsiTheme="minorHAnsi" w:cstheme="minorHAnsi"/>
          <w:b w:val="0"/>
          <w:bCs w:val="0"/>
          <w:sz w:val="26"/>
          <w:szCs w:val="26"/>
        </w:rPr>
      </w:pPr>
      <w:r w:rsidRPr="000F0D8B">
        <w:rPr>
          <w:rStyle w:val="Strong"/>
          <w:rFonts w:asciiTheme="minorHAnsi" w:hAnsiTheme="minorHAnsi" w:cstheme="minorHAnsi"/>
          <w:b w:val="0"/>
          <w:bCs w:val="0"/>
          <w:sz w:val="26"/>
          <w:szCs w:val="26"/>
        </w:rPr>
        <w:t>Unul dintre compartimentele Consiliului Superior al Magistraturii a cărui activitate are un impact direct asupra calității lucrărilor instituției este Serviciul de sinteze și pregătirea lucrărilor ședințelor.</w:t>
      </w:r>
    </w:p>
    <w:p w14:paraId="3588664F" w14:textId="3F127F41" w:rsidR="005A66B9" w:rsidRPr="00B41651" w:rsidRDefault="005A66B9" w:rsidP="009E3AD8">
      <w:pPr>
        <w:spacing w:line="276" w:lineRule="auto"/>
        <w:ind w:firstLine="709"/>
        <w:jc w:val="both"/>
        <w:rPr>
          <w:rStyle w:val="Strong"/>
          <w:rFonts w:asciiTheme="minorHAnsi" w:hAnsiTheme="minorHAnsi" w:cstheme="minorHAnsi"/>
          <w:b w:val="0"/>
          <w:bCs w:val="0"/>
          <w:sz w:val="26"/>
          <w:szCs w:val="26"/>
        </w:rPr>
      </w:pPr>
      <w:r w:rsidRPr="00B41651">
        <w:rPr>
          <w:rStyle w:val="Strong"/>
          <w:rFonts w:asciiTheme="minorHAnsi" w:hAnsiTheme="minorHAnsi" w:cstheme="minorHAnsi"/>
          <w:b w:val="0"/>
          <w:bCs w:val="0"/>
          <w:sz w:val="26"/>
          <w:szCs w:val="26"/>
        </w:rPr>
        <w:t>Pe parcursul anului 2025, activitatea acestui compartiment de specialitate a implicat nu doar efectuarea tuturor demersurilor necesare pentru ca lucrările aflate pe rolul Secțiilor și al Plenului Consiliului să fie înregistrate și încărcate în mapa electronică E-map, ci și elaborarea tuturor documentelor necesare bunei desfășurări a ședințelor în care acestea sunt analizate și soluționate</w:t>
      </w:r>
      <w:r w:rsidR="00E42FC4" w:rsidRPr="00B41651">
        <w:rPr>
          <w:rStyle w:val="Strong"/>
          <w:rFonts w:asciiTheme="minorHAnsi" w:hAnsiTheme="minorHAnsi" w:cstheme="minorHAnsi"/>
          <w:b w:val="0"/>
          <w:bCs w:val="0"/>
          <w:sz w:val="26"/>
          <w:szCs w:val="26"/>
        </w:rPr>
        <w:t>, d</w:t>
      </w:r>
      <w:r w:rsidRPr="00B41651">
        <w:rPr>
          <w:rStyle w:val="Strong"/>
          <w:rFonts w:asciiTheme="minorHAnsi" w:hAnsiTheme="minorHAnsi" w:cstheme="minorHAnsi"/>
          <w:b w:val="0"/>
          <w:bCs w:val="0"/>
          <w:sz w:val="26"/>
          <w:szCs w:val="26"/>
        </w:rPr>
        <w:t xml:space="preserve">e la transmiterea invitațiilor și întocmirea buletinelor de vot, până la redactarea ordinii de zi, a ordinii de zi soluționate și a proiectelor de hotărâre. </w:t>
      </w:r>
    </w:p>
    <w:p w14:paraId="4CC9B2ED" w14:textId="1603DD42" w:rsidR="005A66B9" w:rsidRPr="00B41651" w:rsidRDefault="005A66B9" w:rsidP="009E3AD8">
      <w:pPr>
        <w:spacing w:line="276" w:lineRule="auto"/>
        <w:ind w:firstLine="709"/>
        <w:jc w:val="both"/>
        <w:rPr>
          <w:rFonts w:asciiTheme="minorHAnsi" w:hAnsiTheme="minorHAnsi" w:cstheme="minorHAnsi"/>
          <w:sz w:val="26"/>
          <w:szCs w:val="26"/>
        </w:rPr>
      </w:pPr>
      <w:r w:rsidRPr="00B41651">
        <w:rPr>
          <w:rFonts w:asciiTheme="minorHAnsi" w:hAnsiTheme="minorHAnsi" w:cstheme="minorHAnsi"/>
          <w:sz w:val="26"/>
          <w:szCs w:val="26"/>
        </w:rPr>
        <w:t xml:space="preserve">Pe parcursul anului 2025, Serviciul sinteze a asigurat buna desfășurare a ședințelor Consiliului Superior al Magistraturii, fiind organizate </w:t>
      </w:r>
      <w:r w:rsidR="003069D2" w:rsidRPr="00B41651">
        <w:rPr>
          <w:rFonts w:asciiTheme="minorHAnsi" w:hAnsiTheme="minorHAnsi" w:cstheme="minorHAnsi"/>
          <w:sz w:val="26"/>
          <w:szCs w:val="26"/>
        </w:rPr>
        <w:t>50</w:t>
      </w:r>
      <w:r w:rsidRPr="00B41651">
        <w:rPr>
          <w:rFonts w:asciiTheme="minorHAnsi" w:hAnsiTheme="minorHAnsi" w:cstheme="minorHAnsi"/>
          <w:sz w:val="26"/>
          <w:szCs w:val="26"/>
        </w:rPr>
        <w:t xml:space="preserve"> de şedinţe ale Secţiei pentru judecători, </w:t>
      </w:r>
      <w:r w:rsidR="00ED1C0B" w:rsidRPr="00B41651">
        <w:rPr>
          <w:rFonts w:asciiTheme="minorHAnsi" w:hAnsiTheme="minorHAnsi" w:cstheme="minorHAnsi"/>
          <w:sz w:val="26"/>
          <w:szCs w:val="26"/>
        </w:rPr>
        <w:t>49</w:t>
      </w:r>
      <w:r w:rsidRPr="00B41651">
        <w:rPr>
          <w:rFonts w:asciiTheme="minorHAnsi" w:hAnsiTheme="minorHAnsi" w:cstheme="minorHAnsi"/>
          <w:sz w:val="26"/>
          <w:szCs w:val="26"/>
        </w:rPr>
        <w:t xml:space="preserve"> de şedinţe ale Secţiei pentru procurori şi </w:t>
      </w:r>
      <w:r w:rsidR="00ED1C0B" w:rsidRPr="00B41651">
        <w:rPr>
          <w:rFonts w:asciiTheme="minorHAnsi" w:hAnsiTheme="minorHAnsi" w:cstheme="minorHAnsi"/>
          <w:sz w:val="26"/>
          <w:szCs w:val="26"/>
        </w:rPr>
        <w:t>27</w:t>
      </w:r>
      <w:r w:rsidRPr="00B41651">
        <w:rPr>
          <w:rFonts w:asciiTheme="minorHAnsi" w:hAnsiTheme="minorHAnsi" w:cstheme="minorHAnsi"/>
          <w:sz w:val="26"/>
          <w:szCs w:val="26"/>
        </w:rPr>
        <w:t xml:space="preserve"> de şedinţe ale Plenului</w:t>
      </w:r>
      <w:r w:rsidR="00E42FC4" w:rsidRPr="00B41651">
        <w:rPr>
          <w:rFonts w:asciiTheme="minorHAnsi" w:hAnsiTheme="minorHAnsi" w:cstheme="minorHAnsi"/>
          <w:sz w:val="26"/>
          <w:szCs w:val="26"/>
        </w:rPr>
        <w:t xml:space="preserve"> C.S.M.</w:t>
      </w:r>
      <w:r w:rsidRPr="00B41651">
        <w:rPr>
          <w:rFonts w:asciiTheme="minorHAnsi" w:hAnsiTheme="minorHAnsi" w:cstheme="minorHAnsi"/>
          <w:sz w:val="26"/>
          <w:szCs w:val="26"/>
        </w:rPr>
        <w:t>.</w:t>
      </w:r>
    </w:p>
    <w:p w14:paraId="70E1F9D9" w14:textId="77777777" w:rsidR="005A66B9" w:rsidRPr="00B41651" w:rsidRDefault="005A66B9" w:rsidP="009E3AD8">
      <w:pPr>
        <w:spacing w:line="276" w:lineRule="auto"/>
        <w:ind w:firstLine="709"/>
        <w:jc w:val="both"/>
        <w:rPr>
          <w:rFonts w:asciiTheme="minorHAnsi" w:hAnsiTheme="minorHAnsi" w:cstheme="minorHAnsi"/>
          <w:sz w:val="26"/>
          <w:szCs w:val="26"/>
        </w:rPr>
      </w:pPr>
      <w:r w:rsidRPr="00B41651">
        <w:rPr>
          <w:rFonts w:asciiTheme="minorHAnsi" w:hAnsiTheme="minorHAnsi" w:cstheme="minorHAnsi"/>
          <w:sz w:val="26"/>
          <w:szCs w:val="26"/>
        </w:rPr>
        <w:t>În anul 2025, date fiind competenţele distincte ale Secţiilor pentru judecători, respectiv pentru procurori sub aspectul carierei celor două profesii, trendul ascendent al numărului de hotărâri ale secţiilor faţă de cele ale Plenului Consiliului s-a menţinut, reflectându-se în datele statistice prezentate în cele ce urmează.</w:t>
      </w:r>
    </w:p>
    <w:p w14:paraId="77833503" w14:textId="77777777" w:rsidR="005A66B9" w:rsidRPr="000F0D8B" w:rsidRDefault="005A66B9" w:rsidP="009E3AD8">
      <w:pPr>
        <w:keepNext/>
        <w:spacing w:line="276" w:lineRule="auto"/>
        <w:ind w:left="-518" w:firstLine="1226"/>
        <w:jc w:val="both"/>
        <w:rPr>
          <w:rStyle w:val="Strong"/>
          <w:rFonts w:asciiTheme="minorHAnsi" w:hAnsiTheme="minorHAnsi" w:cstheme="minorHAnsi"/>
          <w:bCs w:val="0"/>
          <w:sz w:val="26"/>
          <w:szCs w:val="26"/>
        </w:rPr>
      </w:pPr>
      <w:r w:rsidRPr="000F0D8B">
        <w:rPr>
          <w:rFonts w:asciiTheme="minorHAnsi" w:hAnsiTheme="minorHAnsi" w:cstheme="minorHAnsi"/>
          <w:b/>
          <w:sz w:val="26"/>
          <w:szCs w:val="26"/>
        </w:rPr>
        <w:t>HOTĂRÂRILE PLENULUI ŞI ALE SECŢIILOR PENTRU JUDECĂTORI ŞI PENTRU PROCURORI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6"/>
        <w:gridCol w:w="1683"/>
        <w:gridCol w:w="1547"/>
        <w:gridCol w:w="1522"/>
      </w:tblGrid>
      <w:tr w:rsidR="00B41651" w:rsidRPr="00B41651" w14:paraId="4152C458" w14:textId="77777777" w:rsidTr="00B108BA">
        <w:trPr>
          <w:jc w:val="center"/>
        </w:trPr>
        <w:tc>
          <w:tcPr>
            <w:tcW w:w="270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E7D0432" w14:textId="77777777" w:rsidR="005A66B9" w:rsidRPr="00B41651" w:rsidRDefault="005A66B9" w:rsidP="009E3AD8">
            <w:pPr>
              <w:spacing w:line="276" w:lineRule="auto"/>
              <w:jc w:val="both"/>
              <w:rPr>
                <w:rFonts w:asciiTheme="minorHAnsi" w:hAnsiTheme="minorHAnsi" w:cstheme="minorHAnsi"/>
                <w:b/>
                <w:sz w:val="26"/>
                <w:szCs w:val="26"/>
                <w:lang w:eastAsia="ro-RO"/>
              </w:rPr>
            </w:pPr>
            <w:r w:rsidRPr="00B41651">
              <w:rPr>
                <w:rFonts w:asciiTheme="minorHAnsi" w:hAnsiTheme="minorHAnsi" w:cstheme="minorHAnsi"/>
                <w:b/>
                <w:sz w:val="26"/>
                <w:szCs w:val="26"/>
                <w:lang w:eastAsia="ro-RO"/>
              </w:rPr>
              <w:t>Categoria</w:t>
            </w:r>
          </w:p>
        </w:tc>
        <w:tc>
          <w:tcPr>
            <w:tcW w:w="8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D16CC02" w14:textId="5490F242" w:rsidR="00834371" w:rsidRPr="00B41651" w:rsidRDefault="005A66B9" w:rsidP="009E3AD8">
            <w:pPr>
              <w:spacing w:line="276" w:lineRule="auto"/>
              <w:ind w:left="69"/>
              <w:jc w:val="center"/>
              <w:rPr>
                <w:rFonts w:asciiTheme="minorHAnsi" w:hAnsiTheme="minorHAnsi" w:cstheme="minorHAnsi"/>
                <w:b/>
                <w:sz w:val="26"/>
                <w:szCs w:val="26"/>
                <w:lang w:eastAsia="ro-RO"/>
              </w:rPr>
            </w:pPr>
            <w:r w:rsidRPr="00B41651">
              <w:rPr>
                <w:rFonts w:asciiTheme="minorHAnsi" w:hAnsiTheme="minorHAnsi" w:cstheme="minorHAnsi"/>
                <w:b/>
                <w:sz w:val="26"/>
                <w:szCs w:val="26"/>
                <w:lang w:eastAsia="ro-RO"/>
              </w:rPr>
              <w:t>Plen</w:t>
            </w:r>
          </w:p>
          <w:p w14:paraId="3E9D1409" w14:textId="0C115203" w:rsidR="005A66B9" w:rsidRPr="00B41651" w:rsidRDefault="005A66B9" w:rsidP="009E3AD8">
            <w:pPr>
              <w:spacing w:line="276" w:lineRule="auto"/>
              <w:ind w:left="69"/>
              <w:jc w:val="center"/>
              <w:rPr>
                <w:rFonts w:asciiTheme="minorHAnsi" w:hAnsiTheme="minorHAnsi" w:cstheme="minorHAnsi"/>
                <w:b/>
                <w:sz w:val="26"/>
                <w:szCs w:val="26"/>
                <w:lang w:eastAsia="ro-RO"/>
              </w:rPr>
            </w:pPr>
          </w:p>
        </w:tc>
        <w:tc>
          <w:tcPr>
            <w:tcW w:w="74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B1676A9" w14:textId="77777777" w:rsidR="005A66B9" w:rsidRPr="00B41651" w:rsidRDefault="005A66B9" w:rsidP="009E3AD8">
            <w:pPr>
              <w:spacing w:line="276" w:lineRule="auto"/>
              <w:ind w:left="25"/>
              <w:jc w:val="center"/>
              <w:rPr>
                <w:rFonts w:asciiTheme="minorHAnsi" w:hAnsiTheme="minorHAnsi" w:cstheme="minorHAnsi"/>
                <w:b/>
                <w:sz w:val="26"/>
                <w:szCs w:val="26"/>
                <w:lang w:eastAsia="ro-RO"/>
              </w:rPr>
            </w:pPr>
            <w:r w:rsidRPr="00B41651">
              <w:rPr>
                <w:rFonts w:asciiTheme="minorHAnsi" w:hAnsiTheme="minorHAnsi" w:cstheme="minorHAnsi"/>
                <w:b/>
                <w:sz w:val="26"/>
                <w:szCs w:val="26"/>
                <w:lang w:eastAsia="ro-RO"/>
              </w:rPr>
              <w:t>Secţie</w:t>
            </w:r>
          </w:p>
          <w:p w14:paraId="17D2FF9F" w14:textId="513117A2" w:rsidR="005A66B9" w:rsidRPr="00B41651" w:rsidRDefault="005A66B9" w:rsidP="009E3AD8">
            <w:pPr>
              <w:spacing w:line="276" w:lineRule="auto"/>
              <w:ind w:left="25"/>
              <w:jc w:val="center"/>
              <w:rPr>
                <w:rFonts w:asciiTheme="minorHAnsi" w:hAnsiTheme="minorHAnsi" w:cstheme="minorHAnsi"/>
                <w:b/>
                <w:sz w:val="26"/>
                <w:szCs w:val="26"/>
                <w:lang w:eastAsia="ro-RO"/>
              </w:rPr>
            </w:pPr>
            <w:r w:rsidRPr="00B41651">
              <w:rPr>
                <w:rFonts w:asciiTheme="minorHAnsi" w:hAnsiTheme="minorHAnsi" w:cstheme="minorHAnsi"/>
                <w:b/>
                <w:sz w:val="26"/>
                <w:szCs w:val="26"/>
                <w:lang w:eastAsia="ro-RO"/>
              </w:rPr>
              <w:t>Judecători</w:t>
            </w:r>
          </w:p>
        </w:tc>
        <w:tc>
          <w:tcPr>
            <w:tcW w:w="73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4A54284" w14:textId="77777777" w:rsidR="005A66B9" w:rsidRPr="00B41651" w:rsidRDefault="005A66B9" w:rsidP="009E3AD8">
            <w:pPr>
              <w:spacing w:line="276" w:lineRule="auto"/>
              <w:jc w:val="center"/>
              <w:rPr>
                <w:rFonts w:asciiTheme="minorHAnsi" w:hAnsiTheme="minorHAnsi" w:cstheme="minorHAnsi"/>
                <w:b/>
                <w:sz w:val="26"/>
                <w:szCs w:val="26"/>
                <w:lang w:eastAsia="ro-RO"/>
              </w:rPr>
            </w:pPr>
            <w:r w:rsidRPr="00B41651">
              <w:rPr>
                <w:rFonts w:asciiTheme="minorHAnsi" w:hAnsiTheme="minorHAnsi" w:cstheme="minorHAnsi"/>
                <w:b/>
                <w:sz w:val="26"/>
                <w:szCs w:val="26"/>
                <w:lang w:eastAsia="ro-RO"/>
              </w:rPr>
              <w:t>Secţie</w:t>
            </w:r>
          </w:p>
          <w:p w14:paraId="22F58DEF" w14:textId="30E5C488" w:rsidR="005A66B9" w:rsidRPr="00B41651" w:rsidRDefault="005A66B9" w:rsidP="009E3AD8">
            <w:pPr>
              <w:spacing w:line="276" w:lineRule="auto"/>
              <w:jc w:val="center"/>
              <w:rPr>
                <w:rFonts w:asciiTheme="minorHAnsi" w:hAnsiTheme="minorHAnsi" w:cstheme="minorHAnsi"/>
                <w:b/>
                <w:sz w:val="26"/>
                <w:szCs w:val="26"/>
                <w:lang w:eastAsia="ro-RO"/>
              </w:rPr>
            </w:pPr>
            <w:r w:rsidRPr="00B41651">
              <w:rPr>
                <w:rFonts w:asciiTheme="minorHAnsi" w:hAnsiTheme="minorHAnsi" w:cstheme="minorHAnsi"/>
                <w:b/>
                <w:sz w:val="26"/>
                <w:szCs w:val="26"/>
                <w:lang w:eastAsia="ro-RO"/>
              </w:rPr>
              <w:t>Procurori</w:t>
            </w:r>
          </w:p>
        </w:tc>
      </w:tr>
      <w:tr w:rsidR="00B41651" w:rsidRPr="00B41651" w14:paraId="66E2123C" w14:textId="77777777" w:rsidTr="00B108BA">
        <w:trPr>
          <w:trHeight w:val="70"/>
          <w:jc w:val="center"/>
        </w:trPr>
        <w:tc>
          <w:tcPr>
            <w:tcW w:w="270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F43387D" w14:textId="77777777" w:rsidR="005A66B9" w:rsidRPr="00B41651" w:rsidRDefault="005A66B9" w:rsidP="009E3AD8">
            <w:pPr>
              <w:spacing w:line="276" w:lineRule="auto"/>
              <w:jc w:val="both"/>
              <w:rPr>
                <w:rFonts w:asciiTheme="minorHAnsi" w:hAnsiTheme="minorHAnsi" w:cstheme="minorHAnsi"/>
                <w:b/>
                <w:sz w:val="26"/>
                <w:szCs w:val="26"/>
                <w:lang w:eastAsia="ro-RO"/>
              </w:rPr>
            </w:pPr>
            <w:r w:rsidRPr="00B41651">
              <w:rPr>
                <w:rFonts w:asciiTheme="minorHAnsi" w:hAnsiTheme="minorHAnsi" w:cstheme="minorHAnsi"/>
                <w:b/>
                <w:sz w:val="26"/>
                <w:szCs w:val="26"/>
                <w:lang w:eastAsia="ro-RO"/>
              </w:rPr>
              <w:t xml:space="preserve">Total </w:t>
            </w:r>
          </w:p>
        </w:tc>
        <w:tc>
          <w:tcPr>
            <w:tcW w:w="8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0DAE90D" w14:textId="5A94ECD5" w:rsidR="005A66B9" w:rsidRPr="00B41651" w:rsidRDefault="00ED1C0B" w:rsidP="009E3AD8">
            <w:pPr>
              <w:spacing w:line="276" w:lineRule="auto"/>
              <w:ind w:left="69"/>
              <w:jc w:val="center"/>
              <w:rPr>
                <w:rFonts w:asciiTheme="minorHAnsi" w:hAnsiTheme="minorHAnsi" w:cstheme="minorHAnsi"/>
                <w:b/>
                <w:sz w:val="26"/>
                <w:szCs w:val="26"/>
                <w:lang w:eastAsia="ro-RO"/>
              </w:rPr>
            </w:pPr>
            <w:r w:rsidRPr="00B41651">
              <w:rPr>
                <w:rFonts w:asciiTheme="minorHAnsi" w:hAnsiTheme="minorHAnsi" w:cstheme="minorHAnsi"/>
                <w:b/>
                <w:sz w:val="26"/>
                <w:szCs w:val="26"/>
                <w:lang w:eastAsia="ro-RO"/>
              </w:rPr>
              <w:t>164</w:t>
            </w:r>
          </w:p>
        </w:tc>
        <w:tc>
          <w:tcPr>
            <w:tcW w:w="74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92B892B" w14:textId="05FD665D" w:rsidR="005A66B9" w:rsidRPr="00B41651" w:rsidRDefault="00ED1C0B" w:rsidP="009E3AD8">
            <w:pPr>
              <w:spacing w:line="276" w:lineRule="auto"/>
              <w:ind w:left="25"/>
              <w:jc w:val="center"/>
              <w:rPr>
                <w:rFonts w:asciiTheme="minorHAnsi" w:hAnsiTheme="minorHAnsi" w:cstheme="minorHAnsi"/>
                <w:b/>
                <w:sz w:val="26"/>
                <w:szCs w:val="26"/>
                <w:lang w:eastAsia="ro-RO"/>
              </w:rPr>
            </w:pPr>
            <w:r w:rsidRPr="00B41651">
              <w:rPr>
                <w:rFonts w:asciiTheme="minorHAnsi" w:hAnsiTheme="minorHAnsi" w:cstheme="minorHAnsi"/>
                <w:b/>
                <w:sz w:val="26"/>
                <w:szCs w:val="26"/>
                <w:lang w:eastAsia="ro-RO"/>
              </w:rPr>
              <w:t>2908</w:t>
            </w:r>
          </w:p>
        </w:tc>
        <w:tc>
          <w:tcPr>
            <w:tcW w:w="73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639EA66" w14:textId="2DB140B1" w:rsidR="005A66B9" w:rsidRPr="00B41651" w:rsidRDefault="00ED1C0B" w:rsidP="009E3AD8">
            <w:pPr>
              <w:spacing w:line="276" w:lineRule="auto"/>
              <w:jc w:val="center"/>
              <w:rPr>
                <w:rFonts w:asciiTheme="minorHAnsi" w:hAnsiTheme="minorHAnsi" w:cstheme="minorHAnsi"/>
                <w:b/>
                <w:sz w:val="26"/>
                <w:szCs w:val="26"/>
                <w:lang w:eastAsia="ro-RO"/>
              </w:rPr>
            </w:pPr>
            <w:r w:rsidRPr="00B41651">
              <w:rPr>
                <w:rFonts w:asciiTheme="minorHAnsi" w:hAnsiTheme="minorHAnsi" w:cstheme="minorHAnsi"/>
                <w:b/>
                <w:sz w:val="26"/>
                <w:szCs w:val="26"/>
                <w:lang w:eastAsia="ro-RO"/>
              </w:rPr>
              <w:t>1189</w:t>
            </w:r>
          </w:p>
        </w:tc>
      </w:tr>
      <w:tr w:rsidR="00B41651" w:rsidRPr="00B41651" w14:paraId="7CFF3574" w14:textId="77777777" w:rsidTr="00B108BA">
        <w:trPr>
          <w:jc w:val="center"/>
        </w:trPr>
        <w:tc>
          <w:tcPr>
            <w:tcW w:w="2701" w:type="pct"/>
            <w:tcBorders>
              <w:top w:val="single" w:sz="4" w:space="0" w:color="auto"/>
              <w:left w:val="single" w:sz="4" w:space="0" w:color="auto"/>
              <w:bottom w:val="single" w:sz="4" w:space="0" w:color="auto"/>
              <w:right w:val="single" w:sz="4" w:space="0" w:color="auto"/>
            </w:tcBorders>
            <w:hideMark/>
          </w:tcPr>
          <w:p w14:paraId="09E27712" w14:textId="77777777" w:rsidR="005A66B9" w:rsidRPr="00B41651" w:rsidRDefault="005A66B9" w:rsidP="009E3AD8">
            <w:pPr>
              <w:pStyle w:val="NormalWeb"/>
              <w:shd w:val="clear" w:color="auto" w:fill="FFFFFF"/>
              <w:spacing w:before="0" w:beforeAutospacing="0" w:after="0" w:afterAutospacing="0" w:line="276" w:lineRule="auto"/>
              <w:jc w:val="both"/>
              <w:rPr>
                <w:rStyle w:val="rvts5"/>
                <w:rFonts w:asciiTheme="minorHAnsi" w:hAnsiTheme="minorHAnsi" w:cstheme="minorHAnsi"/>
                <w:sz w:val="26"/>
                <w:szCs w:val="26"/>
              </w:rPr>
            </w:pPr>
            <w:r w:rsidRPr="00B41651">
              <w:rPr>
                <w:rStyle w:val="rvts5"/>
                <w:rFonts w:asciiTheme="minorHAnsi" w:hAnsiTheme="minorHAnsi" w:cstheme="minorHAnsi"/>
                <w:sz w:val="26"/>
                <w:szCs w:val="26"/>
              </w:rPr>
              <w:t>Apărarea independenţei autorităţii judecătoreşti în ansamblul său/apărarea independenţei sistemului judiciar/apărarea independenţei, imparțialității şi reputației profesionale/Retragere</w:t>
            </w:r>
          </w:p>
        </w:tc>
        <w:tc>
          <w:tcPr>
            <w:tcW w:w="814" w:type="pct"/>
            <w:tcBorders>
              <w:top w:val="single" w:sz="4" w:space="0" w:color="auto"/>
              <w:left w:val="single" w:sz="4" w:space="0" w:color="auto"/>
              <w:bottom w:val="single" w:sz="4" w:space="0" w:color="auto"/>
              <w:right w:val="single" w:sz="4" w:space="0" w:color="auto"/>
            </w:tcBorders>
            <w:hideMark/>
          </w:tcPr>
          <w:p w14:paraId="4FFE96E6" w14:textId="77777777" w:rsidR="005A66B9" w:rsidRPr="00B41651" w:rsidRDefault="005A66B9" w:rsidP="009E3AD8">
            <w:pPr>
              <w:pStyle w:val="NormalWeb"/>
              <w:shd w:val="clear" w:color="auto" w:fill="FFFFFF"/>
              <w:spacing w:before="0" w:beforeAutospacing="0" w:after="0" w:afterAutospacing="0" w:line="276" w:lineRule="auto"/>
              <w:ind w:left="69" w:firstLine="339"/>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w:t>
            </w:r>
          </w:p>
        </w:tc>
        <w:tc>
          <w:tcPr>
            <w:tcW w:w="748" w:type="pct"/>
            <w:tcBorders>
              <w:top w:val="single" w:sz="4" w:space="0" w:color="auto"/>
              <w:left w:val="single" w:sz="4" w:space="0" w:color="auto"/>
              <w:bottom w:val="single" w:sz="4" w:space="0" w:color="auto"/>
              <w:right w:val="single" w:sz="4" w:space="0" w:color="auto"/>
            </w:tcBorders>
            <w:hideMark/>
          </w:tcPr>
          <w:p w14:paraId="74EFD995" w14:textId="6F4FD19D" w:rsidR="005A66B9" w:rsidRPr="00B41651" w:rsidRDefault="00474A18" w:rsidP="009E3AD8">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7</w:t>
            </w:r>
          </w:p>
        </w:tc>
        <w:tc>
          <w:tcPr>
            <w:tcW w:w="736" w:type="pct"/>
            <w:tcBorders>
              <w:top w:val="single" w:sz="4" w:space="0" w:color="auto"/>
              <w:left w:val="single" w:sz="4" w:space="0" w:color="auto"/>
              <w:bottom w:val="single" w:sz="4" w:space="0" w:color="auto"/>
              <w:right w:val="single" w:sz="4" w:space="0" w:color="auto"/>
            </w:tcBorders>
            <w:hideMark/>
          </w:tcPr>
          <w:p w14:paraId="307B15C7" w14:textId="77777777" w:rsidR="005A66B9" w:rsidRPr="00B41651" w:rsidRDefault="005A66B9" w:rsidP="009E3AD8">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7</w:t>
            </w:r>
          </w:p>
        </w:tc>
      </w:tr>
      <w:tr w:rsidR="00B41651" w:rsidRPr="00B41651" w14:paraId="19BBAE80" w14:textId="77777777" w:rsidTr="00B108BA">
        <w:trPr>
          <w:jc w:val="center"/>
        </w:trPr>
        <w:tc>
          <w:tcPr>
            <w:tcW w:w="2701" w:type="pct"/>
            <w:tcBorders>
              <w:top w:val="single" w:sz="4" w:space="0" w:color="auto"/>
              <w:left w:val="single" w:sz="4" w:space="0" w:color="auto"/>
              <w:bottom w:val="single" w:sz="4" w:space="0" w:color="auto"/>
              <w:right w:val="single" w:sz="4" w:space="0" w:color="auto"/>
            </w:tcBorders>
            <w:hideMark/>
          </w:tcPr>
          <w:p w14:paraId="3A88A928" w14:textId="77777777" w:rsidR="00E75402" w:rsidRPr="00B41651" w:rsidRDefault="005A66B9" w:rsidP="009E3AD8">
            <w:pPr>
              <w:pStyle w:val="NormalWeb"/>
              <w:shd w:val="clear" w:color="auto" w:fill="FFFFFF"/>
              <w:spacing w:before="0" w:beforeAutospacing="0" w:after="0" w:afterAutospacing="0" w:line="276" w:lineRule="auto"/>
              <w:jc w:val="both"/>
              <w:rPr>
                <w:rStyle w:val="rvts5"/>
                <w:rFonts w:asciiTheme="minorHAnsi" w:hAnsiTheme="minorHAnsi" w:cstheme="minorHAnsi"/>
                <w:sz w:val="26"/>
                <w:szCs w:val="26"/>
              </w:rPr>
            </w:pPr>
            <w:r w:rsidRPr="00B41651">
              <w:rPr>
                <w:rStyle w:val="rvts5"/>
                <w:rFonts w:asciiTheme="minorHAnsi" w:hAnsiTheme="minorHAnsi" w:cstheme="minorHAnsi"/>
                <w:sz w:val="26"/>
                <w:szCs w:val="26"/>
              </w:rPr>
              <w:t>Propuneri de numire/Numire în funcţia de judecător/procuror/Retragere/Promovări în</w:t>
            </w:r>
          </w:p>
          <w:p w14:paraId="0DAD8146" w14:textId="4CA6EAC0" w:rsidR="005A66B9" w:rsidRPr="00B41651" w:rsidRDefault="005A66B9" w:rsidP="009E3AD8">
            <w:pPr>
              <w:pStyle w:val="NormalWeb"/>
              <w:shd w:val="clear" w:color="auto" w:fill="FFFFFF"/>
              <w:spacing w:before="0" w:beforeAutospacing="0" w:after="0" w:afterAutospacing="0" w:line="276" w:lineRule="auto"/>
              <w:jc w:val="both"/>
              <w:rPr>
                <w:rStyle w:val="rvts5"/>
                <w:rFonts w:asciiTheme="minorHAnsi" w:hAnsiTheme="minorHAnsi" w:cstheme="minorHAnsi"/>
                <w:sz w:val="26"/>
                <w:szCs w:val="26"/>
              </w:rPr>
            </w:pPr>
            <w:r w:rsidRPr="00B41651">
              <w:rPr>
                <w:rStyle w:val="rvts5"/>
                <w:rFonts w:asciiTheme="minorHAnsi" w:hAnsiTheme="minorHAnsi" w:cstheme="minorHAnsi"/>
                <w:sz w:val="26"/>
                <w:szCs w:val="26"/>
              </w:rPr>
              <w:t>funcţii de execuţie/Reîncadrări</w:t>
            </w:r>
          </w:p>
        </w:tc>
        <w:tc>
          <w:tcPr>
            <w:tcW w:w="814" w:type="pct"/>
            <w:tcBorders>
              <w:top w:val="single" w:sz="4" w:space="0" w:color="auto"/>
              <w:left w:val="single" w:sz="4" w:space="0" w:color="auto"/>
              <w:bottom w:val="single" w:sz="4" w:space="0" w:color="auto"/>
              <w:right w:val="single" w:sz="4" w:space="0" w:color="auto"/>
            </w:tcBorders>
            <w:hideMark/>
          </w:tcPr>
          <w:p w14:paraId="54450CEE" w14:textId="77777777" w:rsidR="005A66B9" w:rsidRPr="00B41651" w:rsidRDefault="005A66B9" w:rsidP="009E3AD8">
            <w:pPr>
              <w:pStyle w:val="NormalWeb"/>
              <w:shd w:val="clear" w:color="auto" w:fill="FFFFFF"/>
              <w:spacing w:before="0" w:beforeAutospacing="0" w:after="0" w:afterAutospacing="0" w:line="276" w:lineRule="auto"/>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w:t>
            </w:r>
          </w:p>
        </w:tc>
        <w:tc>
          <w:tcPr>
            <w:tcW w:w="748" w:type="pct"/>
            <w:tcBorders>
              <w:top w:val="single" w:sz="4" w:space="0" w:color="auto"/>
              <w:left w:val="single" w:sz="4" w:space="0" w:color="auto"/>
              <w:bottom w:val="single" w:sz="4" w:space="0" w:color="auto"/>
              <w:right w:val="single" w:sz="4" w:space="0" w:color="auto"/>
            </w:tcBorders>
            <w:hideMark/>
          </w:tcPr>
          <w:p w14:paraId="780DF0A2" w14:textId="77777777" w:rsidR="005A66B9" w:rsidRPr="00B41651" w:rsidRDefault="005A66B9" w:rsidP="009E3AD8">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17</w:t>
            </w:r>
          </w:p>
        </w:tc>
        <w:tc>
          <w:tcPr>
            <w:tcW w:w="736" w:type="pct"/>
            <w:tcBorders>
              <w:top w:val="single" w:sz="4" w:space="0" w:color="auto"/>
              <w:left w:val="single" w:sz="4" w:space="0" w:color="auto"/>
              <w:bottom w:val="single" w:sz="4" w:space="0" w:color="auto"/>
              <w:right w:val="single" w:sz="4" w:space="0" w:color="auto"/>
            </w:tcBorders>
            <w:hideMark/>
          </w:tcPr>
          <w:p w14:paraId="49D55F74" w14:textId="77777777" w:rsidR="005A66B9" w:rsidRPr="00B41651" w:rsidRDefault="005A66B9" w:rsidP="009E3AD8">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9</w:t>
            </w:r>
          </w:p>
        </w:tc>
      </w:tr>
      <w:tr w:rsidR="00B41651" w:rsidRPr="00B41651" w14:paraId="622497F5" w14:textId="77777777" w:rsidTr="00B108BA">
        <w:trPr>
          <w:jc w:val="center"/>
        </w:trPr>
        <w:tc>
          <w:tcPr>
            <w:tcW w:w="2701" w:type="pct"/>
            <w:tcBorders>
              <w:top w:val="single" w:sz="4" w:space="0" w:color="auto"/>
              <w:left w:val="single" w:sz="4" w:space="0" w:color="auto"/>
              <w:bottom w:val="single" w:sz="4" w:space="0" w:color="auto"/>
              <w:right w:val="single" w:sz="4" w:space="0" w:color="auto"/>
            </w:tcBorders>
            <w:hideMark/>
          </w:tcPr>
          <w:p w14:paraId="26B8F43F" w14:textId="77777777" w:rsidR="00E75402" w:rsidRPr="00B41651" w:rsidRDefault="005A66B9" w:rsidP="009E3AD8">
            <w:pPr>
              <w:pStyle w:val="NormalWeb"/>
              <w:shd w:val="clear" w:color="auto" w:fill="FFFFFF"/>
              <w:spacing w:before="0" w:beforeAutospacing="0" w:after="0" w:afterAutospacing="0" w:line="276" w:lineRule="auto"/>
              <w:jc w:val="both"/>
              <w:rPr>
                <w:rStyle w:val="rvts5"/>
                <w:rFonts w:asciiTheme="minorHAnsi" w:hAnsiTheme="minorHAnsi" w:cstheme="minorHAnsi"/>
                <w:sz w:val="26"/>
                <w:szCs w:val="26"/>
              </w:rPr>
            </w:pPr>
            <w:r w:rsidRPr="00B41651">
              <w:rPr>
                <w:rStyle w:val="rvts5"/>
                <w:rFonts w:asciiTheme="minorHAnsi" w:hAnsiTheme="minorHAnsi" w:cstheme="minorHAnsi"/>
                <w:sz w:val="26"/>
                <w:szCs w:val="26"/>
              </w:rPr>
              <w:t>Eliberări din funcţie prin pensionare (judecător, procuror, magistrat asistent)/Renunţare la</w:t>
            </w:r>
          </w:p>
          <w:p w14:paraId="5022114E" w14:textId="49A70007" w:rsidR="005A66B9" w:rsidRPr="00B41651" w:rsidRDefault="005A66B9" w:rsidP="009E3AD8">
            <w:pPr>
              <w:pStyle w:val="NormalWeb"/>
              <w:shd w:val="clear" w:color="auto" w:fill="FFFFFF"/>
              <w:spacing w:before="0" w:beforeAutospacing="0" w:after="0" w:afterAutospacing="0" w:line="276" w:lineRule="auto"/>
              <w:jc w:val="both"/>
              <w:rPr>
                <w:rStyle w:val="rvts5"/>
                <w:rFonts w:asciiTheme="minorHAnsi" w:hAnsiTheme="minorHAnsi" w:cstheme="minorHAnsi"/>
                <w:sz w:val="26"/>
                <w:szCs w:val="26"/>
              </w:rPr>
            </w:pPr>
            <w:r w:rsidRPr="00B41651">
              <w:rPr>
                <w:rStyle w:val="rvts5"/>
                <w:rFonts w:asciiTheme="minorHAnsi" w:hAnsiTheme="minorHAnsi" w:cstheme="minorHAnsi"/>
                <w:sz w:val="26"/>
                <w:szCs w:val="26"/>
              </w:rPr>
              <w:t>pensionare/Suspendare pensionare</w:t>
            </w:r>
          </w:p>
        </w:tc>
        <w:tc>
          <w:tcPr>
            <w:tcW w:w="814" w:type="pct"/>
            <w:tcBorders>
              <w:top w:val="single" w:sz="4" w:space="0" w:color="auto"/>
              <w:left w:val="single" w:sz="4" w:space="0" w:color="auto"/>
              <w:bottom w:val="single" w:sz="4" w:space="0" w:color="auto"/>
              <w:right w:val="single" w:sz="4" w:space="0" w:color="auto"/>
            </w:tcBorders>
            <w:hideMark/>
          </w:tcPr>
          <w:p w14:paraId="45FECF01" w14:textId="77777777" w:rsidR="005A66B9" w:rsidRPr="00B41651" w:rsidRDefault="005A66B9" w:rsidP="009E3AD8">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w:t>
            </w:r>
          </w:p>
        </w:tc>
        <w:tc>
          <w:tcPr>
            <w:tcW w:w="748" w:type="pct"/>
            <w:tcBorders>
              <w:top w:val="single" w:sz="4" w:space="0" w:color="auto"/>
              <w:left w:val="single" w:sz="4" w:space="0" w:color="auto"/>
              <w:bottom w:val="single" w:sz="4" w:space="0" w:color="auto"/>
              <w:right w:val="single" w:sz="4" w:space="0" w:color="auto"/>
            </w:tcBorders>
            <w:hideMark/>
          </w:tcPr>
          <w:p w14:paraId="5B5821E4" w14:textId="4C76BCFA" w:rsidR="005A66B9" w:rsidRPr="00B41651" w:rsidRDefault="00474A18" w:rsidP="009E3AD8">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2</w:t>
            </w:r>
            <w:r w:rsidRPr="00B41651">
              <w:rPr>
                <w:rStyle w:val="rvts5"/>
                <w:rFonts w:cstheme="minorHAnsi"/>
                <w:sz w:val="26"/>
                <w:szCs w:val="26"/>
              </w:rPr>
              <w:t>09</w:t>
            </w:r>
          </w:p>
        </w:tc>
        <w:tc>
          <w:tcPr>
            <w:tcW w:w="736" w:type="pct"/>
            <w:tcBorders>
              <w:top w:val="single" w:sz="4" w:space="0" w:color="auto"/>
              <w:left w:val="single" w:sz="4" w:space="0" w:color="auto"/>
              <w:bottom w:val="single" w:sz="4" w:space="0" w:color="auto"/>
              <w:right w:val="single" w:sz="4" w:space="0" w:color="auto"/>
            </w:tcBorders>
            <w:hideMark/>
          </w:tcPr>
          <w:p w14:paraId="5F19216F" w14:textId="48C3305B" w:rsidR="005A66B9" w:rsidRPr="00B41651" w:rsidRDefault="00474A18" w:rsidP="009E3AD8">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7</w:t>
            </w:r>
            <w:r w:rsidRPr="00B41651">
              <w:rPr>
                <w:rStyle w:val="rvts5"/>
                <w:rFonts w:cstheme="minorHAnsi"/>
                <w:sz w:val="26"/>
                <w:szCs w:val="26"/>
              </w:rPr>
              <w:t>5</w:t>
            </w:r>
          </w:p>
        </w:tc>
      </w:tr>
      <w:tr w:rsidR="00B41651" w:rsidRPr="00B41651" w14:paraId="42D4636F" w14:textId="77777777" w:rsidTr="00B108BA">
        <w:trPr>
          <w:jc w:val="center"/>
        </w:trPr>
        <w:tc>
          <w:tcPr>
            <w:tcW w:w="2701" w:type="pct"/>
            <w:tcBorders>
              <w:top w:val="single" w:sz="4" w:space="0" w:color="auto"/>
              <w:left w:val="single" w:sz="4" w:space="0" w:color="auto"/>
              <w:bottom w:val="single" w:sz="4" w:space="0" w:color="auto"/>
              <w:right w:val="single" w:sz="4" w:space="0" w:color="auto"/>
            </w:tcBorders>
            <w:hideMark/>
          </w:tcPr>
          <w:p w14:paraId="30E67CC7" w14:textId="77777777" w:rsidR="005A66B9" w:rsidRPr="00B41651" w:rsidRDefault="005A66B9" w:rsidP="009E3AD8">
            <w:pPr>
              <w:pStyle w:val="NormalWeb"/>
              <w:shd w:val="clear" w:color="auto" w:fill="FFFFFF"/>
              <w:spacing w:before="0" w:beforeAutospacing="0" w:after="0" w:afterAutospacing="0" w:line="276" w:lineRule="auto"/>
              <w:jc w:val="both"/>
              <w:rPr>
                <w:rStyle w:val="rvts5"/>
                <w:rFonts w:asciiTheme="minorHAnsi" w:hAnsiTheme="minorHAnsi" w:cstheme="minorHAnsi"/>
                <w:sz w:val="26"/>
                <w:szCs w:val="26"/>
              </w:rPr>
            </w:pPr>
            <w:r w:rsidRPr="00B41651">
              <w:rPr>
                <w:rStyle w:val="rvts5"/>
                <w:rFonts w:asciiTheme="minorHAnsi" w:hAnsiTheme="minorHAnsi" w:cstheme="minorHAnsi"/>
                <w:sz w:val="26"/>
                <w:szCs w:val="26"/>
              </w:rPr>
              <w:t>Eliberări din funcţie prin demisie/Retragere</w:t>
            </w:r>
          </w:p>
        </w:tc>
        <w:tc>
          <w:tcPr>
            <w:tcW w:w="814" w:type="pct"/>
            <w:tcBorders>
              <w:top w:val="single" w:sz="4" w:space="0" w:color="auto"/>
              <w:left w:val="single" w:sz="4" w:space="0" w:color="auto"/>
              <w:bottom w:val="single" w:sz="4" w:space="0" w:color="auto"/>
              <w:right w:val="single" w:sz="4" w:space="0" w:color="auto"/>
            </w:tcBorders>
            <w:hideMark/>
          </w:tcPr>
          <w:p w14:paraId="154DB1EA" w14:textId="77777777" w:rsidR="005A66B9" w:rsidRPr="00B41651" w:rsidRDefault="005A66B9" w:rsidP="009E3AD8">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w:t>
            </w:r>
          </w:p>
        </w:tc>
        <w:tc>
          <w:tcPr>
            <w:tcW w:w="748" w:type="pct"/>
            <w:tcBorders>
              <w:top w:val="single" w:sz="4" w:space="0" w:color="auto"/>
              <w:left w:val="single" w:sz="4" w:space="0" w:color="auto"/>
              <w:bottom w:val="single" w:sz="4" w:space="0" w:color="auto"/>
              <w:right w:val="single" w:sz="4" w:space="0" w:color="auto"/>
            </w:tcBorders>
            <w:hideMark/>
          </w:tcPr>
          <w:p w14:paraId="60AF2CC1" w14:textId="77777777" w:rsidR="005A66B9" w:rsidRPr="00B41651" w:rsidRDefault="005A66B9" w:rsidP="009E3AD8">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3</w:t>
            </w:r>
          </w:p>
        </w:tc>
        <w:tc>
          <w:tcPr>
            <w:tcW w:w="736" w:type="pct"/>
            <w:tcBorders>
              <w:top w:val="single" w:sz="4" w:space="0" w:color="auto"/>
              <w:left w:val="single" w:sz="4" w:space="0" w:color="auto"/>
              <w:bottom w:val="single" w:sz="4" w:space="0" w:color="auto"/>
              <w:right w:val="single" w:sz="4" w:space="0" w:color="auto"/>
            </w:tcBorders>
            <w:hideMark/>
          </w:tcPr>
          <w:p w14:paraId="3B54E4A5" w14:textId="685607F4" w:rsidR="005A66B9" w:rsidRPr="00B41651" w:rsidRDefault="00474A18" w:rsidP="009E3AD8">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3</w:t>
            </w:r>
          </w:p>
        </w:tc>
      </w:tr>
      <w:tr w:rsidR="00B41651" w:rsidRPr="00B41651" w14:paraId="23018055" w14:textId="77777777" w:rsidTr="00B108BA">
        <w:trPr>
          <w:jc w:val="center"/>
        </w:trPr>
        <w:tc>
          <w:tcPr>
            <w:tcW w:w="2701" w:type="pct"/>
            <w:tcBorders>
              <w:top w:val="single" w:sz="4" w:space="0" w:color="auto"/>
              <w:left w:val="single" w:sz="4" w:space="0" w:color="auto"/>
              <w:bottom w:val="single" w:sz="4" w:space="0" w:color="auto"/>
              <w:right w:val="single" w:sz="4" w:space="0" w:color="auto"/>
            </w:tcBorders>
            <w:hideMark/>
          </w:tcPr>
          <w:p w14:paraId="68F77CD4" w14:textId="55BF6D8B" w:rsidR="005A66B9" w:rsidRPr="00B41651" w:rsidRDefault="005A66B9" w:rsidP="009E3AD8">
            <w:pPr>
              <w:pStyle w:val="NormalWeb"/>
              <w:shd w:val="clear" w:color="auto" w:fill="FFFFFF"/>
              <w:spacing w:before="0" w:beforeAutospacing="0" w:after="0" w:afterAutospacing="0" w:line="276" w:lineRule="auto"/>
              <w:jc w:val="both"/>
              <w:rPr>
                <w:rStyle w:val="rvts5"/>
                <w:rFonts w:asciiTheme="minorHAnsi" w:hAnsiTheme="minorHAnsi" w:cstheme="minorHAnsi"/>
                <w:sz w:val="26"/>
                <w:szCs w:val="26"/>
              </w:rPr>
            </w:pPr>
            <w:r w:rsidRPr="00B41651">
              <w:rPr>
                <w:rStyle w:val="rvts5"/>
                <w:rFonts w:asciiTheme="minorHAnsi" w:hAnsiTheme="minorHAnsi" w:cstheme="minorHAnsi"/>
                <w:sz w:val="26"/>
                <w:szCs w:val="26"/>
              </w:rPr>
              <w:t>Suspendare din funcţie/Încetare suspendare</w:t>
            </w:r>
          </w:p>
        </w:tc>
        <w:tc>
          <w:tcPr>
            <w:tcW w:w="814" w:type="pct"/>
            <w:tcBorders>
              <w:top w:val="single" w:sz="4" w:space="0" w:color="auto"/>
              <w:left w:val="single" w:sz="4" w:space="0" w:color="auto"/>
              <w:bottom w:val="single" w:sz="4" w:space="0" w:color="auto"/>
              <w:right w:val="single" w:sz="4" w:space="0" w:color="auto"/>
            </w:tcBorders>
            <w:hideMark/>
          </w:tcPr>
          <w:p w14:paraId="797CB33E" w14:textId="77777777" w:rsidR="005A66B9" w:rsidRPr="00B41651" w:rsidRDefault="005A66B9" w:rsidP="009E3AD8">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w:t>
            </w:r>
          </w:p>
        </w:tc>
        <w:tc>
          <w:tcPr>
            <w:tcW w:w="748" w:type="pct"/>
            <w:tcBorders>
              <w:top w:val="single" w:sz="4" w:space="0" w:color="auto"/>
              <w:left w:val="single" w:sz="4" w:space="0" w:color="auto"/>
              <w:bottom w:val="single" w:sz="4" w:space="0" w:color="auto"/>
              <w:right w:val="single" w:sz="4" w:space="0" w:color="auto"/>
            </w:tcBorders>
            <w:hideMark/>
          </w:tcPr>
          <w:p w14:paraId="3FF556BF" w14:textId="06B5C3A9" w:rsidR="005A66B9" w:rsidRPr="00B41651" w:rsidRDefault="00474A18" w:rsidP="009E3AD8">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1</w:t>
            </w:r>
            <w:r w:rsidRPr="00B41651">
              <w:rPr>
                <w:rStyle w:val="rvts5"/>
                <w:rFonts w:cstheme="minorHAnsi"/>
                <w:sz w:val="26"/>
                <w:szCs w:val="26"/>
              </w:rPr>
              <w:t>5</w:t>
            </w:r>
          </w:p>
        </w:tc>
        <w:tc>
          <w:tcPr>
            <w:tcW w:w="736" w:type="pct"/>
            <w:tcBorders>
              <w:top w:val="single" w:sz="4" w:space="0" w:color="auto"/>
              <w:left w:val="single" w:sz="4" w:space="0" w:color="auto"/>
              <w:bottom w:val="single" w:sz="4" w:space="0" w:color="auto"/>
              <w:right w:val="single" w:sz="4" w:space="0" w:color="auto"/>
            </w:tcBorders>
            <w:hideMark/>
          </w:tcPr>
          <w:p w14:paraId="420DB5BA" w14:textId="0E02D789" w:rsidR="005A66B9" w:rsidRPr="00B41651" w:rsidRDefault="00474A18" w:rsidP="009E3AD8">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7</w:t>
            </w:r>
          </w:p>
        </w:tc>
      </w:tr>
      <w:tr w:rsidR="00B41651" w:rsidRPr="00B41651" w14:paraId="0F8C09D3" w14:textId="77777777" w:rsidTr="00B108BA">
        <w:trPr>
          <w:trHeight w:val="827"/>
          <w:jc w:val="center"/>
        </w:trPr>
        <w:tc>
          <w:tcPr>
            <w:tcW w:w="2701" w:type="pct"/>
            <w:tcBorders>
              <w:top w:val="single" w:sz="4" w:space="0" w:color="auto"/>
              <w:left w:val="single" w:sz="4" w:space="0" w:color="auto"/>
              <w:bottom w:val="single" w:sz="4" w:space="0" w:color="auto"/>
              <w:right w:val="single" w:sz="4" w:space="0" w:color="auto"/>
            </w:tcBorders>
            <w:hideMark/>
          </w:tcPr>
          <w:p w14:paraId="0BA4F59A" w14:textId="6C47A77E" w:rsidR="005A66B9" w:rsidRPr="00B41651" w:rsidRDefault="005A66B9" w:rsidP="009E3AD8">
            <w:pPr>
              <w:pStyle w:val="NormalWeb"/>
              <w:shd w:val="clear" w:color="auto" w:fill="FFFFFF"/>
              <w:spacing w:before="0" w:beforeAutospacing="0" w:after="0" w:afterAutospacing="0" w:line="276" w:lineRule="auto"/>
              <w:jc w:val="both"/>
              <w:rPr>
                <w:rStyle w:val="rvts5"/>
                <w:rFonts w:asciiTheme="minorHAnsi" w:hAnsiTheme="minorHAnsi" w:cstheme="minorHAnsi"/>
                <w:sz w:val="26"/>
                <w:szCs w:val="26"/>
              </w:rPr>
            </w:pPr>
            <w:r w:rsidRPr="00B41651">
              <w:rPr>
                <w:rStyle w:val="rvts5"/>
                <w:rFonts w:asciiTheme="minorHAnsi" w:hAnsiTheme="minorHAnsi" w:cstheme="minorHAnsi"/>
                <w:sz w:val="26"/>
                <w:szCs w:val="26"/>
              </w:rPr>
              <w:t>Menţinere în funcţia de</w:t>
            </w:r>
            <w:r w:rsidR="00E75402" w:rsidRPr="00B41651">
              <w:rPr>
                <w:rStyle w:val="rvts5"/>
                <w:rFonts w:asciiTheme="minorHAnsi" w:hAnsiTheme="minorHAnsi" w:cstheme="minorHAnsi"/>
                <w:sz w:val="26"/>
                <w:szCs w:val="26"/>
              </w:rPr>
              <w:t xml:space="preserve"> </w:t>
            </w:r>
            <w:r w:rsidRPr="00B41651">
              <w:rPr>
                <w:rStyle w:val="rvts5"/>
                <w:rFonts w:asciiTheme="minorHAnsi" w:hAnsiTheme="minorHAnsi" w:cstheme="minorHAnsi"/>
                <w:sz w:val="26"/>
                <w:szCs w:val="26"/>
              </w:rPr>
              <w:t>judecător/procuror/</w:t>
            </w:r>
            <w:r w:rsidR="00E42FC4" w:rsidRPr="00B41651">
              <w:rPr>
                <w:rStyle w:val="rvts5"/>
                <w:rFonts w:asciiTheme="minorHAnsi" w:hAnsiTheme="minorHAnsi" w:cstheme="minorHAnsi"/>
                <w:sz w:val="26"/>
                <w:szCs w:val="26"/>
              </w:rPr>
              <w:t xml:space="preserve"> </w:t>
            </w:r>
            <w:r w:rsidRPr="00B41651">
              <w:rPr>
                <w:rStyle w:val="rvts5"/>
                <w:rFonts w:asciiTheme="minorHAnsi" w:hAnsiTheme="minorHAnsi" w:cstheme="minorHAnsi"/>
                <w:sz w:val="26"/>
                <w:szCs w:val="26"/>
              </w:rPr>
              <w:t>Retragere</w:t>
            </w:r>
          </w:p>
        </w:tc>
        <w:tc>
          <w:tcPr>
            <w:tcW w:w="814" w:type="pct"/>
            <w:tcBorders>
              <w:top w:val="single" w:sz="4" w:space="0" w:color="auto"/>
              <w:left w:val="single" w:sz="4" w:space="0" w:color="auto"/>
              <w:bottom w:val="single" w:sz="4" w:space="0" w:color="auto"/>
              <w:right w:val="single" w:sz="4" w:space="0" w:color="auto"/>
            </w:tcBorders>
            <w:hideMark/>
          </w:tcPr>
          <w:p w14:paraId="526EDBAD" w14:textId="77777777" w:rsidR="005A66B9" w:rsidRPr="00B41651" w:rsidRDefault="005A66B9" w:rsidP="009E3AD8">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w:t>
            </w:r>
          </w:p>
        </w:tc>
        <w:tc>
          <w:tcPr>
            <w:tcW w:w="748" w:type="pct"/>
            <w:tcBorders>
              <w:top w:val="single" w:sz="4" w:space="0" w:color="auto"/>
              <w:left w:val="single" w:sz="4" w:space="0" w:color="auto"/>
              <w:bottom w:val="single" w:sz="4" w:space="0" w:color="auto"/>
              <w:right w:val="single" w:sz="4" w:space="0" w:color="auto"/>
            </w:tcBorders>
            <w:hideMark/>
          </w:tcPr>
          <w:p w14:paraId="01EE67AC" w14:textId="734911D5" w:rsidR="005A66B9" w:rsidRPr="00B41651" w:rsidRDefault="00474A18" w:rsidP="009E3AD8">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1</w:t>
            </w:r>
            <w:r w:rsidRPr="00B41651">
              <w:rPr>
                <w:rStyle w:val="rvts5"/>
                <w:rFonts w:cstheme="minorHAnsi"/>
                <w:sz w:val="26"/>
                <w:szCs w:val="26"/>
              </w:rPr>
              <w:t>3</w:t>
            </w:r>
          </w:p>
        </w:tc>
        <w:tc>
          <w:tcPr>
            <w:tcW w:w="736" w:type="pct"/>
            <w:tcBorders>
              <w:top w:val="single" w:sz="4" w:space="0" w:color="auto"/>
              <w:left w:val="single" w:sz="4" w:space="0" w:color="auto"/>
              <w:bottom w:val="single" w:sz="4" w:space="0" w:color="auto"/>
              <w:right w:val="single" w:sz="4" w:space="0" w:color="auto"/>
            </w:tcBorders>
            <w:hideMark/>
          </w:tcPr>
          <w:p w14:paraId="320BF393" w14:textId="48E04DB5" w:rsidR="005A66B9" w:rsidRPr="00B41651" w:rsidRDefault="00474A18" w:rsidP="009E3AD8">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4</w:t>
            </w:r>
          </w:p>
        </w:tc>
      </w:tr>
      <w:tr w:rsidR="00B41651" w:rsidRPr="00B41651" w14:paraId="6882E8AB" w14:textId="77777777" w:rsidTr="00B108BA">
        <w:trPr>
          <w:jc w:val="center"/>
        </w:trPr>
        <w:tc>
          <w:tcPr>
            <w:tcW w:w="2701" w:type="pct"/>
            <w:tcBorders>
              <w:top w:val="single" w:sz="4" w:space="0" w:color="auto"/>
              <w:left w:val="single" w:sz="4" w:space="0" w:color="auto"/>
              <w:bottom w:val="single" w:sz="4" w:space="0" w:color="auto"/>
              <w:right w:val="single" w:sz="4" w:space="0" w:color="auto"/>
            </w:tcBorders>
            <w:hideMark/>
          </w:tcPr>
          <w:p w14:paraId="0A61AFB5" w14:textId="206F6378" w:rsidR="005A66B9" w:rsidRPr="00B41651" w:rsidRDefault="005A66B9" w:rsidP="009E3AD8">
            <w:pPr>
              <w:pStyle w:val="NormalWeb"/>
              <w:shd w:val="clear" w:color="auto" w:fill="FFFFFF"/>
              <w:spacing w:before="0" w:beforeAutospacing="0" w:after="0" w:afterAutospacing="0" w:line="276" w:lineRule="auto"/>
              <w:jc w:val="both"/>
              <w:rPr>
                <w:rStyle w:val="rvts5"/>
                <w:rFonts w:asciiTheme="minorHAnsi" w:hAnsiTheme="minorHAnsi" w:cstheme="minorHAnsi"/>
                <w:sz w:val="26"/>
                <w:szCs w:val="26"/>
              </w:rPr>
            </w:pPr>
            <w:r w:rsidRPr="00B41651">
              <w:rPr>
                <w:rStyle w:val="rvts5"/>
                <w:rFonts w:asciiTheme="minorHAnsi" w:hAnsiTheme="minorHAnsi" w:cstheme="minorHAnsi"/>
                <w:sz w:val="26"/>
                <w:szCs w:val="26"/>
              </w:rPr>
              <w:t>Numire/reînvestire în funcţii de conducere/</w:t>
            </w:r>
            <w:r w:rsidR="00E42FC4" w:rsidRPr="00B41651">
              <w:rPr>
                <w:rStyle w:val="rvts5"/>
                <w:rFonts w:asciiTheme="minorHAnsi" w:hAnsiTheme="minorHAnsi" w:cstheme="minorHAnsi"/>
                <w:sz w:val="26"/>
                <w:szCs w:val="26"/>
              </w:rPr>
              <w:t xml:space="preserve"> </w:t>
            </w:r>
            <w:r w:rsidRPr="00B41651">
              <w:rPr>
                <w:rStyle w:val="rvts5"/>
                <w:rFonts w:asciiTheme="minorHAnsi" w:hAnsiTheme="minorHAnsi" w:cstheme="minorHAnsi"/>
                <w:sz w:val="26"/>
                <w:szCs w:val="26"/>
              </w:rPr>
              <w:t>Retragere</w:t>
            </w:r>
          </w:p>
        </w:tc>
        <w:tc>
          <w:tcPr>
            <w:tcW w:w="814" w:type="pct"/>
            <w:tcBorders>
              <w:top w:val="single" w:sz="4" w:space="0" w:color="auto"/>
              <w:left w:val="single" w:sz="4" w:space="0" w:color="auto"/>
              <w:bottom w:val="single" w:sz="4" w:space="0" w:color="auto"/>
              <w:right w:val="single" w:sz="4" w:space="0" w:color="auto"/>
            </w:tcBorders>
            <w:hideMark/>
          </w:tcPr>
          <w:p w14:paraId="609E743D" w14:textId="77777777" w:rsidR="005A66B9" w:rsidRPr="00B41651" w:rsidRDefault="005A66B9" w:rsidP="009E3AD8">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w:t>
            </w:r>
          </w:p>
        </w:tc>
        <w:tc>
          <w:tcPr>
            <w:tcW w:w="748" w:type="pct"/>
            <w:tcBorders>
              <w:top w:val="single" w:sz="4" w:space="0" w:color="auto"/>
              <w:left w:val="single" w:sz="4" w:space="0" w:color="auto"/>
              <w:bottom w:val="single" w:sz="4" w:space="0" w:color="auto"/>
              <w:right w:val="single" w:sz="4" w:space="0" w:color="auto"/>
            </w:tcBorders>
            <w:hideMark/>
          </w:tcPr>
          <w:p w14:paraId="39DE3EEC" w14:textId="59C2D8F4" w:rsidR="005A66B9" w:rsidRPr="00B41651" w:rsidRDefault="00474A18" w:rsidP="009E3AD8">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6</w:t>
            </w:r>
            <w:r w:rsidRPr="00B41651">
              <w:rPr>
                <w:rStyle w:val="rvts5"/>
                <w:rFonts w:cstheme="minorHAnsi"/>
                <w:sz w:val="26"/>
                <w:szCs w:val="26"/>
              </w:rPr>
              <w:t>0</w:t>
            </w:r>
          </w:p>
        </w:tc>
        <w:tc>
          <w:tcPr>
            <w:tcW w:w="736" w:type="pct"/>
            <w:tcBorders>
              <w:top w:val="single" w:sz="4" w:space="0" w:color="auto"/>
              <w:left w:val="single" w:sz="4" w:space="0" w:color="auto"/>
              <w:bottom w:val="single" w:sz="4" w:space="0" w:color="auto"/>
              <w:right w:val="single" w:sz="4" w:space="0" w:color="auto"/>
            </w:tcBorders>
            <w:hideMark/>
          </w:tcPr>
          <w:p w14:paraId="1E20B9C1" w14:textId="77777777" w:rsidR="005A66B9" w:rsidRPr="00B41651" w:rsidRDefault="005A66B9" w:rsidP="009E3AD8">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80</w:t>
            </w:r>
          </w:p>
        </w:tc>
      </w:tr>
      <w:tr w:rsidR="00B41651" w:rsidRPr="00B41651" w14:paraId="23DC578D" w14:textId="77777777" w:rsidTr="00B108BA">
        <w:trPr>
          <w:jc w:val="center"/>
        </w:trPr>
        <w:tc>
          <w:tcPr>
            <w:tcW w:w="2701" w:type="pct"/>
            <w:tcBorders>
              <w:top w:val="single" w:sz="4" w:space="0" w:color="auto"/>
              <w:left w:val="single" w:sz="4" w:space="0" w:color="auto"/>
              <w:bottom w:val="single" w:sz="4" w:space="0" w:color="auto"/>
              <w:right w:val="single" w:sz="4" w:space="0" w:color="auto"/>
            </w:tcBorders>
            <w:hideMark/>
          </w:tcPr>
          <w:p w14:paraId="0124D3DF" w14:textId="77777777" w:rsidR="005A66B9" w:rsidRPr="00B41651" w:rsidRDefault="005A66B9" w:rsidP="009E3AD8">
            <w:pPr>
              <w:pStyle w:val="NormalWeb"/>
              <w:shd w:val="clear" w:color="auto" w:fill="FFFFFF"/>
              <w:spacing w:before="0" w:beforeAutospacing="0" w:after="0" w:afterAutospacing="0" w:line="276" w:lineRule="auto"/>
              <w:jc w:val="both"/>
              <w:rPr>
                <w:rStyle w:val="rvts5"/>
                <w:rFonts w:asciiTheme="minorHAnsi" w:hAnsiTheme="minorHAnsi" w:cstheme="minorHAnsi"/>
                <w:sz w:val="26"/>
                <w:szCs w:val="26"/>
              </w:rPr>
            </w:pPr>
            <w:r w:rsidRPr="00B41651">
              <w:rPr>
                <w:rStyle w:val="rvts5"/>
                <w:rFonts w:asciiTheme="minorHAnsi" w:hAnsiTheme="minorHAnsi" w:cstheme="minorHAnsi"/>
                <w:sz w:val="26"/>
                <w:szCs w:val="26"/>
              </w:rPr>
              <w:t xml:space="preserve">Promovare în funcţia de judecător la </w:t>
            </w:r>
          </w:p>
          <w:p w14:paraId="7CE0CD20" w14:textId="77777777" w:rsidR="005A66B9" w:rsidRPr="00B41651" w:rsidRDefault="005A66B9" w:rsidP="009E3AD8">
            <w:pPr>
              <w:pStyle w:val="NormalWeb"/>
              <w:shd w:val="clear" w:color="auto" w:fill="FFFFFF"/>
              <w:spacing w:before="0" w:beforeAutospacing="0" w:after="0" w:afterAutospacing="0" w:line="276" w:lineRule="auto"/>
              <w:jc w:val="both"/>
              <w:rPr>
                <w:rStyle w:val="rvts5"/>
                <w:rFonts w:asciiTheme="minorHAnsi" w:hAnsiTheme="minorHAnsi" w:cstheme="minorHAnsi"/>
                <w:sz w:val="26"/>
                <w:szCs w:val="26"/>
              </w:rPr>
            </w:pPr>
            <w:r w:rsidRPr="00B41651">
              <w:rPr>
                <w:rStyle w:val="rvts5"/>
                <w:rFonts w:asciiTheme="minorHAnsi" w:hAnsiTheme="minorHAnsi" w:cstheme="minorHAnsi"/>
                <w:sz w:val="26"/>
                <w:szCs w:val="26"/>
              </w:rPr>
              <w:t>Înalta Curte de Casaţie şi Justiţie</w:t>
            </w:r>
          </w:p>
        </w:tc>
        <w:tc>
          <w:tcPr>
            <w:tcW w:w="814" w:type="pct"/>
            <w:tcBorders>
              <w:top w:val="single" w:sz="4" w:space="0" w:color="auto"/>
              <w:left w:val="single" w:sz="4" w:space="0" w:color="auto"/>
              <w:bottom w:val="single" w:sz="4" w:space="0" w:color="auto"/>
              <w:right w:val="single" w:sz="4" w:space="0" w:color="auto"/>
            </w:tcBorders>
            <w:hideMark/>
          </w:tcPr>
          <w:p w14:paraId="572A50E4" w14:textId="77777777" w:rsidR="005A66B9" w:rsidRPr="00B41651" w:rsidRDefault="005A66B9" w:rsidP="009E3AD8">
            <w:pPr>
              <w:pStyle w:val="NormalWeb"/>
              <w:shd w:val="clear" w:color="auto" w:fill="FFFFFF"/>
              <w:spacing w:before="0" w:beforeAutospacing="0" w:after="0" w:afterAutospacing="0" w:line="276" w:lineRule="auto"/>
              <w:ind w:left="39"/>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w:t>
            </w:r>
          </w:p>
        </w:tc>
        <w:tc>
          <w:tcPr>
            <w:tcW w:w="748" w:type="pct"/>
            <w:tcBorders>
              <w:top w:val="single" w:sz="4" w:space="0" w:color="auto"/>
              <w:left w:val="single" w:sz="4" w:space="0" w:color="auto"/>
              <w:bottom w:val="single" w:sz="4" w:space="0" w:color="auto"/>
              <w:right w:val="single" w:sz="4" w:space="0" w:color="auto"/>
            </w:tcBorders>
            <w:hideMark/>
          </w:tcPr>
          <w:p w14:paraId="0D6E2169" w14:textId="18961717" w:rsidR="005A66B9" w:rsidRPr="00B41651" w:rsidRDefault="00474A18" w:rsidP="009E3AD8">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1</w:t>
            </w:r>
            <w:r w:rsidRPr="00B41651">
              <w:rPr>
                <w:rStyle w:val="rvts5"/>
                <w:rFonts w:cstheme="minorHAnsi"/>
                <w:sz w:val="26"/>
                <w:szCs w:val="26"/>
              </w:rPr>
              <w:t>0</w:t>
            </w:r>
          </w:p>
        </w:tc>
        <w:tc>
          <w:tcPr>
            <w:tcW w:w="736" w:type="pct"/>
            <w:tcBorders>
              <w:top w:val="single" w:sz="4" w:space="0" w:color="auto"/>
              <w:left w:val="single" w:sz="4" w:space="0" w:color="auto"/>
              <w:bottom w:val="single" w:sz="4" w:space="0" w:color="auto"/>
              <w:right w:val="single" w:sz="4" w:space="0" w:color="auto"/>
            </w:tcBorders>
          </w:tcPr>
          <w:p w14:paraId="55045FCE" w14:textId="77777777" w:rsidR="005A66B9" w:rsidRPr="00B41651" w:rsidRDefault="005A66B9" w:rsidP="00281400">
            <w:pPr>
              <w:pStyle w:val="NormalWeb"/>
              <w:numPr>
                <w:ilvl w:val="0"/>
                <w:numId w:val="13"/>
              </w:numPr>
              <w:shd w:val="clear" w:color="auto" w:fill="FFFFFF"/>
              <w:spacing w:before="0" w:beforeAutospacing="0" w:after="0" w:afterAutospacing="0" w:line="276" w:lineRule="auto"/>
              <w:ind w:left="0" w:firstLine="11"/>
              <w:jc w:val="center"/>
              <w:rPr>
                <w:rStyle w:val="rvts5"/>
                <w:rFonts w:asciiTheme="minorHAnsi" w:hAnsiTheme="minorHAnsi" w:cstheme="minorHAnsi"/>
                <w:sz w:val="26"/>
                <w:szCs w:val="26"/>
              </w:rPr>
            </w:pPr>
          </w:p>
        </w:tc>
      </w:tr>
      <w:tr w:rsidR="00B41651" w:rsidRPr="00B41651" w14:paraId="7D41795B" w14:textId="77777777" w:rsidTr="00B108BA">
        <w:trPr>
          <w:jc w:val="center"/>
        </w:trPr>
        <w:tc>
          <w:tcPr>
            <w:tcW w:w="2701" w:type="pct"/>
            <w:tcBorders>
              <w:top w:val="single" w:sz="4" w:space="0" w:color="auto"/>
              <w:left w:val="single" w:sz="4" w:space="0" w:color="auto"/>
              <w:bottom w:val="single" w:sz="4" w:space="0" w:color="auto"/>
              <w:right w:val="single" w:sz="4" w:space="0" w:color="auto"/>
            </w:tcBorders>
            <w:hideMark/>
          </w:tcPr>
          <w:p w14:paraId="57177D69" w14:textId="6F1B61D2" w:rsidR="005A66B9" w:rsidRPr="00B41651" w:rsidRDefault="005A66B9" w:rsidP="009E3AD8">
            <w:pPr>
              <w:pStyle w:val="NormalWeb"/>
              <w:shd w:val="clear" w:color="auto" w:fill="FFFFFF"/>
              <w:spacing w:before="0" w:beforeAutospacing="0" w:after="0" w:afterAutospacing="0" w:line="276" w:lineRule="auto"/>
              <w:jc w:val="both"/>
              <w:rPr>
                <w:rStyle w:val="rvts5"/>
                <w:rFonts w:asciiTheme="minorHAnsi" w:hAnsiTheme="minorHAnsi" w:cstheme="minorHAnsi"/>
                <w:sz w:val="26"/>
                <w:szCs w:val="26"/>
              </w:rPr>
            </w:pPr>
            <w:r w:rsidRPr="00B41651">
              <w:rPr>
                <w:rStyle w:val="rvts5"/>
                <w:rFonts w:asciiTheme="minorHAnsi" w:hAnsiTheme="minorHAnsi" w:cstheme="minorHAnsi"/>
                <w:sz w:val="26"/>
                <w:szCs w:val="26"/>
              </w:rPr>
              <w:t>Avizare numire</w:t>
            </w:r>
            <w:r w:rsidRPr="00B41651">
              <w:rPr>
                <w:rFonts w:asciiTheme="minorHAnsi" w:hAnsiTheme="minorHAnsi" w:cstheme="minorHAnsi"/>
                <w:sz w:val="26"/>
                <w:szCs w:val="26"/>
              </w:rPr>
              <w:t xml:space="preserve"> </w:t>
            </w:r>
            <w:r w:rsidRPr="00B41651">
              <w:rPr>
                <w:rStyle w:val="rvts5"/>
                <w:rFonts w:asciiTheme="minorHAnsi" w:hAnsiTheme="minorHAnsi" w:cstheme="minorHAnsi"/>
                <w:sz w:val="26"/>
                <w:szCs w:val="26"/>
              </w:rPr>
              <w:t>a procurorilor declaraţi admişi la D</w:t>
            </w:r>
            <w:r w:rsidR="00E75402" w:rsidRPr="00B41651">
              <w:rPr>
                <w:rStyle w:val="rvts5"/>
                <w:rFonts w:asciiTheme="minorHAnsi" w:hAnsiTheme="minorHAnsi" w:cstheme="minorHAnsi"/>
                <w:sz w:val="26"/>
                <w:szCs w:val="26"/>
              </w:rPr>
              <w:t>.</w:t>
            </w:r>
            <w:r w:rsidRPr="00B41651">
              <w:rPr>
                <w:rStyle w:val="rvts5"/>
                <w:rFonts w:asciiTheme="minorHAnsi" w:hAnsiTheme="minorHAnsi" w:cstheme="minorHAnsi"/>
                <w:sz w:val="26"/>
                <w:szCs w:val="26"/>
              </w:rPr>
              <w:t>N</w:t>
            </w:r>
            <w:r w:rsidR="00E75402" w:rsidRPr="00B41651">
              <w:rPr>
                <w:rStyle w:val="rvts5"/>
                <w:rFonts w:asciiTheme="minorHAnsi" w:hAnsiTheme="minorHAnsi" w:cstheme="minorHAnsi"/>
                <w:sz w:val="26"/>
                <w:szCs w:val="26"/>
              </w:rPr>
              <w:t>.</w:t>
            </w:r>
            <w:r w:rsidRPr="00B41651">
              <w:rPr>
                <w:rStyle w:val="rvts5"/>
                <w:rFonts w:asciiTheme="minorHAnsi" w:hAnsiTheme="minorHAnsi" w:cstheme="minorHAnsi"/>
                <w:sz w:val="26"/>
                <w:szCs w:val="26"/>
              </w:rPr>
              <w:t>A</w:t>
            </w:r>
            <w:r w:rsidR="00E75402" w:rsidRPr="00B41651">
              <w:rPr>
                <w:rStyle w:val="rvts5"/>
                <w:rFonts w:asciiTheme="minorHAnsi" w:hAnsiTheme="minorHAnsi" w:cstheme="minorHAnsi"/>
                <w:sz w:val="26"/>
                <w:szCs w:val="26"/>
              </w:rPr>
              <w:t>.</w:t>
            </w:r>
            <w:r w:rsidRPr="00B41651">
              <w:rPr>
                <w:rStyle w:val="rvts5"/>
                <w:rFonts w:asciiTheme="minorHAnsi" w:hAnsiTheme="minorHAnsi" w:cstheme="minorHAnsi"/>
                <w:sz w:val="26"/>
                <w:szCs w:val="26"/>
              </w:rPr>
              <w:t xml:space="preserve"> şi D</w:t>
            </w:r>
            <w:r w:rsidR="00E75402" w:rsidRPr="00B41651">
              <w:rPr>
                <w:rStyle w:val="rvts5"/>
                <w:rFonts w:asciiTheme="minorHAnsi" w:hAnsiTheme="minorHAnsi" w:cstheme="minorHAnsi"/>
                <w:sz w:val="26"/>
                <w:szCs w:val="26"/>
              </w:rPr>
              <w:t>.</w:t>
            </w:r>
            <w:r w:rsidRPr="00B41651">
              <w:rPr>
                <w:rStyle w:val="rvts5"/>
                <w:rFonts w:asciiTheme="minorHAnsi" w:hAnsiTheme="minorHAnsi" w:cstheme="minorHAnsi"/>
                <w:sz w:val="26"/>
                <w:szCs w:val="26"/>
              </w:rPr>
              <w:t>I</w:t>
            </w:r>
            <w:r w:rsidR="00E75402" w:rsidRPr="00B41651">
              <w:rPr>
                <w:rStyle w:val="rvts5"/>
                <w:rFonts w:asciiTheme="minorHAnsi" w:hAnsiTheme="minorHAnsi" w:cstheme="minorHAnsi"/>
                <w:sz w:val="26"/>
                <w:szCs w:val="26"/>
              </w:rPr>
              <w:t>.</w:t>
            </w:r>
            <w:r w:rsidRPr="00B41651">
              <w:rPr>
                <w:rStyle w:val="rvts5"/>
                <w:rFonts w:asciiTheme="minorHAnsi" w:hAnsiTheme="minorHAnsi" w:cstheme="minorHAnsi"/>
                <w:sz w:val="26"/>
                <w:szCs w:val="26"/>
              </w:rPr>
              <w:t>I</w:t>
            </w:r>
            <w:r w:rsidR="00E75402" w:rsidRPr="00B41651">
              <w:rPr>
                <w:rStyle w:val="rvts5"/>
                <w:rFonts w:asciiTheme="minorHAnsi" w:hAnsiTheme="minorHAnsi" w:cstheme="minorHAnsi"/>
                <w:sz w:val="26"/>
                <w:szCs w:val="26"/>
              </w:rPr>
              <w:t>.</w:t>
            </w:r>
            <w:r w:rsidRPr="00B41651">
              <w:rPr>
                <w:rStyle w:val="rvts5"/>
                <w:rFonts w:asciiTheme="minorHAnsi" w:hAnsiTheme="minorHAnsi" w:cstheme="minorHAnsi"/>
                <w:sz w:val="26"/>
                <w:szCs w:val="26"/>
              </w:rPr>
              <w:t>C</w:t>
            </w:r>
            <w:r w:rsidR="00E75402" w:rsidRPr="00B41651">
              <w:rPr>
                <w:rStyle w:val="rvts5"/>
                <w:rFonts w:asciiTheme="minorHAnsi" w:hAnsiTheme="minorHAnsi" w:cstheme="minorHAnsi"/>
                <w:sz w:val="26"/>
                <w:szCs w:val="26"/>
              </w:rPr>
              <w:t>.</w:t>
            </w:r>
            <w:r w:rsidRPr="00B41651">
              <w:rPr>
                <w:rStyle w:val="rvts5"/>
                <w:rFonts w:asciiTheme="minorHAnsi" w:hAnsiTheme="minorHAnsi" w:cstheme="minorHAnsi"/>
                <w:sz w:val="26"/>
                <w:szCs w:val="26"/>
              </w:rPr>
              <w:t>O</w:t>
            </w:r>
            <w:r w:rsidR="00E75402" w:rsidRPr="00B41651">
              <w:rPr>
                <w:rStyle w:val="rvts5"/>
                <w:rFonts w:asciiTheme="minorHAnsi" w:hAnsiTheme="minorHAnsi" w:cstheme="minorHAnsi"/>
                <w:sz w:val="26"/>
                <w:szCs w:val="26"/>
              </w:rPr>
              <w:t>.</w:t>
            </w:r>
            <w:r w:rsidRPr="00B41651">
              <w:rPr>
                <w:rStyle w:val="rvts5"/>
                <w:rFonts w:asciiTheme="minorHAnsi" w:hAnsiTheme="minorHAnsi" w:cstheme="minorHAnsi"/>
                <w:sz w:val="26"/>
                <w:szCs w:val="26"/>
              </w:rPr>
              <w:t>T</w:t>
            </w:r>
            <w:r w:rsidR="00E75402" w:rsidRPr="00B41651">
              <w:rPr>
                <w:rStyle w:val="rvts5"/>
                <w:rFonts w:asciiTheme="minorHAnsi" w:hAnsiTheme="minorHAnsi" w:cstheme="minorHAnsi"/>
                <w:sz w:val="26"/>
                <w:szCs w:val="26"/>
              </w:rPr>
              <w:t>.</w:t>
            </w:r>
          </w:p>
        </w:tc>
        <w:tc>
          <w:tcPr>
            <w:tcW w:w="814" w:type="pct"/>
            <w:tcBorders>
              <w:top w:val="single" w:sz="4" w:space="0" w:color="auto"/>
              <w:left w:val="single" w:sz="4" w:space="0" w:color="auto"/>
              <w:bottom w:val="single" w:sz="4" w:space="0" w:color="auto"/>
              <w:right w:val="single" w:sz="4" w:space="0" w:color="auto"/>
            </w:tcBorders>
            <w:hideMark/>
          </w:tcPr>
          <w:p w14:paraId="3B330008" w14:textId="77777777" w:rsidR="005A66B9" w:rsidRPr="00B41651" w:rsidRDefault="005A66B9" w:rsidP="009E3AD8">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w:t>
            </w:r>
          </w:p>
        </w:tc>
        <w:tc>
          <w:tcPr>
            <w:tcW w:w="748" w:type="pct"/>
            <w:tcBorders>
              <w:top w:val="single" w:sz="4" w:space="0" w:color="auto"/>
              <w:left w:val="single" w:sz="4" w:space="0" w:color="auto"/>
              <w:bottom w:val="single" w:sz="4" w:space="0" w:color="auto"/>
              <w:right w:val="single" w:sz="4" w:space="0" w:color="auto"/>
            </w:tcBorders>
          </w:tcPr>
          <w:p w14:paraId="2E951969" w14:textId="77777777" w:rsidR="005A66B9" w:rsidRPr="00B41651" w:rsidRDefault="005A66B9" w:rsidP="009E3AD8">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w:t>
            </w:r>
          </w:p>
        </w:tc>
        <w:tc>
          <w:tcPr>
            <w:tcW w:w="736" w:type="pct"/>
            <w:tcBorders>
              <w:top w:val="single" w:sz="4" w:space="0" w:color="auto"/>
              <w:left w:val="single" w:sz="4" w:space="0" w:color="auto"/>
              <w:bottom w:val="single" w:sz="4" w:space="0" w:color="auto"/>
              <w:right w:val="single" w:sz="4" w:space="0" w:color="auto"/>
            </w:tcBorders>
            <w:hideMark/>
          </w:tcPr>
          <w:p w14:paraId="28FC9734" w14:textId="1C948EF5" w:rsidR="005A66B9" w:rsidRPr="00B41651" w:rsidRDefault="00474A18" w:rsidP="009E3AD8">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4</w:t>
            </w:r>
          </w:p>
        </w:tc>
      </w:tr>
      <w:tr w:rsidR="00B41651" w:rsidRPr="00B41651" w14:paraId="323EA248" w14:textId="77777777" w:rsidTr="00B108BA">
        <w:trPr>
          <w:jc w:val="center"/>
        </w:trPr>
        <w:tc>
          <w:tcPr>
            <w:tcW w:w="2701" w:type="pct"/>
            <w:tcBorders>
              <w:top w:val="single" w:sz="4" w:space="0" w:color="auto"/>
              <w:left w:val="single" w:sz="4" w:space="0" w:color="auto"/>
              <w:bottom w:val="single" w:sz="4" w:space="0" w:color="auto"/>
              <w:right w:val="single" w:sz="4" w:space="0" w:color="auto"/>
            </w:tcBorders>
            <w:hideMark/>
          </w:tcPr>
          <w:p w14:paraId="53D9A599" w14:textId="77777777" w:rsidR="005A66B9" w:rsidRPr="00B41651" w:rsidRDefault="005A66B9" w:rsidP="009E3AD8">
            <w:pPr>
              <w:pStyle w:val="NormalWeb"/>
              <w:shd w:val="clear" w:color="auto" w:fill="FFFFFF"/>
              <w:spacing w:before="0" w:beforeAutospacing="0" w:after="0" w:afterAutospacing="0" w:line="276" w:lineRule="auto"/>
              <w:jc w:val="both"/>
              <w:rPr>
                <w:rStyle w:val="rvts5"/>
                <w:rFonts w:asciiTheme="minorHAnsi" w:hAnsiTheme="minorHAnsi" w:cstheme="minorHAnsi"/>
                <w:sz w:val="26"/>
                <w:szCs w:val="26"/>
              </w:rPr>
            </w:pPr>
            <w:r w:rsidRPr="00B41651">
              <w:rPr>
                <w:rStyle w:val="rvts5"/>
                <w:rFonts w:asciiTheme="minorHAnsi" w:hAnsiTheme="minorHAnsi" w:cstheme="minorHAnsi"/>
                <w:sz w:val="26"/>
                <w:szCs w:val="26"/>
              </w:rPr>
              <w:lastRenderedPageBreak/>
              <w:t>Transfer</w:t>
            </w:r>
          </w:p>
        </w:tc>
        <w:tc>
          <w:tcPr>
            <w:tcW w:w="814" w:type="pct"/>
            <w:tcBorders>
              <w:top w:val="single" w:sz="4" w:space="0" w:color="auto"/>
              <w:left w:val="single" w:sz="4" w:space="0" w:color="auto"/>
              <w:bottom w:val="single" w:sz="4" w:space="0" w:color="auto"/>
              <w:right w:val="single" w:sz="4" w:space="0" w:color="auto"/>
            </w:tcBorders>
            <w:hideMark/>
          </w:tcPr>
          <w:p w14:paraId="5FB2BD11" w14:textId="77777777" w:rsidR="005A66B9" w:rsidRPr="00B41651" w:rsidRDefault="005A66B9" w:rsidP="009E3AD8">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w:t>
            </w:r>
          </w:p>
        </w:tc>
        <w:tc>
          <w:tcPr>
            <w:tcW w:w="748" w:type="pct"/>
            <w:tcBorders>
              <w:top w:val="single" w:sz="4" w:space="0" w:color="auto"/>
              <w:left w:val="single" w:sz="4" w:space="0" w:color="auto"/>
              <w:bottom w:val="single" w:sz="4" w:space="0" w:color="auto"/>
              <w:right w:val="single" w:sz="4" w:space="0" w:color="auto"/>
            </w:tcBorders>
            <w:hideMark/>
          </w:tcPr>
          <w:p w14:paraId="670C10E3" w14:textId="096BFE76" w:rsidR="005A66B9" w:rsidRPr="00B41651" w:rsidRDefault="003F7953" w:rsidP="009E3AD8">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sz w:val="26"/>
                <w:szCs w:val="26"/>
                <w:lang w:val="en-US"/>
              </w:rPr>
            </w:pPr>
            <w:r w:rsidRPr="00B41651">
              <w:rPr>
                <w:rStyle w:val="rvts5"/>
                <w:rFonts w:asciiTheme="minorHAnsi" w:hAnsiTheme="minorHAnsi" w:cstheme="minorHAnsi"/>
                <w:sz w:val="26"/>
                <w:szCs w:val="26"/>
              </w:rPr>
              <w:t>8</w:t>
            </w:r>
            <w:r w:rsidRPr="00B41651">
              <w:rPr>
                <w:rStyle w:val="rvts5"/>
                <w:rFonts w:cstheme="minorHAnsi"/>
                <w:sz w:val="26"/>
                <w:szCs w:val="26"/>
              </w:rPr>
              <w:t>76</w:t>
            </w:r>
          </w:p>
        </w:tc>
        <w:tc>
          <w:tcPr>
            <w:tcW w:w="736" w:type="pct"/>
            <w:tcBorders>
              <w:top w:val="single" w:sz="4" w:space="0" w:color="auto"/>
              <w:left w:val="single" w:sz="4" w:space="0" w:color="auto"/>
              <w:bottom w:val="single" w:sz="4" w:space="0" w:color="auto"/>
              <w:right w:val="single" w:sz="4" w:space="0" w:color="auto"/>
            </w:tcBorders>
            <w:hideMark/>
          </w:tcPr>
          <w:p w14:paraId="54F0BAE4" w14:textId="1CF6E780" w:rsidR="005A66B9" w:rsidRPr="00B41651" w:rsidRDefault="005A66B9" w:rsidP="009E3AD8">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1</w:t>
            </w:r>
            <w:r w:rsidR="003F7953" w:rsidRPr="00B41651">
              <w:rPr>
                <w:rStyle w:val="rvts5"/>
                <w:rFonts w:asciiTheme="minorHAnsi" w:hAnsiTheme="minorHAnsi" w:cstheme="minorHAnsi"/>
                <w:sz w:val="26"/>
                <w:szCs w:val="26"/>
              </w:rPr>
              <w:t>5</w:t>
            </w:r>
            <w:r w:rsidR="003F7953" w:rsidRPr="00B41651">
              <w:rPr>
                <w:rStyle w:val="rvts5"/>
                <w:rFonts w:cstheme="minorHAnsi"/>
                <w:sz w:val="26"/>
                <w:szCs w:val="26"/>
              </w:rPr>
              <w:t>9</w:t>
            </w:r>
          </w:p>
        </w:tc>
      </w:tr>
      <w:tr w:rsidR="00B41651" w:rsidRPr="00B41651" w14:paraId="011787D1" w14:textId="77777777" w:rsidTr="00B108BA">
        <w:trPr>
          <w:jc w:val="center"/>
        </w:trPr>
        <w:tc>
          <w:tcPr>
            <w:tcW w:w="2701" w:type="pct"/>
            <w:tcBorders>
              <w:top w:val="single" w:sz="4" w:space="0" w:color="auto"/>
              <w:left w:val="single" w:sz="4" w:space="0" w:color="auto"/>
              <w:bottom w:val="single" w:sz="4" w:space="0" w:color="auto"/>
              <w:right w:val="single" w:sz="4" w:space="0" w:color="auto"/>
            </w:tcBorders>
            <w:hideMark/>
          </w:tcPr>
          <w:p w14:paraId="27E47BC0" w14:textId="64D45DAC" w:rsidR="005A66B9" w:rsidRPr="00B41651" w:rsidRDefault="005A66B9" w:rsidP="009E3AD8">
            <w:pPr>
              <w:pStyle w:val="NormalWeb"/>
              <w:shd w:val="clear" w:color="auto" w:fill="FFFFFF"/>
              <w:spacing w:before="0" w:beforeAutospacing="0" w:after="0" w:afterAutospacing="0" w:line="276" w:lineRule="auto"/>
              <w:jc w:val="both"/>
              <w:rPr>
                <w:rStyle w:val="rvts5"/>
                <w:rFonts w:asciiTheme="minorHAnsi" w:hAnsiTheme="minorHAnsi" w:cstheme="minorHAnsi"/>
                <w:sz w:val="26"/>
                <w:szCs w:val="26"/>
              </w:rPr>
            </w:pPr>
            <w:r w:rsidRPr="00B41651">
              <w:rPr>
                <w:rStyle w:val="rvts5"/>
                <w:rFonts w:asciiTheme="minorHAnsi" w:hAnsiTheme="minorHAnsi" w:cstheme="minorHAnsi"/>
                <w:sz w:val="26"/>
                <w:szCs w:val="26"/>
              </w:rPr>
              <w:t>Detaşare instanţe/parchet; Prelungire detaşare instanţe/parchete; Delegare funcţii de execuţie la instanţe/parchete; Prelungire delegare în funcţii de execuţie la instanţe/parchete; Încetare delegare în funcţii de execuţie la instanţe/</w:t>
            </w:r>
            <w:r w:rsidR="00E42FC4" w:rsidRPr="00B41651">
              <w:rPr>
                <w:rStyle w:val="rvts5"/>
                <w:rFonts w:asciiTheme="minorHAnsi" w:hAnsiTheme="minorHAnsi" w:cstheme="minorHAnsi"/>
                <w:sz w:val="26"/>
                <w:szCs w:val="26"/>
              </w:rPr>
              <w:t xml:space="preserve"> </w:t>
            </w:r>
            <w:r w:rsidRPr="00B41651">
              <w:rPr>
                <w:rStyle w:val="rvts5"/>
                <w:rFonts w:asciiTheme="minorHAnsi" w:hAnsiTheme="minorHAnsi" w:cstheme="minorHAnsi"/>
                <w:sz w:val="26"/>
                <w:szCs w:val="26"/>
              </w:rPr>
              <w:t>parchete/Retragere</w:t>
            </w:r>
          </w:p>
        </w:tc>
        <w:tc>
          <w:tcPr>
            <w:tcW w:w="814" w:type="pct"/>
            <w:tcBorders>
              <w:top w:val="single" w:sz="4" w:space="0" w:color="auto"/>
              <w:left w:val="single" w:sz="4" w:space="0" w:color="auto"/>
              <w:bottom w:val="single" w:sz="4" w:space="0" w:color="auto"/>
              <w:right w:val="single" w:sz="4" w:space="0" w:color="auto"/>
            </w:tcBorders>
            <w:hideMark/>
          </w:tcPr>
          <w:p w14:paraId="036C3531" w14:textId="77777777" w:rsidR="005A66B9" w:rsidRPr="00B41651" w:rsidRDefault="005A66B9" w:rsidP="009E3AD8">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w:t>
            </w:r>
          </w:p>
        </w:tc>
        <w:tc>
          <w:tcPr>
            <w:tcW w:w="748" w:type="pct"/>
            <w:tcBorders>
              <w:top w:val="single" w:sz="4" w:space="0" w:color="auto"/>
              <w:left w:val="single" w:sz="4" w:space="0" w:color="auto"/>
              <w:bottom w:val="single" w:sz="4" w:space="0" w:color="auto"/>
              <w:right w:val="single" w:sz="4" w:space="0" w:color="auto"/>
            </w:tcBorders>
            <w:hideMark/>
          </w:tcPr>
          <w:p w14:paraId="6941545E" w14:textId="36143FF5" w:rsidR="005A66B9" w:rsidRPr="00B41651" w:rsidRDefault="003F7953" w:rsidP="009E3AD8">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2</w:t>
            </w:r>
            <w:r w:rsidRPr="00B41651">
              <w:rPr>
                <w:rStyle w:val="rvts5"/>
                <w:rFonts w:cstheme="minorHAnsi"/>
                <w:sz w:val="26"/>
                <w:szCs w:val="26"/>
              </w:rPr>
              <w:t>0</w:t>
            </w:r>
          </w:p>
        </w:tc>
        <w:tc>
          <w:tcPr>
            <w:tcW w:w="736" w:type="pct"/>
            <w:tcBorders>
              <w:top w:val="single" w:sz="4" w:space="0" w:color="auto"/>
              <w:left w:val="single" w:sz="4" w:space="0" w:color="auto"/>
              <w:bottom w:val="single" w:sz="4" w:space="0" w:color="auto"/>
              <w:right w:val="single" w:sz="4" w:space="0" w:color="auto"/>
            </w:tcBorders>
          </w:tcPr>
          <w:p w14:paraId="0A4E8380" w14:textId="77777777" w:rsidR="005A66B9" w:rsidRPr="00B41651" w:rsidRDefault="005A66B9" w:rsidP="009E3AD8">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w:t>
            </w:r>
          </w:p>
        </w:tc>
      </w:tr>
      <w:tr w:rsidR="00B41651" w:rsidRPr="00B41651" w14:paraId="149748DA" w14:textId="77777777" w:rsidTr="00B108BA">
        <w:trPr>
          <w:jc w:val="center"/>
        </w:trPr>
        <w:tc>
          <w:tcPr>
            <w:tcW w:w="2701" w:type="pct"/>
            <w:tcBorders>
              <w:top w:val="single" w:sz="4" w:space="0" w:color="auto"/>
              <w:left w:val="single" w:sz="4" w:space="0" w:color="auto"/>
              <w:bottom w:val="single" w:sz="4" w:space="0" w:color="auto"/>
              <w:right w:val="single" w:sz="4" w:space="0" w:color="auto"/>
            </w:tcBorders>
            <w:hideMark/>
          </w:tcPr>
          <w:p w14:paraId="7EC206E2" w14:textId="77777777" w:rsidR="005A66B9" w:rsidRPr="00B41651" w:rsidRDefault="005A66B9" w:rsidP="009E3AD8">
            <w:pPr>
              <w:pStyle w:val="NormalWeb"/>
              <w:shd w:val="clear" w:color="auto" w:fill="FFFFFF"/>
              <w:spacing w:before="0" w:beforeAutospacing="0" w:after="0" w:afterAutospacing="0" w:line="276" w:lineRule="auto"/>
              <w:jc w:val="both"/>
              <w:rPr>
                <w:rStyle w:val="rvts5"/>
                <w:rFonts w:asciiTheme="minorHAnsi" w:hAnsiTheme="minorHAnsi" w:cstheme="minorHAnsi"/>
                <w:sz w:val="26"/>
                <w:szCs w:val="26"/>
              </w:rPr>
            </w:pPr>
            <w:r w:rsidRPr="00B41651">
              <w:rPr>
                <w:rStyle w:val="rvts5"/>
                <w:rFonts w:asciiTheme="minorHAnsi" w:hAnsiTheme="minorHAnsi" w:cstheme="minorHAnsi"/>
                <w:sz w:val="26"/>
                <w:szCs w:val="26"/>
              </w:rPr>
              <w:t>Prelungire detaşare instituţii/Detaşare la alte instituţii/Încetare detaşare instituţii/Retragere</w:t>
            </w:r>
          </w:p>
        </w:tc>
        <w:tc>
          <w:tcPr>
            <w:tcW w:w="814" w:type="pct"/>
            <w:tcBorders>
              <w:top w:val="single" w:sz="4" w:space="0" w:color="auto"/>
              <w:left w:val="single" w:sz="4" w:space="0" w:color="auto"/>
              <w:bottom w:val="single" w:sz="4" w:space="0" w:color="auto"/>
              <w:right w:val="single" w:sz="4" w:space="0" w:color="auto"/>
            </w:tcBorders>
            <w:hideMark/>
          </w:tcPr>
          <w:p w14:paraId="748F0183" w14:textId="77777777" w:rsidR="005A66B9" w:rsidRPr="00B41651" w:rsidRDefault="005A66B9" w:rsidP="009E3AD8">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w:t>
            </w:r>
          </w:p>
        </w:tc>
        <w:tc>
          <w:tcPr>
            <w:tcW w:w="748" w:type="pct"/>
            <w:tcBorders>
              <w:top w:val="single" w:sz="4" w:space="0" w:color="auto"/>
              <w:left w:val="single" w:sz="4" w:space="0" w:color="auto"/>
              <w:bottom w:val="single" w:sz="4" w:space="0" w:color="auto"/>
              <w:right w:val="single" w:sz="4" w:space="0" w:color="auto"/>
            </w:tcBorders>
            <w:hideMark/>
          </w:tcPr>
          <w:p w14:paraId="2D39FC3F" w14:textId="792C7852" w:rsidR="005A66B9" w:rsidRPr="00B41651" w:rsidRDefault="003F7953" w:rsidP="009E3AD8">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3</w:t>
            </w:r>
            <w:r w:rsidRPr="00B41651">
              <w:rPr>
                <w:rStyle w:val="rvts5"/>
                <w:rFonts w:cstheme="minorHAnsi"/>
                <w:sz w:val="26"/>
                <w:szCs w:val="26"/>
              </w:rPr>
              <w:t>2</w:t>
            </w:r>
          </w:p>
        </w:tc>
        <w:tc>
          <w:tcPr>
            <w:tcW w:w="736" w:type="pct"/>
            <w:tcBorders>
              <w:top w:val="single" w:sz="4" w:space="0" w:color="auto"/>
              <w:left w:val="single" w:sz="4" w:space="0" w:color="auto"/>
              <w:bottom w:val="single" w:sz="4" w:space="0" w:color="auto"/>
              <w:right w:val="single" w:sz="4" w:space="0" w:color="auto"/>
            </w:tcBorders>
          </w:tcPr>
          <w:p w14:paraId="248EC7E4" w14:textId="77777777" w:rsidR="005A66B9" w:rsidRPr="00B41651" w:rsidRDefault="005A66B9" w:rsidP="009E3AD8">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sz w:val="26"/>
                <w:szCs w:val="26"/>
              </w:rPr>
            </w:pPr>
          </w:p>
        </w:tc>
      </w:tr>
      <w:tr w:rsidR="00B41651" w:rsidRPr="00B41651" w14:paraId="60D281D3" w14:textId="77777777" w:rsidTr="00B108BA">
        <w:trPr>
          <w:jc w:val="center"/>
        </w:trPr>
        <w:tc>
          <w:tcPr>
            <w:tcW w:w="2701" w:type="pct"/>
            <w:tcBorders>
              <w:top w:val="single" w:sz="4" w:space="0" w:color="auto"/>
              <w:left w:val="single" w:sz="4" w:space="0" w:color="auto"/>
              <w:bottom w:val="single" w:sz="4" w:space="0" w:color="auto"/>
              <w:right w:val="single" w:sz="4" w:space="0" w:color="auto"/>
            </w:tcBorders>
            <w:hideMark/>
          </w:tcPr>
          <w:p w14:paraId="0AD29091" w14:textId="77777777" w:rsidR="005A66B9" w:rsidRPr="00B41651" w:rsidRDefault="005A66B9" w:rsidP="009E3AD8">
            <w:pPr>
              <w:pStyle w:val="NormalWeb"/>
              <w:shd w:val="clear" w:color="auto" w:fill="FFFFFF"/>
              <w:spacing w:before="0" w:beforeAutospacing="0" w:after="0" w:afterAutospacing="0" w:line="276" w:lineRule="auto"/>
              <w:jc w:val="both"/>
              <w:rPr>
                <w:rStyle w:val="rvts5"/>
                <w:rFonts w:asciiTheme="minorHAnsi" w:hAnsiTheme="minorHAnsi" w:cstheme="minorHAnsi"/>
                <w:sz w:val="26"/>
                <w:szCs w:val="26"/>
              </w:rPr>
            </w:pPr>
            <w:r w:rsidRPr="00B41651">
              <w:rPr>
                <w:rStyle w:val="rvts5"/>
                <w:rFonts w:asciiTheme="minorHAnsi" w:hAnsiTheme="minorHAnsi" w:cstheme="minorHAnsi"/>
                <w:sz w:val="26"/>
                <w:szCs w:val="26"/>
              </w:rPr>
              <w:t>Delegare în funcţii de conducere/Încetare delegare în funcţii de conducere/Retragere</w:t>
            </w:r>
          </w:p>
        </w:tc>
        <w:tc>
          <w:tcPr>
            <w:tcW w:w="814" w:type="pct"/>
            <w:tcBorders>
              <w:top w:val="single" w:sz="4" w:space="0" w:color="auto"/>
              <w:left w:val="single" w:sz="4" w:space="0" w:color="auto"/>
              <w:bottom w:val="single" w:sz="4" w:space="0" w:color="auto"/>
              <w:right w:val="single" w:sz="4" w:space="0" w:color="auto"/>
            </w:tcBorders>
            <w:hideMark/>
          </w:tcPr>
          <w:p w14:paraId="4B00B516" w14:textId="77777777" w:rsidR="005A66B9" w:rsidRPr="00B41651" w:rsidRDefault="005A66B9" w:rsidP="009E3AD8">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w:t>
            </w:r>
          </w:p>
        </w:tc>
        <w:tc>
          <w:tcPr>
            <w:tcW w:w="748" w:type="pct"/>
            <w:tcBorders>
              <w:top w:val="single" w:sz="4" w:space="0" w:color="auto"/>
              <w:left w:val="single" w:sz="4" w:space="0" w:color="auto"/>
              <w:bottom w:val="single" w:sz="4" w:space="0" w:color="auto"/>
              <w:right w:val="single" w:sz="4" w:space="0" w:color="auto"/>
            </w:tcBorders>
            <w:hideMark/>
          </w:tcPr>
          <w:p w14:paraId="752FDF7C" w14:textId="256175B9" w:rsidR="005A66B9" w:rsidRPr="00B41651" w:rsidRDefault="003F7953" w:rsidP="009E3AD8">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3</w:t>
            </w:r>
            <w:r w:rsidRPr="00B41651">
              <w:rPr>
                <w:rStyle w:val="rvts5"/>
                <w:rFonts w:cstheme="minorHAnsi"/>
                <w:sz w:val="26"/>
                <w:szCs w:val="26"/>
              </w:rPr>
              <w:t>49</w:t>
            </w:r>
          </w:p>
        </w:tc>
        <w:tc>
          <w:tcPr>
            <w:tcW w:w="736" w:type="pct"/>
            <w:tcBorders>
              <w:top w:val="single" w:sz="4" w:space="0" w:color="auto"/>
              <w:left w:val="single" w:sz="4" w:space="0" w:color="auto"/>
              <w:bottom w:val="single" w:sz="4" w:space="0" w:color="auto"/>
              <w:right w:val="single" w:sz="4" w:space="0" w:color="auto"/>
            </w:tcBorders>
            <w:hideMark/>
          </w:tcPr>
          <w:p w14:paraId="489D97B9" w14:textId="44F09D59" w:rsidR="005A66B9" w:rsidRPr="00B41651" w:rsidRDefault="00302D37" w:rsidP="009E3AD8">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2</w:t>
            </w:r>
            <w:r w:rsidRPr="00B41651">
              <w:rPr>
                <w:rStyle w:val="rvts5"/>
                <w:rFonts w:cstheme="minorHAnsi"/>
                <w:sz w:val="26"/>
                <w:szCs w:val="26"/>
              </w:rPr>
              <w:t>38</w:t>
            </w:r>
          </w:p>
        </w:tc>
      </w:tr>
      <w:tr w:rsidR="00B41651" w:rsidRPr="00B41651" w14:paraId="0A99A56B" w14:textId="77777777" w:rsidTr="00B108BA">
        <w:trPr>
          <w:jc w:val="center"/>
        </w:trPr>
        <w:tc>
          <w:tcPr>
            <w:tcW w:w="2701" w:type="pct"/>
            <w:tcBorders>
              <w:top w:val="single" w:sz="4" w:space="0" w:color="auto"/>
              <w:left w:val="single" w:sz="4" w:space="0" w:color="auto"/>
              <w:bottom w:val="single" w:sz="4" w:space="0" w:color="auto"/>
              <w:right w:val="single" w:sz="4" w:space="0" w:color="auto"/>
            </w:tcBorders>
            <w:hideMark/>
          </w:tcPr>
          <w:p w14:paraId="06CB71E5" w14:textId="421A874B" w:rsidR="005A66B9" w:rsidRPr="00B41651" w:rsidRDefault="005A66B9" w:rsidP="009E3AD8">
            <w:pPr>
              <w:pStyle w:val="NormalWeb"/>
              <w:shd w:val="clear" w:color="auto" w:fill="FFFFFF"/>
              <w:spacing w:before="0" w:beforeAutospacing="0" w:after="0" w:afterAutospacing="0" w:line="276" w:lineRule="auto"/>
              <w:jc w:val="both"/>
              <w:rPr>
                <w:rStyle w:val="rvts5"/>
                <w:rFonts w:asciiTheme="minorHAnsi" w:hAnsiTheme="minorHAnsi" w:cstheme="minorHAnsi"/>
                <w:sz w:val="26"/>
                <w:szCs w:val="26"/>
              </w:rPr>
            </w:pPr>
            <w:r w:rsidRPr="00B41651">
              <w:rPr>
                <w:rStyle w:val="rvts5"/>
                <w:rFonts w:asciiTheme="minorHAnsi" w:hAnsiTheme="minorHAnsi" w:cstheme="minorHAnsi"/>
                <w:sz w:val="26"/>
                <w:szCs w:val="26"/>
              </w:rPr>
              <w:t>Prelungire delegare în funcţii de conducere/</w:t>
            </w:r>
            <w:r w:rsidR="00E42FC4" w:rsidRPr="00B41651">
              <w:rPr>
                <w:rStyle w:val="rvts5"/>
                <w:rFonts w:asciiTheme="minorHAnsi" w:hAnsiTheme="minorHAnsi" w:cstheme="minorHAnsi"/>
                <w:sz w:val="26"/>
                <w:szCs w:val="26"/>
              </w:rPr>
              <w:t xml:space="preserve"> </w:t>
            </w:r>
            <w:r w:rsidRPr="00B41651">
              <w:rPr>
                <w:rStyle w:val="rvts5"/>
                <w:rFonts w:asciiTheme="minorHAnsi" w:hAnsiTheme="minorHAnsi" w:cstheme="minorHAnsi"/>
                <w:sz w:val="26"/>
                <w:szCs w:val="26"/>
              </w:rPr>
              <w:t>Retragere</w:t>
            </w:r>
          </w:p>
        </w:tc>
        <w:tc>
          <w:tcPr>
            <w:tcW w:w="814" w:type="pct"/>
            <w:tcBorders>
              <w:top w:val="single" w:sz="4" w:space="0" w:color="auto"/>
              <w:left w:val="single" w:sz="4" w:space="0" w:color="auto"/>
              <w:bottom w:val="single" w:sz="4" w:space="0" w:color="auto"/>
              <w:right w:val="single" w:sz="4" w:space="0" w:color="auto"/>
            </w:tcBorders>
            <w:hideMark/>
          </w:tcPr>
          <w:p w14:paraId="45DD036E" w14:textId="77777777" w:rsidR="005A66B9" w:rsidRPr="00B41651" w:rsidRDefault="005A66B9" w:rsidP="009E3AD8">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w:t>
            </w:r>
          </w:p>
        </w:tc>
        <w:tc>
          <w:tcPr>
            <w:tcW w:w="748" w:type="pct"/>
            <w:tcBorders>
              <w:top w:val="single" w:sz="4" w:space="0" w:color="auto"/>
              <w:left w:val="single" w:sz="4" w:space="0" w:color="auto"/>
              <w:bottom w:val="single" w:sz="4" w:space="0" w:color="auto"/>
              <w:right w:val="single" w:sz="4" w:space="0" w:color="auto"/>
            </w:tcBorders>
            <w:hideMark/>
          </w:tcPr>
          <w:p w14:paraId="4AD9775D" w14:textId="3B9310E8" w:rsidR="005A66B9" w:rsidRPr="00B41651" w:rsidRDefault="00302D37" w:rsidP="009E3AD8">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5</w:t>
            </w:r>
            <w:r w:rsidRPr="00B41651">
              <w:rPr>
                <w:rStyle w:val="rvts5"/>
                <w:rFonts w:cstheme="minorHAnsi"/>
                <w:sz w:val="26"/>
                <w:szCs w:val="26"/>
              </w:rPr>
              <w:t>22</w:t>
            </w:r>
          </w:p>
        </w:tc>
        <w:tc>
          <w:tcPr>
            <w:tcW w:w="736" w:type="pct"/>
            <w:tcBorders>
              <w:top w:val="single" w:sz="4" w:space="0" w:color="auto"/>
              <w:left w:val="single" w:sz="4" w:space="0" w:color="auto"/>
              <w:bottom w:val="single" w:sz="4" w:space="0" w:color="auto"/>
              <w:right w:val="single" w:sz="4" w:space="0" w:color="auto"/>
            </w:tcBorders>
            <w:hideMark/>
          </w:tcPr>
          <w:p w14:paraId="13C513EA" w14:textId="1A7F5966" w:rsidR="005A66B9" w:rsidRPr="00B41651" w:rsidRDefault="00302D37" w:rsidP="009E3AD8">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3</w:t>
            </w:r>
            <w:r w:rsidRPr="00B41651">
              <w:rPr>
                <w:rStyle w:val="rvts5"/>
                <w:rFonts w:cstheme="minorHAnsi"/>
                <w:sz w:val="26"/>
                <w:szCs w:val="26"/>
              </w:rPr>
              <w:t>60</w:t>
            </w:r>
          </w:p>
        </w:tc>
      </w:tr>
      <w:tr w:rsidR="00B41651" w:rsidRPr="00B41651" w14:paraId="297B9B62" w14:textId="77777777" w:rsidTr="00B108BA">
        <w:trPr>
          <w:jc w:val="center"/>
        </w:trPr>
        <w:tc>
          <w:tcPr>
            <w:tcW w:w="2701" w:type="pct"/>
            <w:tcBorders>
              <w:top w:val="single" w:sz="4" w:space="0" w:color="auto"/>
              <w:left w:val="single" w:sz="4" w:space="0" w:color="auto"/>
              <w:bottom w:val="single" w:sz="4" w:space="0" w:color="auto"/>
              <w:right w:val="single" w:sz="4" w:space="0" w:color="auto"/>
            </w:tcBorders>
            <w:hideMark/>
          </w:tcPr>
          <w:p w14:paraId="436BB032" w14:textId="77777777" w:rsidR="005A66B9" w:rsidRPr="00B41651" w:rsidRDefault="005A66B9" w:rsidP="009E3AD8">
            <w:pPr>
              <w:pStyle w:val="NormalWeb"/>
              <w:shd w:val="clear" w:color="auto" w:fill="FFFFFF"/>
              <w:spacing w:before="0" w:beforeAutospacing="0" w:after="0" w:afterAutospacing="0" w:line="276" w:lineRule="auto"/>
              <w:jc w:val="both"/>
              <w:rPr>
                <w:rStyle w:val="rvts5"/>
                <w:rFonts w:asciiTheme="minorHAnsi" w:hAnsiTheme="minorHAnsi" w:cstheme="minorHAnsi"/>
                <w:sz w:val="26"/>
                <w:szCs w:val="26"/>
              </w:rPr>
            </w:pPr>
            <w:r w:rsidRPr="00B41651">
              <w:rPr>
                <w:rStyle w:val="rvts5"/>
                <w:rFonts w:asciiTheme="minorHAnsi" w:hAnsiTheme="minorHAnsi" w:cstheme="minorHAnsi"/>
                <w:sz w:val="26"/>
                <w:szCs w:val="26"/>
              </w:rPr>
              <w:t>Ocuparea pe perioadă nedeterminată/Efecte hotărâri/Retragere</w:t>
            </w:r>
          </w:p>
        </w:tc>
        <w:tc>
          <w:tcPr>
            <w:tcW w:w="814" w:type="pct"/>
            <w:tcBorders>
              <w:top w:val="single" w:sz="4" w:space="0" w:color="auto"/>
              <w:left w:val="single" w:sz="4" w:space="0" w:color="auto"/>
              <w:bottom w:val="single" w:sz="4" w:space="0" w:color="auto"/>
              <w:right w:val="single" w:sz="4" w:space="0" w:color="auto"/>
            </w:tcBorders>
            <w:hideMark/>
          </w:tcPr>
          <w:p w14:paraId="15533C18" w14:textId="77777777" w:rsidR="005A66B9" w:rsidRPr="00B41651" w:rsidRDefault="005A66B9" w:rsidP="009E3AD8">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w:t>
            </w:r>
          </w:p>
        </w:tc>
        <w:tc>
          <w:tcPr>
            <w:tcW w:w="748" w:type="pct"/>
            <w:tcBorders>
              <w:top w:val="single" w:sz="4" w:space="0" w:color="auto"/>
              <w:left w:val="single" w:sz="4" w:space="0" w:color="auto"/>
              <w:bottom w:val="single" w:sz="4" w:space="0" w:color="auto"/>
              <w:right w:val="single" w:sz="4" w:space="0" w:color="auto"/>
            </w:tcBorders>
            <w:hideMark/>
          </w:tcPr>
          <w:p w14:paraId="35351499" w14:textId="3DE21342" w:rsidR="005A66B9" w:rsidRPr="00B41651" w:rsidRDefault="00302D37" w:rsidP="009E3AD8">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2</w:t>
            </w:r>
            <w:r w:rsidRPr="00B41651">
              <w:rPr>
                <w:rStyle w:val="rvts5"/>
                <w:rFonts w:cstheme="minorHAnsi"/>
                <w:sz w:val="26"/>
                <w:szCs w:val="26"/>
              </w:rPr>
              <w:t>66</w:t>
            </w:r>
          </w:p>
        </w:tc>
        <w:tc>
          <w:tcPr>
            <w:tcW w:w="736" w:type="pct"/>
            <w:tcBorders>
              <w:top w:val="single" w:sz="4" w:space="0" w:color="auto"/>
              <w:left w:val="single" w:sz="4" w:space="0" w:color="auto"/>
              <w:bottom w:val="single" w:sz="4" w:space="0" w:color="auto"/>
              <w:right w:val="single" w:sz="4" w:space="0" w:color="auto"/>
            </w:tcBorders>
            <w:hideMark/>
          </w:tcPr>
          <w:p w14:paraId="50640E0B" w14:textId="1A4E7E88" w:rsidR="005A66B9" w:rsidRPr="00B41651" w:rsidRDefault="00302D37" w:rsidP="009E3AD8">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1</w:t>
            </w:r>
            <w:r w:rsidRPr="00B41651">
              <w:rPr>
                <w:rStyle w:val="rvts5"/>
                <w:rFonts w:cstheme="minorHAnsi"/>
                <w:sz w:val="26"/>
                <w:szCs w:val="26"/>
              </w:rPr>
              <w:t>8</w:t>
            </w:r>
          </w:p>
        </w:tc>
      </w:tr>
      <w:tr w:rsidR="00B41651" w:rsidRPr="00B41651" w14:paraId="21D7EAF1" w14:textId="77777777" w:rsidTr="00B108BA">
        <w:trPr>
          <w:jc w:val="center"/>
        </w:trPr>
        <w:tc>
          <w:tcPr>
            <w:tcW w:w="2701" w:type="pct"/>
            <w:tcBorders>
              <w:top w:val="single" w:sz="4" w:space="0" w:color="auto"/>
              <w:left w:val="single" w:sz="4" w:space="0" w:color="auto"/>
              <w:bottom w:val="single" w:sz="4" w:space="0" w:color="auto"/>
              <w:right w:val="single" w:sz="4" w:space="0" w:color="auto"/>
            </w:tcBorders>
            <w:hideMark/>
          </w:tcPr>
          <w:p w14:paraId="0604BAD9" w14:textId="2F75340F" w:rsidR="005A66B9" w:rsidRPr="00B41651" w:rsidRDefault="005A66B9" w:rsidP="009E3AD8">
            <w:pPr>
              <w:pStyle w:val="NormalWeb"/>
              <w:shd w:val="clear" w:color="auto" w:fill="FFFFFF"/>
              <w:spacing w:before="0" w:beforeAutospacing="0" w:after="0" w:afterAutospacing="0" w:line="276" w:lineRule="auto"/>
              <w:jc w:val="both"/>
              <w:rPr>
                <w:rStyle w:val="rvts5"/>
                <w:rFonts w:asciiTheme="minorHAnsi" w:hAnsiTheme="minorHAnsi" w:cstheme="minorHAnsi"/>
                <w:sz w:val="26"/>
                <w:szCs w:val="26"/>
              </w:rPr>
            </w:pPr>
            <w:r w:rsidRPr="00B41651">
              <w:rPr>
                <w:rStyle w:val="rvts5"/>
                <w:rFonts w:asciiTheme="minorHAnsi" w:hAnsiTheme="minorHAnsi" w:cstheme="minorHAnsi"/>
                <w:sz w:val="26"/>
                <w:szCs w:val="26"/>
              </w:rPr>
              <w:t>Eliberare din funcţia de conducere/</w:t>
            </w:r>
            <w:r w:rsidR="00E42FC4" w:rsidRPr="00B41651">
              <w:rPr>
                <w:rStyle w:val="rvts5"/>
                <w:rFonts w:asciiTheme="minorHAnsi" w:hAnsiTheme="minorHAnsi" w:cstheme="minorHAnsi"/>
                <w:sz w:val="26"/>
                <w:szCs w:val="26"/>
              </w:rPr>
              <w:t xml:space="preserve"> </w:t>
            </w:r>
            <w:r w:rsidRPr="00B41651">
              <w:rPr>
                <w:rStyle w:val="rvts5"/>
                <w:rFonts w:asciiTheme="minorHAnsi" w:hAnsiTheme="minorHAnsi" w:cstheme="minorHAnsi"/>
                <w:sz w:val="26"/>
                <w:szCs w:val="26"/>
              </w:rPr>
              <w:t>Demisie/</w:t>
            </w:r>
            <w:r w:rsidR="00E42FC4" w:rsidRPr="00B41651">
              <w:rPr>
                <w:rStyle w:val="rvts5"/>
                <w:rFonts w:asciiTheme="minorHAnsi" w:hAnsiTheme="minorHAnsi" w:cstheme="minorHAnsi"/>
                <w:sz w:val="26"/>
                <w:szCs w:val="26"/>
              </w:rPr>
              <w:t xml:space="preserve"> </w:t>
            </w:r>
            <w:r w:rsidRPr="00B41651">
              <w:rPr>
                <w:rStyle w:val="rvts5"/>
                <w:rFonts w:asciiTheme="minorHAnsi" w:hAnsiTheme="minorHAnsi" w:cstheme="minorHAnsi"/>
                <w:sz w:val="26"/>
                <w:szCs w:val="26"/>
              </w:rPr>
              <w:t>Revocare din funcţii de conducere/</w:t>
            </w:r>
            <w:r w:rsidR="00E42FC4" w:rsidRPr="00B41651">
              <w:rPr>
                <w:rStyle w:val="rvts5"/>
                <w:rFonts w:asciiTheme="minorHAnsi" w:hAnsiTheme="minorHAnsi" w:cstheme="minorHAnsi"/>
                <w:sz w:val="26"/>
                <w:szCs w:val="26"/>
              </w:rPr>
              <w:t xml:space="preserve"> </w:t>
            </w:r>
            <w:r w:rsidRPr="00B41651">
              <w:rPr>
                <w:rStyle w:val="rvts5"/>
                <w:rFonts w:asciiTheme="minorHAnsi" w:hAnsiTheme="minorHAnsi" w:cstheme="minorHAnsi"/>
                <w:sz w:val="26"/>
                <w:szCs w:val="26"/>
              </w:rPr>
              <w:t>Retragere/</w:t>
            </w:r>
            <w:r w:rsidR="00E42FC4" w:rsidRPr="00B41651">
              <w:rPr>
                <w:rStyle w:val="rvts5"/>
                <w:rFonts w:asciiTheme="minorHAnsi" w:hAnsiTheme="minorHAnsi" w:cstheme="minorHAnsi"/>
                <w:sz w:val="26"/>
                <w:szCs w:val="26"/>
              </w:rPr>
              <w:t xml:space="preserve"> </w:t>
            </w:r>
            <w:r w:rsidRPr="00B41651">
              <w:rPr>
                <w:rStyle w:val="rvts5"/>
                <w:rFonts w:asciiTheme="minorHAnsi" w:hAnsiTheme="minorHAnsi" w:cstheme="minorHAnsi"/>
                <w:sz w:val="26"/>
                <w:szCs w:val="26"/>
              </w:rPr>
              <w:t xml:space="preserve">Încetare mandat </w:t>
            </w:r>
          </w:p>
        </w:tc>
        <w:tc>
          <w:tcPr>
            <w:tcW w:w="814" w:type="pct"/>
            <w:tcBorders>
              <w:top w:val="single" w:sz="4" w:space="0" w:color="auto"/>
              <w:left w:val="single" w:sz="4" w:space="0" w:color="auto"/>
              <w:bottom w:val="single" w:sz="4" w:space="0" w:color="auto"/>
              <w:right w:val="single" w:sz="4" w:space="0" w:color="auto"/>
            </w:tcBorders>
            <w:hideMark/>
          </w:tcPr>
          <w:p w14:paraId="7E80CBCE" w14:textId="77777777" w:rsidR="005A66B9" w:rsidRPr="00B41651" w:rsidRDefault="005A66B9" w:rsidP="009E3AD8">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w:t>
            </w:r>
          </w:p>
        </w:tc>
        <w:tc>
          <w:tcPr>
            <w:tcW w:w="748" w:type="pct"/>
            <w:tcBorders>
              <w:top w:val="single" w:sz="4" w:space="0" w:color="auto"/>
              <w:left w:val="single" w:sz="4" w:space="0" w:color="auto"/>
              <w:bottom w:val="single" w:sz="4" w:space="0" w:color="auto"/>
              <w:right w:val="single" w:sz="4" w:space="0" w:color="auto"/>
            </w:tcBorders>
            <w:hideMark/>
          </w:tcPr>
          <w:p w14:paraId="2E1787C9" w14:textId="7B08AAD3" w:rsidR="005A66B9" w:rsidRPr="00B41651" w:rsidRDefault="00302D37" w:rsidP="009E3AD8">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3</w:t>
            </w:r>
          </w:p>
        </w:tc>
        <w:tc>
          <w:tcPr>
            <w:tcW w:w="736" w:type="pct"/>
            <w:tcBorders>
              <w:top w:val="single" w:sz="4" w:space="0" w:color="auto"/>
              <w:left w:val="single" w:sz="4" w:space="0" w:color="auto"/>
              <w:bottom w:val="single" w:sz="4" w:space="0" w:color="auto"/>
              <w:right w:val="single" w:sz="4" w:space="0" w:color="auto"/>
            </w:tcBorders>
            <w:hideMark/>
          </w:tcPr>
          <w:p w14:paraId="57C0FDDD" w14:textId="2637EB40" w:rsidR="005A66B9" w:rsidRPr="00B41651" w:rsidRDefault="00302D37" w:rsidP="009E3AD8">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1</w:t>
            </w:r>
            <w:r w:rsidRPr="00B41651">
              <w:rPr>
                <w:rStyle w:val="rvts5"/>
                <w:rFonts w:cstheme="minorHAnsi"/>
                <w:sz w:val="26"/>
                <w:szCs w:val="26"/>
              </w:rPr>
              <w:t>1</w:t>
            </w:r>
          </w:p>
        </w:tc>
      </w:tr>
      <w:tr w:rsidR="00B41651" w:rsidRPr="00B41651" w14:paraId="5210589B" w14:textId="77777777" w:rsidTr="00B108BA">
        <w:trPr>
          <w:trHeight w:val="534"/>
          <w:jc w:val="center"/>
        </w:trPr>
        <w:tc>
          <w:tcPr>
            <w:tcW w:w="2701" w:type="pct"/>
            <w:tcBorders>
              <w:top w:val="single" w:sz="4" w:space="0" w:color="auto"/>
              <w:left w:val="single" w:sz="4" w:space="0" w:color="auto"/>
              <w:bottom w:val="single" w:sz="4" w:space="0" w:color="auto"/>
              <w:right w:val="single" w:sz="4" w:space="0" w:color="auto"/>
            </w:tcBorders>
            <w:hideMark/>
          </w:tcPr>
          <w:p w14:paraId="735CE95A" w14:textId="77777777" w:rsidR="005A66B9" w:rsidRPr="00B41651" w:rsidRDefault="005A66B9" w:rsidP="009E3AD8">
            <w:pPr>
              <w:pStyle w:val="NormalWeb"/>
              <w:shd w:val="clear" w:color="auto" w:fill="FFFFFF"/>
              <w:spacing w:before="0" w:beforeAutospacing="0" w:after="0" w:afterAutospacing="0" w:line="276" w:lineRule="auto"/>
              <w:jc w:val="both"/>
              <w:rPr>
                <w:rStyle w:val="rvts5"/>
                <w:rFonts w:asciiTheme="minorHAnsi" w:hAnsiTheme="minorHAnsi" w:cstheme="minorHAnsi"/>
                <w:sz w:val="26"/>
                <w:szCs w:val="26"/>
              </w:rPr>
            </w:pPr>
            <w:r w:rsidRPr="00B41651">
              <w:rPr>
                <w:rStyle w:val="rvts5"/>
                <w:rFonts w:asciiTheme="minorHAnsi" w:hAnsiTheme="minorHAnsi" w:cstheme="minorHAnsi"/>
                <w:sz w:val="26"/>
                <w:szCs w:val="26"/>
              </w:rPr>
              <w:t>Inspecţia Judiciară</w:t>
            </w:r>
          </w:p>
          <w:p w14:paraId="4E711EAD" w14:textId="77777777" w:rsidR="005A66B9" w:rsidRPr="00B41651" w:rsidRDefault="005A66B9" w:rsidP="009E3AD8">
            <w:pPr>
              <w:pStyle w:val="NormalWeb"/>
              <w:shd w:val="clear" w:color="auto" w:fill="FFFFFF"/>
              <w:spacing w:before="0" w:beforeAutospacing="0" w:after="0" w:afterAutospacing="0" w:line="276" w:lineRule="auto"/>
              <w:jc w:val="both"/>
              <w:rPr>
                <w:rStyle w:val="rvts5"/>
                <w:rFonts w:asciiTheme="minorHAnsi" w:hAnsiTheme="minorHAnsi" w:cstheme="minorHAnsi"/>
                <w:sz w:val="26"/>
                <w:szCs w:val="26"/>
              </w:rPr>
            </w:pPr>
            <w:r w:rsidRPr="00B41651">
              <w:rPr>
                <w:rStyle w:val="rvts5"/>
                <w:rFonts w:asciiTheme="minorHAnsi" w:hAnsiTheme="minorHAnsi" w:cstheme="minorHAnsi"/>
                <w:sz w:val="26"/>
                <w:szCs w:val="26"/>
              </w:rPr>
              <w:t>(rapoarte în urma diverselor controale)</w:t>
            </w:r>
          </w:p>
        </w:tc>
        <w:tc>
          <w:tcPr>
            <w:tcW w:w="814" w:type="pct"/>
            <w:tcBorders>
              <w:top w:val="single" w:sz="4" w:space="0" w:color="auto"/>
              <w:left w:val="single" w:sz="4" w:space="0" w:color="auto"/>
              <w:bottom w:val="single" w:sz="4" w:space="0" w:color="auto"/>
              <w:right w:val="single" w:sz="4" w:space="0" w:color="auto"/>
            </w:tcBorders>
            <w:hideMark/>
          </w:tcPr>
          <w:p w14:paraId="64B2ABC9" w14:textId="77777777" w:rsidR="005A66B9" w:rsidRPr="00B41651" w:rsidRDefault="005A66B9" w:rsidP="009E3AD8">
            <w:pPr>
              <w:spacing w:line="276" w:lineRule="auto"/>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1</w:t>
            </w:r>
          </w:p>
        </w:tc>
        <w:tc>
          <w:tcPr>
            <w:tcW w:w="748" w:type="pct"/>
            <w:tcBorders>
              <w:top w:val="single" w:sz="4" w:space="0" w:color="auto"/>
              <w:left w:val="single" w:sz="4" w:space="0" w:color="auto"/>
              <w:bottom w:val="single" w:sz="4" w:space="0" w:color="auto"/>
              <w:right w:val="single" w:sz="4" w:space="0" w:color="auto"/>
            </w:tcBorders>
            <w:hideMark/>
          </w:tcPr>
          <w:p w14:paraId="35752F2A" w14:textId="2087DB82" w:rsidR="005A66B9" w:rsidRPr="00B41651" w:rsidRDefault="008048D7" w:rsidP="009E3AD8">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2</w:t>
            </w:r>
            <w:r w:rsidRPr="00B41651">
              <w:rPr>
                <w:rStyle w:val="rvts5"/>
                <w:rFonts w:cstheme="minorHAnsi"/>
                <w:sz w:val="26"/>
                <w:szCs w:val="26"/>
              </w:rPr>
              <w:t>5</w:t>
            </w:r>
          </w:p>
        </w:tc>
        <w:tc>
          <w:tcPr>
            <w:tcW w:w="736" w:type="pct"/>
            <w:tcBorders>
              <w:top w:val="single" w:sz="4" w:space="0" w:color="auto"/>
              <w:left w:val="single" w:sz="4" w:space="0" w:color="auto"/>
              <w:bottom w:val="single" w:sz="4" w:space="0" w:color="auto"/>
              <w:right w:val="single" w:sz="4" w:space="0" w:color="auto"/>
            </w:tcBorders>
            <w:hideMark/>
          </w:tcPr>
          <w:p w14:paraId="6B9F1C5F" w14:textId="716DE89F" w:rsidR="005A66B9" w:rsidRPr="00B41651" w:rsidRDefault="008048D7" w:rsidP="009E3AD8">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2</w:t>
            </w:r>
            <w:r w:rsidRPr="00B41651">
              <w:rPr>
                <w:rStyle w:val="rvts5"/>
                <w:rFonts w:cstheme="minorHAnsi"/>
                <w:sz w:val="26"/>
                <w:szCs w:val="26"/>
              </w:rPr>
              <w:t>2</w:t>
            </w:r>
          </w:p>
        </w:tc>
      </w:tr>
      <w:tr w:rsidR="00B41651" w:rsidRPr="00B41651" w14:paraId="38F5F969" w14:textId="77777777" w:rsidTr="00B108BA">
        <w:trPr>
          <w:jc w:val="center"/>
        </w:trPr>
        <w:tc>
          <w:tcPr>
            <w:tcW w:w="2701" w:type="pct"/>
            <w:tcBorders>
              <w:top w:val="single" w:sz="4" w:space="0" w:color="auto"/>
              <w:left w:val="single" w:sz="4" w:space="0" w:color="auto"/>
              <w:bottom w:val="single" w:sz="4" w:space="0" w:color="auto"/>
              <w:right w:val="single" w:sz="4" w:space="0" w:color="auto"/>
            </w:tcBorders>
            <w:hideMark/>
          </w:tcPr>
          <w:p w14:paraId="582401F5" w14:textId="19357A3B" w:rsidR="005A66B9" w:rsidRPr="00B41651" w:rsidRDefault="005A66B9" w:rsidP="009E3AD8">
            <w:pPr>
              <w:pStyle w:val="NormalWeb"/>
              <w:shd w:val="clear" w:color="auto" w:fill="FFFFFF"/>
              <w:spacing w:before="0" w:beforeAutospacing="0" w:after="0" w:afterAutospacing="0" w:line="276" w:lineRule="auto"/>
              <w:jc w:val="both"/>
              <w:rPr>
                <w:rStyle w:val="rvts5"/>
                <w:rFonts w:asciiTheme="minorHAnsi" w:hAnsiTheme="minorHAnsi" w:cstheme="minorHAnsi"/>
                <w:sz w:val="26"/>
                <w:szCs w:val="26"/>
              </w:rPr>
            </w:pPr>
            <w:r w:rsidRPr="00B41651">
              <w:rPr>
                <w:rStyle w:val="rvts5"/>
                <w:rFonts w:asciiTheme="minorHAnsi" w:hAnsiTheme="minorHAnsi" w:cstheme="minorHAnsi"/>
                <w:sz w:val="26"/>
                <w:szCs w:val="26"/>
              </w:rPr>
              <w:t>Sesizări Inspecţia Judiciară/Respingeri solicitări de sesizare a Inspecţiei Judiciare</w:t>
            </w:r>
          </w:p>
        </w:tc>
        <w:tc>
          <w:tcPr>
            <w:tcW w:w="814" w:type="pct"/>
            <w:tcBorders>
              <w:top w:val="single" w:sz="4" w:space="0" w:color="auto"/>
              <w:left w:val="single" w:sz="4" w:space="0" w:color="auto"/>
              <w:bottom w:val="single" w:sz="4" w:space="0" w:color="auto"/>
              <w:right w:val="single" w:sz="4" w:space="0" w:color="auto"/>
            </w:tcBorders>
          </w:tcPr>
          <w:p w14:paraId="786BF110" w14:textId="77777777" w:rsidR="005A66B9" w:rsidRPr="00B41651" w:rsidRDefault="005A66B9" w:rsidP="009E3AD8">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sz w:val="26"/>
                <w:szCs w:val="26"/>
              </w:rPr>
            </w:pPr>
          </w:p>
        </w:tc>
        <w:tc>
          <w:tcPr>
            <w:tcW w:w="748" w:type="pct"/>
            <w:tcBorders>
              <w:top w:val="single" w:sz="4" w:space="0" w:color="auto"/>
              <w:left w:val="single" w:sz="4" w:space="0" w:color="auto"/>
              <w:bottom w:val="single" w:sz="4" w:space="0" w:color="auto"/>
              <w:right w:val="single" w:sz="4" w:space="0" w:color="auto"/>
            </w:tcBorders>
            <w:hideMark/>
          </w:tcPr>
          <w:p w14:paraId="600BE394" w14:textId="5AB4F949" w:rsidR="005A66B9" w:rsidRPr="00B41651" w:rsidRDefault="008048D7" w:rsidP="009E3AD8">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2</w:t>
            </w:r>
            <w:r w:rsidRPr="00B41651">
              <w:rPr>
                <w:rStyle w:val="rvts5"/>
                <w:rFonts w:cstheme="minorHAnsi"/>
                <w:sz w:val="26"/>
                <w:szCs w:val="26"/>
              </w:rPr>
              <w:t>0</w:t>
            </w:r>
          </w:p>
        </w:tc>
        <w:tc>
          <w:tcPr>
            <w:tcW w:w="736" w:type="pct"/>
            <w:tcBorders>
              <w:top w:val="single" w:sz="4" w:space="0" w:color="auto"/>
              <w:left w:val="single" w:sz="4" w:space="0" w:color="auto"/>
              <w:bottom w:val="single" w:sz="4" w:space="0" w:color="auto"/>
              <w:right w:val="single" w:sz="4" w:space="0" w:color="auto"/>
            </w:tcBorders>
            <w:hideMark/>
          </w:tcPr>
          <w:p w14:paraId="43268CD7" w14:textId="5EE17236" w:rsidR="005A66B9" w:rsidRPr="00B41651" w:rsidRDefault="008048D7" w:rsidP="009E3AD8">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3</w:t>
            </w:r>
            <w:r w:rsidRPr="00B41651">
              <w:rPr>
                <w:rStyle w:val="rvts5"/>
                <w:rFonts w:cstheme="minorHAnsi"/>
                <w:sz w:val="26"/>
                <w:szCs w:val="26"/>
              </w:rPr>
              <w:t>5</w:t>
            </w:r>
          </w:p>
        </w:tc>
      </w:tr>
      <w:tr w:rsidR="00B41651" w:rsidRPr="00B41651" w14:paraId="2560F2BB" w14:textId="77777777" w:rsidTr="00B108BA">
        <w:trPr>
          <w:jc w:val="center"/>
        </w:trPr>
        <w:tc>
          <w:tcPr>
            <w:tcW w:w="2701" w:type="pct"/>
            <w:tcBorders>
              <w:top w:val="single" w:sz="4" w:space="0" w:color="auto"/>
              <w:left w:val="single" w:sz="4" w:space="0" w:color="auto"/>
              <w:bottom w:val="single" w:sz="4" w:space="0" w:color="auto"/>
              <w:right w:val="single" w:sz="4" w:space="0" w:color="auto"/>
            </w:tcBorders>
            <w:hideMark/>
          </w:tcPr>
          <w:p w14:paraId="4F6DFACC" w14:textId="77777777" w:rsidR="005A66B9" w:rsidRPr="00B41651" w:rsidRDefault="005A66B9" w:rsidP="009E3AD8">
            <w:pPr>
              <w:pStyle w:val="NormalWeb"/>
              <w:shd w:val="clear" w:color="auto" w:fill="FFFFFF"/>
              <w:spacing w:before="0" w:beforeAutospacing="0" w:after="0" w:afterAutospacing="0" w:line="276" w:lineRule="auto"/>
              <w:jc w:val="both"/>
              <w:rPr>
                <w:rStyle w:val="rvts5"/>
                <w:rFonts w:asciiTheme="minorHAnsi" w:hAnsiTheme="minorHAnsi" w:cstheme="minorHAnsi"/>
                <w:sz w:val="26"/>
                <w:szCs w:val="26"/>
              </w:rPr>
            </w:pPr>
            <w:r w:rsidRPr="00B41651">
              <w:rPr>
                <w:rStyle w:val="rvts5"/>
                <w:rFonts w:asciiTheme="minorHAnsi" w:hAnsiTheme="minorHAnsi" w:cstheme="minorHAnsi"/>
                <w:sz w:val="26"/>
                <w:szCs w:val="26"/>
              </w:rPr>
              <w:t>Acord prealabil eventuală detaşare/Retragere</w:t>
            </w:r>
          </w:p>
        </w:tc>
        <w:tc>
          <w:tcPr>
            <w:tcW w:w="814" w:type="pct"/>
            <w:tcBorders>
              <w:top w:val="single" w:sz="4" w:space="0" w:color="auto"/>
              <w:left w:val="single" w:sz="4" w:space="0" w:color="auto"/>
              <w:bottom w:val="single" w:sz="4" w:space="0" w:color="auto"/>
              <w:right w:val="single" w:sz="4" w:space="0" w:color="auto"/>
            </w:tcBorders>
            <w:hideMark/>
          </w:tcPr>
          <w:p w14:paraId="493B5327" w14:textId="77777777" w:rsidR="005A66B9" w:rsidRPr="00B41651" w:rsidRDefault="005A66B9" w:rsidP="009E3AD8">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w:t>
            </w:r>
          </w:p>
        </w:tc>
        <w:tc>
          <w:tcPr>
            <w:tcW w:w="748" w:type="pct"/>
            <w:tcBorders>
              <w:top w:val="single" w:sz="4" w:space="0" w:color="auto"/>
              <w:left w:val="single" w:sz="4" w:space="0" w:color="auto"/>
              <w:bottom w:val="single" w:sz="4" w:space="0" w:color="auto"/>
              <w:right w:val="single" w:sz="4" w:space="0" w:color="auto"/>
            </w:tcBorders>
            <w:hideMark/>
          </w:tcPr>
          <w:p w14:paraId="03F1E05B" w14:textId="4057322C" w:rsidR="005A66B9" w:rsidRPr="00B41651" w:rsidRDefault="008048D7" w:rsidP="009E3AD8">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2</w:t>
            </w:r>
            <w:r w:rsidRPr="00B41651">
              <w:rPr>
                <w:rStyle w:val="rvts5"/>
                <w:rFonts w:cstheme="minorHAnsi"/>
                <w:sz w:val="26"/>
                <w:szCs w:val="26"/>
              </w:rPr>
              <w:t>5</w:t>
            </w:r>
          </w:p>
        </w:tc>
        <w:tc>
          <w:tcPr>
            <w:tcW w:w="736" w:type="pct"/>
            <w:tcBorders>
              <w:top w:val="single" w:sz="4" w:space="0" w:color="auto"/>
              <w:left w:val="single" w:sz="4" w:space="0" w:color="auto"/>
              <w:bottom w:val="single" w:sz="4" w:space="0" w:color="auto"/>
              <w:right w:val="single" w:sz="4" w:space="0" w:color="auto"/>
            </w:tcBorders>
          </w:tcPr>
          <w:p w14:paraId="7138A6B9" w14:textId="77777777" w:rsidR="005A66B9" w:rsidRPr="00B41651" w:rsidRDefault="005A66B9" w:rsidP="009E3AD8">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sz w:val="26"/>
                <w:szCs w:val="26"/>
              </w:rPr>
            </w:pPr>
          </w:p>
        </w:tc>
      </w:tr>
      <w:tr w:rsidR="00B41651" w:rsidRPr="00B41651" w14:paraId="645FB967" w14:textId="77777777" w:rsidTr="00B108BA">
        <w:trPr>
          <w:jc w:val="center"/>
        </w:trPr>
        <w:tc>
          <w:tcPr>
            <w:tcW w:w="2701" w:type="pct"/>
            <w:tcBorders>
              <w:top w:val="single" w:sz="4" w:space="0" w:color="auto"/>
              <w:left w:val="single" w:sz="4" w:space="0" w:color="auto"/>
              <w:bottom w:val="single" w:sz="4" w:space="0" w:color="auto"/>
              <w:right w:val="single" w:sz="4" w:space="0" w:color="auto"/>
            </w:tcBorders>
            <w:hideMark/>
          </w:tcPr>
          <w:p w14:paraId="134CBC97" w14:textId="4122DD8D" w:rsidR="005A66B9" w:rsidRPr="00B41651" w:rsidRDefault="005A66B9" w:rsidP="009E3AD8">
            <w:pPr>
              <w:pStyle w:val="NormalWeb"/>
              <w:shd w:val="clear" w:color="auto" w:fill="FFFFFF"/>
              <w:spacing w:before="0" w:beforeAutospacing="0" w:after="0" w:afterAutospacing="0" w:line="276" w:lineRule="auto"/>
              <w:jc w:val="both"/>
              <w:rPr>
                <w:rStyle w:val="rvts5"/>
                <w:rFonts w:asciiTheme="minorHAnsi" w:hAnsiTheme="minorHAnsi" w:cstheme="minorHAnsi"/>
                <w:sz w:val="26"/>
                <w:szCs w:val="26"/>
              </w:rPr>
            </w:pPr>
            <w:r w:rsidRPr="00B41651">
              <w:rPr>
                <w:rStyle w:val="rvts5"/>
                <w:rFonts w:asciiTheme="minorHAnsi" w:hAnsiTheme="minorHAnsi" w:cstheme="minorHAnsi"/>
                <w:sz w:val="26"/>
                <w:szCs w:val="26"/>
              </w:rPr>
              <w:t>Încetare continuare/continuare activitate</w:t>
            </w:r>
            <w:r w:rsidR="00E42FC4" w:rsidRPr="00B41651">
              <w:rPr>
                <w:rStyle w:val="rvts5"/>
                <w:rFonts w:asciiTheme="minorHAnsi" w:hAnsiTheme="minorHAnsi" w:cstheme="minorHAnsi"/>
                <w:sz w:val="26"/>
                <w:szCs w:val="26"/>
              </w:rPr>
              <w:t xml:space="preserve">/ </w:t>
            </w:r>
            <w:r w:rsidRPr="00B41651">
              <w:rPr>
                <w:rStyle w:val="rvts5"/>
                <w:rFonts w:asciiTheme="minorHAnsi" w:hAnsiTheme="minorHAnsi" w:cstheme="minorHAnsi"/>
                <w:sz w:val="26"/>
                <w:szCs w:val="26"/>
              </w:rPr>
              <w:t>revenire activitate/Continuarea activităţii după mandat de conducere</w:t>
            </w:r>
          </w:p>
        </w:tc>
        <w:tc>
          <w:tcPr>
            <w:tcW w:w="814" w:type="pct"/>
            <w:tcBorders>
              <w:top w:val="single" w:sz="4" w:space="0" w:color="auto"/>
              <w:left w:val="single" w:sz="4" w:space="0" w:color="auto"/>
              <w:bottom w:val="single" w:sz="4" w:space="0" w:color="auto"/>
              <w:right w:val="single" w:sz="4" w:space="0" w:color="auto"/>
            </w:tcBorders>
            <w:hideMark/>
          </w:tcPr>
          <w:p w14:paraId="01EB995E" w14:textId="77777777" w:rsidR="005A66B9" w:rsidRPr="00B41651" w:rsidRDefault="005A66B9" w:rsidP="009E3AD8">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w:t>
            </w:r>
          </w:p>
        </w:tc>
        <w:tc>
          <w:tcPr>
            <w:tcW w:w="748" w:type="pct"/>
            <w:tcBorders>
              <w:top w:val="single" w:sz="4" w:space="0" w:color="auto"/>
              <w:left w:val="single" w:sz="4" w:space="0" w:color="auto"/>
              <w:bottom w:val="single" w:sz="4" w:space="0" w:color="auto"/>
              <w:right w:val="single" w:sz="4" w:space="0" w:color="auto"/>
            </w:tcBorders>
            <w:hideMark/>
          </w:tcPr>
          <w:p w14:paraId="46675A94" w14:textId="77777777" w:rsidR="005A66B9" w:rsidRPr="00B41651" w:rsidRDefault="005A66B9" w:rsidP="009E3AD8">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2</w:t>
            </w:r>
          </w:p>
        </w:tc>
        <w:tc>
          <w:tcPr>
            <w:tcW w:w="736" w:type="pct"/>
            <w:tcBorders>
              <w:top w:val="single" w:sz="4" w:space="0" w:color="auto"/>
              <w:left w:val="single" w:sz="4" w:space="0" w:color="auto"/>
              <w:bottom w:val="single" w:sz="4" w:space="0" w:color="auto"/>
              <w:right w:val="single" w:sz="4" w:space="0" w:color="auto"/>
            </w:tcBorders>
            <w:hideMark/>
          </w:tcPr>
          <w:p w14:paraId="060AB8C9" w14:textId="77777777" w:rsidR="005A66B9" w:rsidRPr="00B41651" w:rsidRDefault="005A66B9" w:rsidP="009E3AD8">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w:t>
            </w:r>
          </w:p>
        </w:tc>
      </w:tr>
      <w:tr w:rsidR="00B41651" w:rsidRPr="00B41651" w14:paraId="73F212F5" w14:textId="77777777" w:rsidTr="00B108BA">
        <w:trPr>
          <w:jc w:val="center"/>
        </w:trPr>
        <w:tc>
          <w:tcPr>
            <w:tcW w:w="2701" w:type="pct"/>
            <w:tcBorders>
              <w:top w:val="single" w:sz="4" w:space="0" w:color="auto"/>
              <w:left w:val="single" w:sz="4" w:space="0" w:color="auto"/>
              <w:bottom w:val="single" w:sz="4" w:space="0" w:color="auto"/>
              <w:right w:val="single" w:sz="4" w:space="0" w:color="auto"/>
            </w:tcBorders>
            <w:hideMark/>
          </w:tcPr>
          <w:p w14:paraId="4758A213" w14:textId="719A3F30" w:rsidR="005A66B9" w:rsidRPr="00B41651" w:rsidRDefault="005A66B9" w:rsidP="009E3AD8">
            <w:pPr>
              <w:pStyle w:val="NormalWeb"/>
              <w:shd w:val="clear" w:color="auto" w:fill="FFFFFF"/>
              <w:spacing w:before="0" w:beforeAutospacing="0" w:after="0" w:afterAutospacing="0" w:line="276" w:lineRule="auto"/>
              <w:jc w:val="both"/>
              <w:rPr>
                <w:rStyle w:val="rvts5"/>
                <w:rFonts w:asciiTheme="minorHAnsi" w:hAnsiTheme="minorHAnsi" w:cstheme="minorHAnsi"/>
                <w:sz w:val="26"/>
                <w:szCs w:val="26"/>
              </w:rPr>
            </w:pPr>
            <w:r w:rsidRPr="00B41651">
              <w:rPr>
                <w:rStyle w:val="rvts5"/>
                <w:rFonts w:asciiTheme="minorHAnsi" w:hAnsiTheme="minorHAnsi" w:cstheme="minorHAnsi"/>
                <w:sz w:val="26"/>
                <w:szCs w:val="26"/>
              </w:rPr>
              <w:t>Sesizare comisie medicală raport de expertiză/</w:t>
            </w:r>
            <w:r w:rsidR="00E42FC4" w:rsidRPr="00B41651">
              <w:rPr>
                <w:rStyle w:val="rvts5"/>
                <w:rFonts w:asciiTheme="minorHAnsi" w:hAnsiTheme="minorHAnsi" w:cstheme="minorHAnsi"/>
                <w:sz w:val="26"/>
                <w:szCs w:val="26"/>
              </w:rPr>
              <w:t xml:space="preserve"> </w:t>
            </w:r>
            <w:r w:rsidRPr="00B41651">
              <w:rPr>
                <w:rStyle w:val="rvts5"/>
                <w:rFonts w:asciiTheme="minorHAnsi" w:hAnsiTheme="minorHAnsi" w:cstheme="minorHAnsi"/>
                <w:sz w:val="26"/>
                <w:szCs w:val="26"/>
              </w:rPr>
              <w:t>Expertiza de specialitate/Comisii medicale de specialitate</w:t>
            </w:r>
          </w:p>
        </w:tc>
        <w:tc>
          <w:tcPr>
            <w:tcW w:w="814" w:type="pct"/>
            <w:tcBorders>
              <w:top w:val="single" w:sz="4" w:space="0" w:color="auto"/>
              <w:left w:val="single" w:sz="4" w:space="0" w:color="auto"/>
              <w:bottom w:val="single" w:sz="4" w:space="0" w:color="auto"/>
              <w:right w:val="single" w:sz="4" w:space="0" w:color="auto"/>
            </w:tcBorders>
            <w:hideMark/>
          </w:tcPr>
          <w:p w14:paraId="2E4E7DD5" w14:textId="77777777" w:rsidR="005A66B9" w:rsidRPr="00B41651" w:rsidRDefault="005A66B9" w:rsidP="009E3AD8">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w:t>
            </w:r>
          </w:p>
        </w:tc>
        <w:tc>
          <w:tcPr>
            <w:tcW w:w="748" w:type="pct"/>
            <w:tcBorders>
              <w:top w:val="single" w:sz="4" w:space="0" w:color="auto"/>
              <w:left w:val="single" w:sz="4" w:space="0" w:color="auto"/>
              <w:bottom w:val="single" w:sz="4" w:space="0" w:color="auto"/>
              <w:right w:val="single" w:sz="4" w:space="0" w:color="auto"/>
            </w:tcBorders>
            <w:hideMark/>
          </w:tcPr>
          <w:p w14:paraId="143E206F" w14:textId="77777777" w:rsidR="005A66B9" w:rsidRPr="00B41651" w:rsidRDefault="005A66B9" w:rsidP="009E3AD8">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2</w:t>
            </w:r>
          </w:p>
        </w:tc>
        <w:tc>
          <w:tcPr>
            <w:tcW w:w="736" w:type="pct"/>
            <w:tcBorders>
              <w:top w:val="single" w:sz="4" w:space="0" w:color="auto"/>
              <w:left w:val="single" w:sz="4" w:space="0" w:color="auto"/>
              <w:bottom w:val="single" w:sz="4" w:space="0" w:color="auto"/>
              <w:right w:val="single" w:sz="4" w:space="0" w:color="auto"/>
            </w:tcBorders>
            <w:hideMark/>
          </w:tcPr>
          <w:p w14:paraId="2E6F03D0" w14:textId="77777777" w:rsidR="005A66B9" w:rsidRPr="00B41651" w:rsidRDefault="005A66B9" w:rsidP="009E3AD8">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1</w:t>
            </w:r>
          </w:p>
        </w:tc>
      </w:tr>
      <w:tr w:rsidR="00B41651" w:rsidRPr="00B41651" w14:paraId="5408F626" w14:textId="77777777" w:rsidTr="00B108BA">
        <w:trPr>
          <w:jc w:val="center"/>
        </w:trPr>
        <w:tc>
          <w:tcPr>
            <w:tcW w:w="2701" w:type="pct"/>
            <w:tcBorders>
              <w:top w:val="single" w:sz="4" w:space="0" w:color="auto"/>
              <w:left w:val="single" w:sz="4" w:space="0" w:color="auto"/>
              <w:bottom w:val="single" w:sz="4" w:space="0" w:color="auto"/>
              <w:right w:val="single" w:sz="4" w:space="0" w:color="auto"/>
            </w:tcBorders>
            <w:hideMark/>
          </w:tcPr>
          <w:p w14:paraId="28CE3D63" w14:textId="77777777" w:rsidR="005A66B9" w:rsidRPr="00B41651" w:rsidRDefault="005A66B9" w:rsidP="009E3AD8">
            <w:pPr>
              <w:pStyle w:val="NormalWeb"/>
              <w:shd w:val="clear" w:color="auto" w:fill="FFFFFF"/>
              <w:spacing w:before="0" w:beforeAutospacing="0" w:after="0" w:afterAutospacing="0" w:line="276" w:lineRule="auto"/>
              <w:jc w:val="both"/>
              <w:rPr>
                <w:rStyle w:val="rvts5"/>
                <w:rFonts w:asciiTheme="minorHAnsi" w:hAnsiTheme="minorHAnsi" w:cstheme="minorHAnsi"/>
                <w:sz w:val="26"/>
                <w:szCs w:val="26"/>
              </w:rPr>
            </w:pPr>
            <w:r w:rsidRPr="00B41651">
              <w:rPr>
                <w:rStyle w:val="rvts5"/>
                <w:rFonts w:asciiTheme="minorHAnsi" w:hAnsiTheme="minorHAnsi" w:cstheme="minorHAnsi"/>
                <w:sz w:val="26"/>
                <w:szCs w:val="26"/>
              </w:rPr>
              <w:t xml:space="preserve">Plângeri prealabile </w:t>
            </w:r>
          </w:p>
        </w:tc>
        <w:tc>
          <w:tcPr>
            <w:tcW w:w="814" w:type="pct"/>
            <w:tcBorders>
              <w:top w:val="single" w:sz="4" w:space="0" w:color="auto"/>
              <w:left w:val="single" w:sz="4" w:space="0" w:color="auto"/>
              <w:bottom w:val="single" w:sz="4" w:space="0" w:color="auto"/>
              <w:right w:val="single" w:sz="4" w:space="0" w:color="auto"/>
            </w:tcBorders>
            <w:hideMark/>
          </w:tcPr>
          <w:p w14:paraId="0B15C686" w14:textId="77777777" w:rsidR="005A66B9" w:rsidRPr="00B41651" w:rsidRDefault="005A66B9" w:rsidP="009E3AD8">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14</w:t>
            </w:r>
          </w:p>
        </w:tc>
        <w:tc>
          <w:tcPr>
            <w:tcW w:w="748" w:type="pct"/>
            <w:tcBorders>
              <w:top w:val="single" w:sz="4" w:space="0" w:color="auto"/>
              <w:left w:val="single" w:sz="4" w:space="0" w:color="auto"/>
              <w:bottom w:val="single" w:sz="4" w:space="0" w:color="auto"/>
              <w:right w:val="single" w:sz="4" w:space="0" w:color="auto"/>
            </w:tcBorders>
            <w:hideMark/>
          </w:tcPr>
          <w:p w14:paraId="5D6DC810" w14:textId="083A2A1E" w:rsidR="005A66B9" w:rsidRPr="00B41651" w:rsidRDefault="008048D7" w:rsidP="009E3AD8">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8</w:t>
            </w:r>
          </w:p>
        </w:tc>
        <w:tc>
          <w:tcPr>
            <w:tcW w:w="736" w:type="pct"/>
            <w:tcBorders>
              <w:top w:val="single" w:sz="4" w:space="0" w:color="auto"/>
              <w:left w:val="single" w:sz="4" w:space="0" w:color="auto"/>
              <w:bottom w:val="single" w:sz="4" w:space="0" w:color="auto"/>
              <w:right w:val="single" w:sz="4" w:space="0" w:color="auto"/>
            </w:tcBorders>
            <w:hideMark/>
          </w:tcPr>
          <w:p w14:paraId="57A0EF4B" w14:textId="77777777" w:rsidR="005A66B9" w:rsidRPr="00B41651" w:rsidRDefault="005A66B9" w:rsidP="009E3AD8">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2</w:t>
            </w:r>
          </w:p>
        </w:tc>
      </w:tr>
      <w:tr w:rsidR="00B41651" w:rsidRPr="00B41651" w14:paraId="4B55BB3D" w14:textId="77777777" w:rsidTr="00B108BA">
        <w:trPr>
          <w:jc w:val="center"/>
        </w:trPr>
        <w:tc>
          <w:tcPr>
            <w:tcW w:w="2701" w:type="pct"/>
            <w:tcBorders>
              <w:top w:val="single" w:sz="4" w:space="0" w:color="auto"/>
              <w:left w:val="single" w:sz="4" w:space="0" w:color="auto"/>
              <w:bottom w:val="single" w:sz="4" w:space="0" w:color="auto"/>
              <w:right w:val="single" w:sz="4" w:space="0" w:color="auto"/>
            </w:tcBorders>
            <w:hideMark/>
          </w:tcPr>
          <w:p w14:paraId="76D7EAD7" w14:textId="77777777" w:rsidR="005A66B9" w:rsidRPr="00B41651" w:rsidRDefault="005A66B9" w:rsidP="009E3AD8">
            <w:pPr>
              <w:pStyle w:val="NormalWeb"/>
              <w:shd w:val="clear" w:color="auto" w:fill="FFFFFF"/>
              <w:spacing w:before="0" w:beforeAutospacing="0" w:after="0" w:afterAutospacing="0" w:line="276" w:lineRule="auto"/>
              <w:jc w:val="both"/>
              <w:rPr>
                <w:rStyle w:val="rvts5"/>
                <w:rFonts w:asciiTheme="minorHAnsi" w:hAnsiTheme="minorHAnsi" w:cstheme="minorHAnsi"/>
                <w:sz w:val="26"/>
                <w:szCs w:val="26"/>
              </w:rPr>
            </w:pPr>
            <w:r w:rsidRPr="00B41651">
              <w:rPr>
                <w:rStyle w:val="rvts5"/>
                <w:rFonts w:asciiTheme="minorHAnsi" w:hAnsiTheme="minorHAnsi" w:cstheme="minorHAnsi"/>
                <w:sz w:val="26"/>
                <w:szCs w:val="26"/>
              </w:rPr>
              <w:t xml:space="preserve">Concursuri </w:t>
            </w:r>
          </w:p>
        </w:tc>
        <w:tc>
          <w:tcPr>
            <w:tcW w:w="814" w:type="pct"/>
            <w:tcBorders>
              <w:top w:val="single" w:sz="4" w:space="0" w:color="auto"/>
              <w:left w:val="single" w:sz="4" w:space="0" w:color="auto"/>
              <w:bottom w:val="single" w:sz="4" w:space="0" w:color="auto"/>
              <w:right w:val="single" w:sz="4" w:space="0" w:color="auto"/>
            </w:tcBorders>
            <w:hideMark/>
          </w:tcPr>
          <w:p w14:paraId="54592E8B" w14:textId="77777777" w:rsidR="005A66B9" w:rsidRPr="00B41651" w:rsidRDefault="005A66B9" w:rsidP="009E3AD8">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sz w:val="26"/>
                <w:szCs w:val="26"/>
              </w:rPr>
            </w:pPr>
          </w:p>
        </w:tc>
        <w:tc>
          <w:tcPr>
            <w:tcW w:w="748" w:type="pct"/>
            <w:tcBorders>
              <w:top w:val="single" w:sz="4" w:space="0" w:color="auto"/>
              <w:left w:val="single" w:sz="4" w:space="0" w:color="auto"/>
              <w:bottom w:val="single" w:sz="4" w:space="0" w:color="auto"/>
              <w:right w:val="single" w:sz="4" w:space="0" w:color="auto"/>
            </w:tcBorders>
            <w:hideMark/>
          </w:tcPr>
          <w:p w14:paraId="7C5B6ED2" w14:textId="2AE83742" w:rsidR="005A66B9" w:rsidRPr="00B41651" w:rsidRDefault="008048D7" w:rsidP="009E3AD8">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3</w:t>
            </w:r>
            <w:r w:rsidRPr="00B41651">
              <w:rPr>
                <w:rStyle w:val="rvts5"/>
                <w:rFonts w:cstheme="minorHAnsi"/>
                <w:sz w:val="26"/>
                <w:szCs w:val="26"/>
              </w:rPr>
              <w:t>3</w:t>
            </w:r>
          </w:p>
        </w:tc>
        <w:tc>
          <w:tcPr>
            <w:tcW w:w="736" w:type="pct"/>
            <w:tcBorders>
              <w:top w:val="single" w:sz="4" w:space="0" w:color="auto"/>
              <w:left w:val="single" w:sz="4" w:space="0" w:color="auto"/>
              <w:bottom w:val="single" w:sz="4" w:space="0" w:color="auto"/>
              <w:right w:val="single" w:sz="4" w:space="0" w:color="auto"/>
            </w:tcBorders>
            <w:hideMark/>
          </w:tcPr>
          <w:p w14:paraId="5AB776CF" w14:textId="59065FEA" w:rsidR="005A66B9" w:rsidRPr="00B41651" w:rsidRDefault="008048D7" w:rsidP="009E3AD8">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1</w:t>
            </w:r>
            <w:r w:rsidRPr="00B41651">
              <w:rPr>
                <w:rStyle w:val="rvts5"/>
                <w:rFonts w:cstheme="minorHAnsi"/>
                <w:sz w:val="26"/>
                <w:szCs w:val="26"/>
              </w:rPr>
              <w:t>2</w:t>
            </w:r>
          </w:p>
        </w:tc>
      </w:tr>
      <w:tr w:rsidR="00B41651" w:rsidRPr="00B41651" w14:paraId="4FC50982" w14:textId="77777777" w:rsidTr="00B108BA">
        <w:trPr>
          <w:jc w:val="center"/>
        </w:trPr>
        <w:tc>
          <w:tcPr>
            <w:tcW w:w="2701" w:type="pct"/>
            <w:tcBorders>
              <w:top w:val="single" w:sz="4" w:space="0" w:color="auto"/>
              <w:left w:val="single" w:sz="4" w:space="0" w:color="auto"/>
              <w:bottom w:val="single" w:sz="4" w:space="0" w:color="auto"/>
              <w:right w:val="single" w:sz="4" w:space="0" w:color="auto"/>
            </w:tcBorders>
            <w:hideMark/>
          </w:tcPr>
          <w:p w14:paraId="32FCFD69" w14:textId="77777777" w:rsidR="005A66B9" w:rsidRPr="00B41651" w:rsidRDefault="005A66B9" w:rsidP="009E3AD8">
            <w:pPr>
              <w:pStyle w:val="NormalWeb"/>
              <w:shd w:val="clear" w:color="auto" w:fill="FFFFFF"/>
              <w:spacing w:before="0" w:beforeAutospacing="0" w:after="0" w:afterAutospacing="0" w:line="276" w:lineRule="auto"/>
              <w:jc w:val="both"/>
              <w:rPr>
                <w:rStyle w:val="rvts5"/>
                <w:rFonts w:asciiTheme="minorHAnsi" w:hAnsiTheme="minorHAnsi" w:cstheme="minorHAnsi"/>
                <w:sz w:val="26"/>
                <w:szCs w:val="26"/>
              </w:rPr>
            </w:pPr>
            <w:r w:rsidRPr="00B41651">
              <w:rPr>
                <w:rStyle w:val="rvts5"/>
                <w:rFonts w:asciiTheme="minorHAnsi" w:hAnsiTheme="minorHAnsi" w:cstheme="minorHAnsi"/>
                <w:sz w:val="26"/>
                <w:szCs w:val="26"/>
              </w:rPr>
              <w:t xml:space="preserve">Avizarea modificare state de funcţii şi de personal </w:t>
            </w:r>
          </w:p>
        </w:tc>
        <w:tc>
          <w:tcPr>
            <w:tcW w:w="814" w:type="pct"/>
            <w:tcBorders>
              <w:top w:val="single" w:sz="4" w:space="0" w:color="auto"/>
              <w:left w:val="single" w:sz="4" w:space="0" w:color="auto"/>
              <w:bottom w:val="single" w:sz="4" w:space="0" w:color="auto"/>
              <w:right w:val="single" w:sz="4" w:space="0" w:color="auto"/>
            </w:tcBorders>
            <w:hideMark/>
          </w:tcPr>
          <w:p w14:paraId="2E926E5A" w14:textId="174C21C4" w:rsidR="005A66B9" w:rsidRPr="00B41651" w:rsidRDefault="008048D7" w:rsidP="009E3AD8">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1</w:t>
            </w:r>
            <w:r w:rsidRPr="00B41651">
              <w:rPr>
                <w:rStyle w:val="rvts5"/>
                <w:rFonts w:cstheme="minorHAnsi"/>
                <w:sz w:val="26"/>
                <w:szCs w:val="26"/>
              </w:rPr>
              <w:t>0</w:t>
            </w:r>
          </w:p>
        </w:tc>
        <w:tc>
          <w:tcPr>
            <w:tcW w:w="748" w:type="pct"/>
            <w:tcBorders>
              <w:top w:val="single" w:sz="4" w:space="0" w:color="auto"/>
              <w:left w:val="single" w:sz="4" w:space="0" w:color="auto"/>
              <w:bottom w:val="single" w:sz="4" w:space="0" w:color="auto"/>
              <w:right w:val="single" w:sz="4" w:space="0" w:color="auto"/>
            </w:tcBorders>
            <w:hideMark/>
          </w:tcPr>
          <w:p w14:paraId="42A037EE" w14:textId="77777777" w:rsidR="005A66B9" w:rsidRPr="00B41651" w:rsidRDefault="005A66B9" w:rsidP="009E3AD8">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18</w:t>
            </w:r>
          </w:p>
        </w:tc>
        <w:tc>
          <w:tcPr>
            <w:tcW w:w="736" w:type="pct"/>
            <w:tcBorders>
              <w:top w:val="single" w:sz="4" w:space="0" w:color="auto"/>
              <w:left w:val="single" w:sz="4" w:space="0" w:color="auto"/>
              <w:bottom w:val="single" w:sz="4" w:space="0" w:color="auto"/>
              <w:right w:val="single" w:sz="4" w:space="0" w:color="auto"/>
            </w:tcBorders>
            <w:hideMark/>
          </w:tcPr>
          <w:p w14:paraId="178E7902" w14:textId="77777777" w:rsidR="005A66B9" w:rsidRPr="00B41651" w:rsidRDefault="005A66B9" w:rsidP="009E3AD8">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w:t>
            </w:r>
          </w:p>
        </w:tc>
      </w:tr>
      <w:tr w:rsidR="00B41651" w:rsidRPr="00B41651" w14:paraId="5C5DF9CA" w14:textId="77777777" w:rsidTr="00B108BA">
        <w:trPr>
          <w:jc w:val="center"/>
        </w:trPr>
        <w:tc>
          <w:tcPr>
            <w:tcW w:w="2701" w:type="pct"/>
            <w:tcBorders>
              <w:top w:val="single" w:sz="4" w:space="0" w:color="auto"/>
              <w:left w:val="single" w:sz="4" w:space="0" w:color="auto"/>
              <w:bottom w:val="single" w:sz="4" w:space="0" w:color="auto"/>
              <w:right w:val="single" w:sz="4" w:space="0" w:color="auto"/>
            </w:tcBorders>
            <w:hideMark/>
          </w:tcPr>
          <w:p w14:paraId="550A9A84" w14:textId="77777777" w:rsidR="005A66B9" w:rsidRPr="00B41651" w:rsidRDefault="005A66B9" w:rsidP="009E3AD8">
            <w:pPr>
              <w:pStyle w:val="NormalWeb"/>
              <w:shd w:val="clear" w:color="auto" w:fill="FFFFFF"/>
              <w:spacing w:before="0" w:beforeAutospacing="0" w:after="0" w:afterAutospacing="0" w:line="276" w:lineRule="auto"/>
              <w:jc w:val="both"/>
              <w:rPr>
                <w:rStyle w:val="rvts5"/>
                <w:rFonts w:asciiTheme="minorHAnsi" w:hAnsiTheme="minorHAnsi" w:cstheme="minorHAnsi"/>
                <w:sz w:val="26"/>
                <w:szCs w:val="26"/>
              </w:rPr>
            </w:pPr>
            <w:r w:rsidRPr="00B41651">
              <w:rPr>
                <w:rStyle w:val="rvts5"/>
                <w:rFonts w:asciiTheme="minorHAnsi" w:hAnsiTheme="minorHAnsi" w:cstheme="minorHAnsi"/>
                <w:sz w:val="26"/>
                <w:szCs w:val="26"/>
              </w:rPr>
              <w:t>Contestaţii împotriva punctajului obţinut la evaluarea activităţii şi conduitei</w:t>
            </w:r>
          </w:p>
        </w:tc>
        <w:tc>
          <w:tcPr>
            <w:tcW w:w="814" w:type="pct"/>
            <w:tcBorders>
              <w:top w:val="single" w:sz="4" w:space="0" w:color="auto"/>
              <w:left w:val="single" w:sz="4" w:space="0" w:color="auto"/>
              <w:bottom w:val="single" w:sz="4" w:space="0" w:color="auto"/>
              <w:right w:val="single" w:sz="4" w:space="0" w:color="auto"/>
            </w:tcBorders>
            <w:hideMark/>
          </w:tcPr>
          <w:p w14:paraId="12D68F13" w14:textId="77777777" w:rsidR="005A66B9" w:rsidRPr="00B41651" w:rsidRDefault="005A66B9" w:rsidP="009E3AD8">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w:t>
            </w:r>
          </w:p>
        </w:tc>
        <w:tc>
          <w:tcPr>
            <w:tcW w:w="748" w:type="pct"/>
            <w:tcBorders>
              <w:top w:val="single" w:sz="4" w:space="0" w:color="auto"/>
              <w:left w:val="single" w:sz="4" w:space="0" w:color="auto"/>
              <w:bottom w:val="single" w:sz="4" w:space="0" w:color="auto"/>
              <w:right w:val="single" w:sz="4" w:space="0" w:color="auto"/>
            </w:tcBorders>
            <w:hideMark/>
          </w:tcPr>
          <w:p w14:paraId="4C3B8C91" w14:textId="0AF9C922" w:rsidR="005A66B9" w:rsidRPr="00B41651" w:rsidRDefault="001F624B" w:rsidP="009E3AD8">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1</w:t>
            </w:r>
            <w:r w:rsidRPr="00B41651">
              <w:rPr>
                <w:rStyle w:val="rvts5"/>
                <w:rFonts w:cstheme="minorHAnsi"/>
                <w:sz w:val="26"/>
                <w:szCs w:val="26"/>
              </w:rPr>
              <w:t>54</w:t>
            </w:r>
          </w:p>
        </w:tc>
        <w:tc>
          <w:tcPr>
            <w:tcW w:w="736" w:type="pct"/>
            <w:tcBorders>
              <w:top w:val="single" w:sz="4" w:space="0" w:color="auto"/>
              <w:left w:val="single" w:sz="4" w:space="0" w:color="auto"/>
              <w:bottom w:val="single" w:sz="4" w:space="0" w:color="auto"/>
              <w:right w:val="single" w:sz="4" w:space="0" w:color="auto"/>
            </w:tcBorders>
            <w:hideMark/>
          </w:tcPr>
          <w:p w14:paraId="238C6727" w14:textId="5CA58878" w:rsidR="005A66B9" w:rsidRPr="00B41651" w:rsidRDefault="001F624B" w:rsidP="009E3AD8">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2</w:t>
            </w:r>
            <w:r w:rsidRPr="00B41651">
              <w:rPr>
                <w:rStyle w:val="rvts5"/>
                <w:rFonts w:cstheme="minorHAnsi"/>
                <w:sz w:val="26"/>
                <w:szCs w:val="26"/>
              </w:rPr>
              <w:t>2</w:t>
            </w:r>
          </w:p>
        </w:tc>
      </w:tr>
      <w:tr w:rsidR="00B41651" w:rsidRPr="00B41651" w14:paraId="4B6771D4" w14:textId="77777777" w:rsidTr="00B108BA">
        <w:trPr>
          <w:jc w:val="center"/>
        </w:trPr>
        <w:tc>
          <w:tcPr>
            <w:tcW w:w="2701" w:type="pct"/>
            <w:tcBorders>
              <w:top w:val="single" w:sz="4" w:space="0" w:color="auto"/>
              <w:left w:val="single" w:sz="4" w:space="0" w:color="auto"/>
              <w:bottom w:val="single" w:sz="4" w:space="0" w:color="auto"/>
              <w:right w:val="single" w:sz="4" w:space="0" w:color="auto"/>
            </w:tcBorders>
            <w:hideMark/>
          </w:tcPr>
          <w:p w14:paraId="1C44A42F" w14:textId="49AB2D8A" w:rsidR="005A66B9" w:rsidRPr="00B41651" w:rsidRDefault="005A66B9" w:rsidP="009E3AD8">
            <w:pPr>
              <w:pStyle w:val="NormalWeb"/>
              <w:shd w:val="clear" w:color="auto" w:fill="FFFFFF"/>
              <w:spacing w:before="0" w:beforeAutospacing="0" w:after="0" w:afterAutospacing="0" w:line="276" w:lineRule="auto"/>
              <w:jc w:val="both"/>
              <w:rPr>
                <w:rStyle w:val="rvts5"/>
                <w:rFonts w:asciiTheme="minorHAnsi" w:hAnsiTheme="minorHAnsi" w:cstheme="minorHAnsi"/>
                <w:sz w:val="26"/>
                <w:szCs w:val="26"/>
              </w:rPr>
            </w:pPr>
            <w:r w:rsidRPr="00B41651">
              <w:rPr>
                <w:rStyle w:val="rvts5"/>
                <w:rFonts w:asciiTheme="minorHAnsi" w:hAnsiTheme="minorHAnsi" w:cstheme="minorHAnsi"/>
                <w:sz w:val="26"/>
                <w:szCs w:val="26"/>
              </w:rPr>
              <w:t>Punerea în executare (decizii Î</w:t>
            </w:r>
            <w:r w:rsidR="0043590C" w:rsidRPr="00B41651">
              <w:rPr>
                <w:rStyle w:val="rvts5"/>
                <w:rFonts w:asciiTheme="minorHAnsi" w:hAnsiTheme="minorHAnsi" w:cstheme="minorHAnsi"/>
                <w:sz w:val="26"/>
                <w:szCs w:val="26"/>
              </w:rPr>
              <w:t>.</w:t>
            </w:r>
            <w:r w:rsidRPr="00B41651">
              <w:rPr>
                <w:rStyle w:val="rvts5"/>
                <w:rFonts w:asciiTheme="minorHAnsi" w:hAnsiTheme="minorHAnsi" w:cstheme="minorHAnsi"/>
                <w:sz w:val="26"/>
                <w:szCs w:val="26"/>
              </w:rPr>
              <w:t>C</w:t>
            </w:r>
            <w:r w:rsidR="0043590C" w:rsidRPr="00B41651">
              <w:rPr>
                <w:rStyle w:val="rvts5"/>
                <w:rFonts w:asciiTheme="minorHAnsi" w:hAnsiTheme="minorHAnsi" w:cstheme="minorHAnsi"/>
                <w:sz w:val="26"/>
                <w:szCs w:val="26"/>
              </w:rPr>
              <w:t>.</w:t>
            </w:r>
            <w:r w:rsidRPr="00B41651">
              <w:rPr>
                <w:rStyle w:val="rvts5"/>
                <w:rFonts w:asciiTheme="minorHAnsi" w:hAnsiTheme="minorHAnsi" w:cstheme="minorHAnsi"/>
                <w:sz w:val="26"/>
                <w:szCs w:val="26"/>
              </w:rPr>
              <w:t>C</w:t>
            </w:r>
            <w:r w:rsidR="0043590C" w:rsidRPr="00B41651">
              <w:rPr>
                <w:rStyle w:val="rvts5"/>
                <w:rFonts w:asciiTheme="minorHAnsi" w:hAnsiTheme="minorHAnsi" w:cstheme="minorHAnsi"/>
                <w:sz w:val="26"/>
                <w:szCs w:val="26"/>
              </w:rPr>
              <w:t>.</w:t>
            </w:r>
            <w:r w:rsidRPr="00B41651">
              <w:rPr>
                <w:rStyle w:val="rvts5"/>
                <w:rFonts w:asciiTheme="minorHAnsi" w:hAnsiTheme="minorHAnsi" w:cstheme="minorHAnsi"/>
                <w:sz w:val="26"/>
                <w:szCs w:val="26"/>
              </w:rPr>
              <w:t>J</w:t>
            </w:r>
            <w:r w:rsidR="0043590C" w:rsidRPr="00B41651">
              <w:rPr>
                <w:rStyle w:val="rvts5"/>
                <w:rFonts w:asciiTheme="minorHAnsi" w:hAnsiTheme="minorHAnsi" w:cstheme="minorHAnsi"/>
                <w:sz w:val="26"/>
                <w:szCs w:val="26"/>
              </w:rPr>
              <w:t>.</w:t>
            </w:r>
            <w:r w:rsidRPr="00B41651">
              <w:rPr>
                <w:rStyle w:val="rvts5"/>
                <w:rFonts w:asciiTheme="minorHAnsi" w:hAnsiTheme="minorHAnsi" w:cstheme="minorHAnsi"/>
                <w:sz w:val="26"/>
                <w:szCs w:val="26"/>
              </w:rPr>
              <w:t>)</w:t>
            </w:r>
          </w:p>
        </w:tc>
        <w:tc>
          <w:tcPr>
            <w:tcW w:w="814" w:type="pct"/>
            <w:tcBorders>
              <w:top w:val="single" w:sz="4" w:space="0" w:color="auto"/>
              <w:left w:val="single" w:sz="4" w:space="0" w:color="auto"/>
              <w:bottom w:val="single" w:sz="4" w:space="0" w:color="auto"/>
              <w:right w:val="single" w:sz="4" w:space="0" w:color="auto"/>
            </w:tcBorders>
            <w:hideMark/>
          </w:tcPr>
          <w:p w14:paraId="105B64D6" w14:textId="77777777" w:rsidR="005A66B9" w:rsidRPr="00B41651" w:rsidRDefault="005A66B9" w:rsidP="009E3AD8">
            <w:pPr>
              <w:spacing w:line="276" w:lineRule="auto"/>
              <w:jc w:val="center"/>
              <w:rPr>
                <w:rStyle w:val="rvts5"/>
                <w:rFonts w:asciiTheme="minorHAnsi" w:hAnsiTheme="minorHAnsi" w:cstheme="minorHAnsi"/>
                <w:sz w:val="26"/>
                <w:szCs w:val="26"/>
              </w:rPr>
            </w:pPr>
          </w:p>
        </w:tc>
        <w:tc>
          <w:tcPr>
            <w:tcW w:w="748" w:type="pct"/>
            <w:tcBorders>
              <w:top w:val="single" w:sz="4" w:space="0" w:color="auto"/>
              <w:left w:val="single" w:sz="4" w:space="0" w:color="auto"/>
              <w:bottom w:val="single" w:sz="4" w:space="0" w:color="auto"/>
              <w:right w:val="single" w:sz="4" w:space="0" w:color="auto"/>
            </w:tcBorders>
            <w:hideMark/>
          </w:tcPr>
          <w:p w14:paraId="1D381D57" w14:textId="37AD24B1" w:rsidR="005A66B9" w:rsidRPr="00B41651" w:rsidRDefault="001F624B" w:rsidP="009E3AD8">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1</w:t>
            </w:r>
            <w:r w:rsidRPr="00B41651">
              <w:rPr>
                <w:rStyle w:val="rvts5"/>
                <w:rFonts w:cstheme="minorHAnsi"/>
                <w:sz w:val="26"/>
                <w:szCs w:val="26"/>
              </w:rPr>
              <w:t>7</w:t>
            </w:r>
          </w:p>
        </w:tc>
        <w:tc>
          <w:tcPr>
            <w:tcW w:w="736" w:type="pct"/>
            <w:tcBorders>
              <w:top w:val="single" w:sz="4" w:space="0" w:color="auto"/>
              <w:left w:val="single" w:sz="4" w:space="0" w:color="auto"/>
              <w:bottom w:val="single" w:sz="4" w:space="0" w:color="auto"/>
              <w:right w:val="single" w:sz="4" w:space="0" w:color="auto"/>
            </w:tcBorders>
            <w:hideMark/>
          </w:tcPr>
          <w:p w14:paraId="0CCA63E8" w14:textId="37F45170" w:rsidR="005A66B9" w:rsidRPr="00B41651" w:rsidRDefault="001F624B" w:rsidP="009E3AD8">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2</w:t>
            </w:r>
          </w:p>
        </w:tc>
      </w:tr>
      <w:tr w:rsidR="00B41651" w:rsidRPr="00B41651" w14:paraId="43B38DA4" w14:textId="77777777" w:rsidTr="00B108BA">
        <w:trPr>
          <w:jc w:val="center"/>
        </w:trPr>
        <w:tc>
          <w:tcPr>
            <w:tcW w:w="2701" w:type="pct"/>
            <w:tcBorders>
              <w:top w:val="single" w:sz="4" w:space="0" w:color="auto"/>
              <w:left w:val="single" w:sz="4" w:space="0" w:color="auto"/>
              <w:bottom w:val="single" w:sz="4" w:space="0" w:color="auto"/>
              <w:right w:val="single" w:sz="4" w:space="0" w:color="auto"/>
            </w:tcBorders>
            <w:hideMark/>
          </w:tcPr>
          <w:p w14:paraId="5A86B4D8" w14:textId="18040DA0" w:rsidR="005A66B9" w:rsidRPr="00B41651" w:rsidRDefault="005A66B9" w:rsidP="009E3AD8">
            <w:pPr>
              <w:pStyle w:val="NormalWeb"/>
              <w:shd w:val="clear" w:color="auto" w:fill="FFFFFF"/>
              <w:spacing w:before="0" w:beforeAutospacing="0" w:after="0" w:afterAutospacing="0" w:line="276" w:lineRule="auto"/>
              <w:jc w:val="both"/>
              <w:rPr>
                <w:rStyle w:val="rvts5"/>
                <w:rFonts w:asciiTheme="minorHAnsi" w:hAnsiTheme="minorHAnsi" w:cstheme="minorHAnsi"/>
                <w:sz w:val="26"/>
                <w:szCs w:val="26"/>
              </w:rPr>
            </w:pPr>
            <w:r w:rsidRPr="00B41651">
              <w:rPr>
                <w:rStyle w:val="rvts5"/>
                <w:rFonts w:asciiTheme="minorHAnsi" w:hAnsiTheme="minorHAnsi" w:cstheme="minorHAnsi"/>
                <w:sz w:val="26"/>
                <w:szCs w:val="26"/>
              </w:rPr>
              <w:t>Avize</w:t>
            </w:r>
            <w:r w:rsidR="00E42FC4" w:rsidRPr="00B41651">
              <w:rPr>
                <w:rStyle w:val="rvts5"/>
                <w:rFonts w:asciiTheme="minorHAnsi" w:hAnsiTheme="minorHAnsi" w:cstheme="minorHAnsi"/>
                <w:sz w:val="26"/>
                <w:szCs w:val="26"/>
              </w:rPr>
              <w:t>/</w:t>
            </w:r>
            <w:r w:rsidRPr="00B41651">
              <w:rPr>
                <w:rStyle w:val="rvts5"/>
                <w:rFonts w:asciiTheme="minorHAnsi" w:hAnsiTheme="minorHAnsi" w:cstheme="minorHAnsi"/>
                <w:sz w:val="26"/>
                <w:szCs w:val="26"/>
              </w:rPr>
              <w:t>Regulamente/metodologii/proceduri</w:t>
            </w:r>
            <w:r w:rsidR="00E42FC4" w:rsidRPr="00B41651">
              <w:rPr>
                <w:rStyle w:val="rvts5"/>
                <w:rFonts w:asciiTheme="minorHAnsi" w:hAnsiTheme="minorHAnsi" w:cstheme="minorHAnsi"/>
                <w:sz w:val="26"/>
                <w:szCs w:val="26"/>
              </w:rPr>
              <w:t xml:space="preserve">/ </w:t>
            </w:r>
            <w:r w:rsidRPr="00B41651">
              <w:rPr>
                <w:rStyle w:val="rvts5"/>
                <w:rFonts w:asciiTheme="minorHAnsi" w:hAnsiTheme="minorHAnsi" w:cstheme="minorHAnsi"/>
                <w:sz w:val="26"/>
                <w:szCs w:val="26"/>
              </w:rPr>
              <w:t>sesizări M</w:t>
            </w:r>
            <w:r w:rsidR="0043590C" w:rsidRPr="00B41651">
              <w:rPr>
                <w:rStyle w:val="rvts5"/>
                <w:rFonts w:asciiTheme="minorHAnsi" w:hAnsiTheme="minorHAnsi" w:cstheme="minorHAnsi"/>
                <w:sz w:val="26"/>
                <w:szCs w:val="26"/>
              </w:rPr>
              <w:t>.</w:t>
            </w:r>
            <w:r w:rsidRPr="00B41651">
              <w:rPr>
                <w:rStyle w:val="rvts5"/>
                <w:rFonts w:asciiTheme="minorHAnsi" w:hAnsiTheme="minorHAnsi" w:cstheme="minorHAnsi"/>
                <w:sz w:val="26"/>
                <w:szCs w:val="26"/>
              </w:rPr>
              <w:t>J</w:t>
            </w:r>
            <w:r w:rsidR="0043590C" w:rsidRPr="00B41651">
              <w:rPr>
                <w:rStyle w:val="rvts5"/>
                <w:rFonts w:asciiTheme="minorHAnsi" w:hAnsiTheme="minorHAnsi" w:cstheme="minorHAnsi"/>
                <w:sz w:val="26"/>
                <w:szCs w:val="26"/>
              </w:rPr>
              <w:t>.</w:t>
            </w:r>
          </w:p>
        </w:tc>
        <w:tc>
          <w:tcPr>
            <w:tcW w:w="814" w:type="pct"/>
            <w:tcBorders>
              <w:top w:val="single" w:sz="4" w:space="0" w:color="auto"/>
              <w:left w:val="single" w:sz="4" w:space="0" w:color="auto"/>
              <w:bottom w:val="single" w:sz="4" w:space="0" w:color="auto"/>
              <w:right w:val="single" w:sz="4" w:space="0" w:color="auto"/>
            </w:tcBorders>
            <w:hideMark/>
          </w:tcPr>
          <w:p w14:paraId="7CD4B2B5" w14:textId="209F2EA9" w:rsidR="005A66B9" w:rsidRPr="00B41651" w:rsidRDefault="001F624B" w:rsidP="009E3AD8">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1</w:t>
            </w:r>
            <w:r w:rsidRPr="00B41651">
              <w:rPr>
                <w:rStyle w:val="rvts5"/>
                <w:rFonts w:cstheme="minorHAnsi"/>
                <w:sz w:val="26"/>
                <w:szCs w:val="26"/>
              </w:rPr>
              <w:t>3</w:t>
            </w:r>
          </w:p>
        </w:tc>
        <w:tc>
          <w:tcPr>
            <w:tcW w:w="748" w:type="pct"/>
            <w:tcBorders>
              <w:top w:val="single" w:sz="4" w:space="0" w:color="auto"/>
              <w:left w:val="single" w:sz="4" w:space="0" w:color="auto"/>
              <w:bottom w:val="single" w:sz="4" w:space="0" w:color="auto"/>
              <w:right w:val="single" w:sz="4" w:space="0" w:color="auto"/>
            </w:tcBorders>
            <w:hideMark/>
          </w:tcPr>
          <w:p w14:paraId="06D8CDB5" w14:textId="10A2AAE3" w:rsidR="005A66B9" w:rsidRPr="00B41651" w:rsidRDefault="001F624B" w:rsidP="009E3AD8">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2</w:t>
            </w:r>
          </w:p>
        </w:tc>
        <w:tc>
          <w:tcPr>
            <w:tcW w:w="736" w:type="pct"/>
            <w:tcBorders>
              <w:top w:val="single" w:sz="4" w:space="0" w:color="auto"/>
              <w:left w:val="single" w:sz="4" w:space="0" w:color="auto"/>
              <w:bottom w:val="single" w:sz="4" w:space="0" w:color="auto"/>
              <w:right w:val="single" w:sz="4" w:space="0" w:color="auto"/>
            </w:tcBorders>
            <w:hideMark/>
          </w:tcPr>
          <w:p w14:paraId="46584749" w14:textId="77777777" w:rsidR="005A66B9" w:rsidRPr="00B41651" w:rsidRDefault="005A66B9" w:rsidP="009E3AD8">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w:t>
            </w:r>
          </w:p>
        </w:tc>
      </w:tr>
      <w:tr w:rsidR="00B41651" w:rsidRPr="00B41651" w14:paraId="2BB2BFAF" w14:textId="77777777" w:rsidTr="00B108BA">
        <w:trPr>
          <w:jc w:val="center"/>
        </w:trPr>
        <w:tc>
          <w:tcPr>
            <w:tcW w:w="2701" w:type="pct"/>
            <w:tcBorders>
              <w:top w:val="single" w:sz="4" w:space="0" w:color="auto"/>
              <w:left w:val="single" w:sz="4" w:space="0" w:color="auto"/>
              <w:bottom w:val="single" w:sz="4" w:space="0" w:color="auto"/>
              <w:right w:val="single" w:sz="4" w:space="0" w:color="auto"/>
            </w:tcBorders>
            <w:hideMark/>
          </w:tcPr>
          <w:p w14:paraId="5A4DA96A" w14:textId="77777777" w:rsidR="005A66B9" w:rsidRPr="00B41651" w:rsidRDefault="005A66B9" w:rsidP="009E3AD8">
            <w:pPr>
              <w:pStyle w:val="NormalWeb"/>
              <w:shd w:val="clear" w:color="auto" w:fill="FFFFFF"/>
              <w:spacing w:before="0" w:beforeAutospacing="0" w:after="0" w:afterAutospacing="0" w:line="276" w:lineRule="auto"/>
              <w:jc w:val="both"/>
              <w:rPr>
                <w:rStyle w:val="rvts5"/>
                <w:rFonts w:asciiTheme="minorHAnsi" w:hAnsiTheme="minorHAnsi" w:cstheme="minorHAnsi"/>
                <w:sz w:val="26"/>
                <w:szCs w:val="26"/>
              </w:rPr>
            </w:pPr>
            <w:r w:rsidRPr="00B41651">
              <w:rPr>
                <w:rStyle w:val="rvts5"/>
                <w:rFonts w:asciiTheme="minorHAnsi" w:hAnsiTheme="minorHAnsi" w:cstheme="minorHAnsi"/>
                <w:sz w:val="26"/>
                <w:szCs w:val="26"/>
              </w:rPr>
              <w:t>Completare/modificare/revocare hotărâri</w:t>
            </w:r>
          </w:p>
        </w:tc>
        <w:tc>
          <w:tcPr>
            <w:tcW w:w="814" w:type="pct"/>
            <w:tcBorders>
              <w:top w:val="single" w:sz="4" w:space="0" w:color="auto"/>
              <w:left w:val="single" w:sz="4" w:space="0" w:color="auto"/>
              <w:bottom w:val="single" w:sz="4" w:space="0" w:color="auto"/>
              <w:right w:val="single" w:sz="4" w:space="0" w:color="auto"/>
            </w:tcBorders>
            <w:hideMark/>
          </w:tcPr>
          <w:p w14:paraId="7069235E" w14:textId="77777777" w:rsidR="005A66B9" w:rsidRPr="00B41651" w:rsidRDefault="005A66B9" w:rsidP="009E3AD8">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1</w:t>
            </w:r>
          </w:p>
        </w:tc>
        <w:tc>
          <w:tcPr>
            <w:tcW w:w="748" w:type="pct"/>
            <w:tcBorders>
              <w:top w:val="single" w:sz="4" w:space="0" w:color="auto"/>
              <w:left w:val="single" w:sz="4" w:space="0" w:color="auto"/>
              <w:bottom w:val="single" w:sz="4" w:space="0" w:color="auto"/>
              <w:right w:val="single" w:sz="4" w:space="0" w:color="auto"/>
            </w:tcBorders>
            <w:hideMark/>
          </w:tcPr>
          <w:p w14:paraId="0C7EC184" w14:textId="36FAEC7C" w:rsidR="005A66B9" w:rsidRPr="00B41651" w:rsidRDefault="001F624B" w:rsidP="009E3AD8">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1</w:t>
            </w:r>
            <w:r w:rsidRPr="00B41651">
              <w:rPr>
                <w:rStyle w:val="rvts5"/>
                <w:rFonts w:cstheme="minorHAnsi"/>
                <w:sz w:val="26"/>
                <w:szCs w:val="26"/>
              </w:rPr>
              <w:t>7</w:t>
            </w:r>
          </w:p>
        </w:tc>
        <w:tc>
          <w:tcPr>
            <w:tcW w:w="736" w:type="pct"/>
            <w:tcBorders>
              <w:top w:val="single" w:sz="4" w:space="0" w:color="auto"/>
              <w:left w:val="single" w:sz="4" w:space="0" w:color="auto"/>
              <w:bottom w:val="single" w:sz="4" w:space="0" w:color="auto"/>
              <w:right w:val="single" w:sz="4" w:space="0" w:color="auto"/>
            </w:tcBorders>
            <w:hideMark/>
          </w:tcPr>
          <w:p w14:paraId="75D29BDF" w14:textId="1DD9E766" w:rsidR="005A66B9" w:rsidRPr="00B41651" w:rsidRDefault="001F624B" w:rsidP="009E3AD8">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8</w:t>
            </w:r>
          </w:p>
        </w:tc>
      </w:tr>
      <w:tr w:rsidR="00B41651" w:rsidRPr="00B41651" w14:paraId="401DD218" w14:textId="77777777" w:rsidTr="00B108BA">
        <w:trPr>
          <w:jc w:val="center"/>
        </w:trPr>
        <w:tc>
          <w:tcPr>
            <w:tcW w:w="2701" w:type="pct"/>
            <w:tcBorders>
              <w:top w:val="single" w:sz="4" w:space="0" w:color="auto"/>
              <w:left w:val="single" w:sz="4" w:space="0" w:color="auto"/>
              <w:bottom w:val="single" w:sz="4" w:space="0" w:color="auto"/>
              <w:right w:val="single" w:sz="4" w:space="0" w:color="auto"/>
            </w:tcBorders>
            <w:hideMark/>
          </w:tcPr>
          <w:p w14:paraId="03707837" w14:textId="77777777" w:rsidR="005A66B9" w:rsidRPr="00B41651" w:rsidRDefault="005A66B9" w:rsidP="009E3AD8">
            <w:pPr>
              <w:pStyle w:val="NormalWeb"/>
              <w:shd w:val="clear" w:color="auto" w:fill="FFFFFF"/>
              <w:spacing w:before="0" w:beforeAutospacing="0" w:after="0" w:afterAutospacing="0" w:line="276" w:lineRule="auto"/>
              <w:jc w:val="both"/>
              <w:rPr>
                <w:rStyle w:val="rvts5"/>
                <w:rFonts w:asciiTheme="minorHAnsi" w:hAnsiTheme="minorHAnsi" w:cstheme="minorHAnsi"/>
                <w:sz w:val="26"/>
                <w:szCs w:val="26"/>
              </w:rPr>
            </w:pPr>
            <w:r w:rsidRPr="00B41651">
              <w:rPr>
                <w:rStyle w:val="rvts5"/>
                <w:rFonts w:asciiTheme="minorHAnsi" w:hAnsiTheme="minorHAnsi" w:cstheme="minorHAnsi"/>
                <w:sz w:val="26"/>
                <w:szCs w:val="26"/>
              </w:rPr>
              <w:t>Completuri specializate/redenumire secţii</w:t>
            </w:r>
          </w:p>
        </w:tc>
        <w:tc>
          <w:tcPr>
            <w:tcW w:w="814" w:type="pct"/>
            <w:tcBorders>
              <w:top w:val="single" w:sz="4" w:space="0" w:color="auto"/>
              <w:left w:val="single" w:sz="4" w:space="0" w:color="auto"/>
              <w:bottom w:val="single" w:sz="4" w:space="0" w:color="auto"/>
              <w:right w:val="single" w:sz="4" w:space="0" w:color="auto"/>
            </w:tcBorders>
            <w:hideMark/>
          </w:tcPr>
          <w:p w14:paraId="0CC08F14" w14:textId="77777777" w:rsidR="005A66B9" w:rsidRPr="00B41651" w:rsidRDefault="005A66B9" w:rsidP="009E3AD8">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w:t>
            </w:r>
          </w:p>
        </w:tc>
        <w:tc>
          <w:tcPr>
            <w:tcW w:w="748" w:type="pct"/>
            <w:tcBorders>
              <w:top w:val="single" w:sz="4" w:space="0" w:color="auto"/>
              <w:left w:val="single" w:sz="4" w:space="0" w:color="auto"/>
              <w:bottom w:val="single" w:sz="4" w:space="0" w:color="auto"/>
              <w:right w:val="single" w:sz="4" w:space="0" w:color="auto"/>
            </w:tcBorders>
            <w:hideMark/>
          </w:tcPr>
          <w:p w14:paraId="523DB57A" w14:textId="05F4617C" w:rsidR="005A66B9" w:rsidRPr="00B41651" w:rsidRDefault="001F624B" w:rsidP="009E3AD8">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6</w:t>
            </w:r>
            <w:r w:rsidRPr="00B41651">
              <w:rPr>
                <w:rStyle w:val="rvts5"/>
                <w:rFonts w:cstheme="minorHAnsi"/>
                <w:sz w:val="26"/>
                <w:szCs w:val="26"/>
              </w:rPr>
              <w:t>1</w:t>
            </w:r>
          </w:p>
        </w:tc>
        <w:tc>
          <w:tcPr>
            <w:tcW w:w="736" w:type="pct"/>
            <w:tcBorders>
              <w:top w:val="single" w:sz="4" w:space="0" w:color="auto"/>
              <w:left w:val="single" w:sz="4" w:space="0" w:color="auto"/>
              <w:bottom w:val="single" w:sz="4" w:space="0" w:color="auto"/>
              <w:right w:val="single" w:sz="4" w:space="0" w:color="auto"/>
            </w:tcBorders>
            <w:hideMark/>
          </w:tcPr>
          <w:p w14:paraId="2467E08A" w14:textId="77777777" w:rsidR="005A66B9" w:rsidRPr="00B41651" w:rsidRDefault="005A66B9" w:rsidP="009E3AD8">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w:t>
            </w:r>
          </w:p>
        </w:tc>
      </w:tr>
      <w:tr w:rsidR="00B41651" w:rsidRPr="00B41651" w14:paraId="7F0041D7" w14:textId="77777777" w:rsidTr="00B108BA">
        <w:trPr>
          <w:jc w:val="center"/>
        </w:trPr>
        <w:tc>
          <w:tcPr>
            <w:tcW w:w="2701" w:type="pct"/>
            <w:tcBorders>
              <w:top w:val="single" w:sz="4" w:space="0" w:color="auto"/>
              <w:left w:val="single" w:sz="4" w:space="0" w:color="auto"/>
              <w:bottom w:val="single" w:sz="4" w:space="0" w:color="auto"/>
              <w:right w:val="single" w:sz="4" w:space="0" w:color="auto"/>
            </w:tcBorders>
            <w:hideMark/>
          </w:tcPr>
          <w:p w14:paraId="5311B2E4" w14:textId="1A0A6EDF" w:rsidR="005A66B9" w:rsidRPr="00B41651" w:rsidRDefault="005A66B9" w:rsidP="009E3AD8">
            <w:pPr>
              <w:pStyle w:val="NormalWeb"/>
              <w:shd w:val="clear" w:color="auto" w:fill="FFFFFF"/>
              <w:spacing w:before="0" w:beforeAutospacing="0" w:after="0" w:afterAutospacing="0" w:line="276" w:lineRule="auto"/>
              <w:jc w:val="both"/>
              <w:rPr>
                <w:rStyle w:val="rvts5"/>
                <w:rFonts w:asciiTheme="minorHAnsi" w:hAnsiTheme="minorHAnsi" w:cstheme="minorHAnsi"/>
                <w:sz w:val="26"/>
                <w:szCs w:val="26"/>
              </w:rPr>
            </w:pPr>
            <w:r w:rsidRPr="00B41651">
              <w:rPr>
                <w:rStyle w:val="rvts5"/>
                <w:rFonts w:asciiTheme="minorHAnsi" w:hAnsiTheme="minorHAnsi" w:cstheme="minorHAnsi"/>
                <w:sz w:val="26"/>
                <w:szCs w:val="26"/>
              </w:rPr>
              <w:t>Diverse alte hotărâri (ex: activitatea I</w:t>
            </w:r>
            <w:r w:rsidR="0043590C" w:rsidRPr="00B41651">
              <w:rPr>
                <w:rStyle w:val="rvts5"/>
                <w:rFonts w:asciiTheme="minorHAnsi" w:hAnsiTheme="minorHAnsi" w:cstheme="minorHAnsi"/>
                <w:sz w:val="26"/>
                <w:szCs w:val="26"/>
              </w:rPr>
              <w:t>.</w:t>
            </w:r>
            <w:r w:rsidRPr="00B41651">
              <w:rPr>
                <w:rStyle w:val="rvts5"/>
                <w:rFonts w:asciiTheme="minorHAnsi" w:hAnsiTheme="minorHAnsi" w:cstheme="minorHAnsi"/>
                <w:sz w:val="26"/>
                <w:szCs w:val="26"/>
              </w:rPr>
              <w:t>N</w:t>
            </w:r>
            <w:r w:rsidR="0043590C" w:rsidRPr="00B41651">
              <w:rPr>
                <w:rStyle w:val="rvts5"/>
                <w:rFonts w:asciiTheme="minorHAnsi" w:hAnsiTheme="minorHAnsi" w:cstheme="minorHAnsi"/>
                <w:sz w:val="26"/>
                <w:szCs w:val="26"/>
              </w:rPr>
              <w:t>.</w:t>
            </w:r>
            <w:r w:rsidRPr="00B41651">
              <w:rPr>
                <w:rStyle w:val="rvts5"/>
                <w:rFonts w:asciiTheme="minorHAnsi" w:hAnsiTheme="minorHAnsi" w:cstheme="minorHAnsi"/>
                <w:sz w:val="26"/>
                <w:szCs w:val="26"/>
              </w:rPr>
              <w:t>M</w:t>
            </w:r>
            <w:r w:rsidR="0043590C" w:rsidRPr="00B41651">
              <w:rPr>
                <w:rStyle w:val="rvts5"/>
                <w:rFonts w:asciiTheme="minorHAnsi" w:hAnsiTheme="minorHAnsi" w:cstheme="minorHAnsi"/>
                <w:sz w:val="26"/>
                <w:szCs w:val="26"/>
              </w:rPr>
              <w:t>.</w:t>
            </w:r>
            <w:r w:rsidRPr="00B41651">
              <w:rPr>
                <w:rStyle w:val="rvts5"/>
                <w:rFonts w:asciiTheme="minorHAnsi" w:hAnsiTheme="minorHAnsi" w:cstheme="minorHAnsi"/>
                <w:sz w:val="26"/>
                <w:szCs w:val="26"/>
              </w:rPr>
              <w:t>, S</w:t>
            </w:r>
            <w:r w:rsidR="0043590C" w:rsidRPr="00B41651">
              <w:rPr>
                <w:rStyle w:val="rvts5"/>
                <w:rFonts w:asciiTheme="minorHAnsi" w:hAnsiTheme="minorHAnsi" w:cstheme="minorHAnsi"/>
                <w:sz w:val="26"/>
                <w:szCs w:val="26"/>
              </w:rPr>
              <w:t>.</w:t>
            </w:r>
            <w:r w:rsidRPr="00B41651">
              <w:rPr>
                <w:rStyle w:val="rvts5"/>
                <w:rFonts w:asciiTheme="minorHAnsi" w:hAnsiTheme="minorHAnsi" w:cstheme="minorHAnsi"/>
                <w:sz w:val="26"/>
                <w:szCs w:val="26"/>
              </w:rPr>
              <w:t>N</w:t>
            </w:r>
            <w:r w:rsidR="0043590C" w:rsidRPr="00B41651">
              <w:rPr>
                <w:rStyle w:val="rvts5"/>
                <w:rFonts w:asciiTheme="minorHAnsi" w:hAnsiTheme="minorHAnsi" w:cstheme="minorHAnsi"/>
                <w:sz w:val="26"/>
                <w:szCs w:val="26"/>
              </w:rPr>
              <w:t>.</w:t>
            </w:r>
            <w:r w:rsidRPr="00B41651">
              <w:rPr>
                <w:rStyle w:val="rvts5"/>
                <w:rFonts w:asciiTheme="minorHAnsi" w:hAnsiTheme="minorHAnsi" w:cstheme="minorHAnsi"/>
                <w:sz w:val="26"/>
                <w:szCs w:val="26"/>
              </w:rPr>
              <w:t>G</w:t>
            </w:r>
            <w:r w:rsidR="0043590C" w:rsidRPr="00B41651">
              <w:rPr>
                <w:rStyle w:val="rvts5"/>
                <w:rFonts w:asciiTheme="minorHAnsi" w:hAnsiTheme="minorHAnsi" w:cstheme="minorHAnsi"/>
                <w:sz w:val="26"/>
                <w:szCs w:val="26"/>
              </w:rPr>
              <w:t>.</w:t>
            </w:r>
            <w:r w:rsidRPr="00B41651">
              <w:rPr>
                <w:rStyle w:val="rvts5"/>
                <w:rFonts w:asciiTheme="minorHAnsi" w:hAnsiTheme="minorHAnsi" w:cstheme="minorHAnsi"/>
                <w:sz w:val="26"/>
                <w:szCs w:val="26"/>
              </w:rPr>
              <w:t>, educaţie juridică în şcoli, înfiinţare posturi conducere, activitate administrativă C</w:t>
            </w:r>
            <w:r w:rsidR="0043590C" w:rsidRPr="00B41651">
              <w:rPr>
                <w:rStyle w:val="rvts5"/>
                <w:rFonts w:asciiTheme="minorHAnsi" w:hAnsiTheme="minorHAnsi" w:cstheme="minorHAnsi"/>
                <w:sz w:val="26"/>
                <w:szCs w:val="26"/>
              </w:rPr>
              <w:t>.</w:t>
            </w:r>
            <w:r w:rsidRPr="00B41651">
              <w:rPr>
                <w:rStyle w:val="rvts5"/>
                <w:rFonts w:asciiTheme="minorHAnsi" w:hAnsiTheme="minorHAnsi" w:cstheme="minorHAnsi"/>
                <w:sz w:val="26"/>
                <w:szCs w:val="26"/>
              </w:rPr>
              <w:t>S</w:t>
            </w:r>
            <w:r w:rsidR="0043590C" w:rsidRPr="00B41651">
              <w:rPr>
                <w:rStyle w:val="rvts5"/>
                <w:rFonts w:asciiTheme="minorHAnsi" w:hAnsiTheme="minorHAnsi" w:cstheme="minorHAnsi"/>
                <w:sz w:val="26"/>
                <w:szCs w:val="26"/>
              </w:rPr>
              <w:t>.</w:t>
            </w:r>
            <w:r w:rsidRPr="00B41651">
              <w:rPr>
                <w:rStyle w:val="rvts5"/>
                <w:rFonts w:asciiTheme="minorHAnsi" w:hAnsiTheme="minorHAnsi" w:cstheme="minorHAnsi"/>
                <w:sz w:val="26"/>
                <w:szCs w:val="26"/>
              </w:rPr>
              <w:t>M</w:t>
            </w:r>
            <w:r w:rsidR="0043590C" w:rsidRPr="00B41651">
              <w:rPr>
                <w:rStyle w:val="rvts5"/>
                <w:rFonts w:asciiTheme="minorHAnsi" w:hAnsiTheme="minorHAnsi" w:cstheme="minorHAnsi"/>
                <w:sz w:val="26"/>
                <w:szCs w:val="26"/>
              </w:rPr>
              <w:t>.</w:t>
            </w:r>
            <w:r w:rsidRPr="00B41651">
              <w:rPr>
                <w:rStyle w:val="rvts5"/>
                <w:rFonts w:asciiTheme="minorHAnsi" w:hAnsiTheme="minorHAnsi" w:cstheme="minorHAnsi"/>
                <w:sz w:val="26"/>
                <w:szCs w:val="26"/>
              </w:rPr>
              <w:t xml:space="preserve"> etc</w:t>
            </w:r>
            <w:r w:rsidR="0043590C" w:rsidRPr="00B41651">
              <w:rPr>
                <w:rStyle w:val="rvts5"/>
                <w:rFonts w:asciiTheme="minorHAnsi" w:hAnsiTheme="minorHAnsi" w:cstheme="minorHAnsi"/>
                <w:sz w:val="26"/>
                <w:szCs w:val="26"/>
              </w:rPr>
              <w:t>.</w:t>
            </w:r>
            <w:r w:rsidRPr="00B41651">
              <w:rPr>
                <w:rStyle w:val="rvts5"/>
                <w:rFonts w:asciiTheme="minorHAnsi" w:hAnsiTheme="minorHAnsi" w:cstheme="minorHAnsi"/>
                <w:sz w:val="26"/>
                <w:szCs w:val="26"/>
              </w:rPr>
              <w:t>)</w:t>
            </w:r>
          </w:p>
        </w:tc>
        <w:tc>
          <w:tcPr>
            <w:tcW w:w="814" w:type="pct"/>
            <w:tcBorders>
              <w:top w:val="single" w:sz="4" w:space="0" w:color="auto"/>
              <w:left w:val="single" w:sz="4" w:space="0" w:color="auto"/>
              <w:bottom w:val="single" w:sz="4" w:space="0" w:color="auto"/>
              <w:right w:val="single" w:sz="4" w:space="0" w:color="auto"/>
            </w:tcBorders>
            <w:hideMark/>
          </w:tcPr>
          <w:p w14:paraId="6908BC4D" w14:textId="4A1D590B" w:rsidR="005A66B9" w:rsidRPr="00B41651" w:rsidRDefault="001F624B" w:rsidP="009E3AD8">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1</w:t>
            </w:r>
            <w:r w:rsidRPr="00B41651">
              <w:rPr>
                <w:rStyle w:val="rvts5"/>
                <w:rFonts w:cstheme="minorHAnsi"/>
                <w:sz w:val="26"/>
                <w:szCs w:val="26"/>
              </w:rPr>
              <w:t>28</w:t>
            </w:r>
          </w:p>
        </w:tc>
        <w:tc>
          <w:tcPr>
            <w:tcW w:w="748" w:type="pct"/>
            <w:tcBorders>
              <w:top w:val="single" w:sz="4" w:space="0" w:color="auto"/>
              <w:left w:val="single" w:sz="4" w:space="0" w:color="auto"/>
              <w:bottom w:val="single" w:sz="4" w:space="0" w:color="auto"/>
              <w:right w:val="single" w:sz="4" w:space="0" w:color="auto"/>
            </w:tcBorders>
            <w:hideMark/>
          </w:tcPr>
          <w:p w14:paraId="0F2CD042" w14:textId="77777777" w:rsidR="005A66B9" w:rsidRPr="00B41651" w:rsidRDefault="005A66B9" w:rsidP="009E3AD8">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340</w:t>
            </w:r>
          </w:p>
        </w:tc>
        <w:tc>
          <w:tcPr>
            <w:tcW w:w="736" w:type="pct"/>
            <w:tcBorders>
              <w:top w:val="single" w:sz="4" w:space="0" w:color="auto"/>
              <w:left w:val="single" w:sz="4" w:space="0" w:color="auto"/>
              <w:bottom w:val="single" w:sz="4" w:space="0" w:color="auto"/>
              <w:right w:val="single" w:sz="4" w:space="0" w:color="auto"/>
            </w:tcBorders>
            <w:hideMark/>
          </w:tcPr>
          <w:p w14:paraId="453E383C" w14:textId="65DA4C69" w:rsidR="005A66B9" w:rsidRPr="00B41651" w:rsidRDefault="006A4286" w:rsidP="009E3AD8">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sz w:val="26"/>
                <w:szCs w:val="26"/>
              </w:rPr>
            </w:pPr>
            <w:r w:rsidRPr="00B41651">
              <w:rPr>
                <w:rStyle w:val="rvts5"/>
                <w:rFonts w:asciiTheme="minorHAnsi" w:hAnsiTheme="minorHAnsi" w:cstheme="minorHAnsi"/>
                <w:sz w:val="26"/>
                <w:szCs w:val="26"/>
              </w:rPr>
              <w:t>1</w:t>
            </w:r>
            <w:r w:rsidRPr="00B41651">
              <w:rPr>
                <w:rStyle w:val="rvts5"/>
                <w:rFonts w:cstheme="minorHAnsi"/>
                <w:sz w:val="26"/>
                <w:szCs w:val="26"/>
              </w:rPr>
              <w:t>10</w:t>
            </w:r>
          </w:p>
        </w:tc>
      </w:tr>
    </w:tbl>
    <w:p w14:paraId="0520B30B" w14:textId="1051FCBF" w:rsidR="001278AE" w:rsidRPr="00B41651" w:rsidRDefault="00586A66" w:rsidP="009E3AD8">
      <w:pPr>
        <w:pStyle w:val="Heading2"/>
        <w:keepLines w:val="0"/>
        <w:suppressLineNumbers/>
        <w:suppressAutoHyphens/>
        <w:jc w:val="both"/>
        <w:rPr>
          <w:rFonts w:cstheme="minorHAnsi"/>
          <w:color w:val="auto"/>
          <w:lang w:val="ro-RO"/>
        </w:rPr>
      </w:pPr>
      <w:bookmarkStart w:id="159" w:name="_Toc219287984"/>
      <w:bookmarkStart w:id="160" w:name="_Toc430867137"/>
      <w:r w:rsidRPr="00B41651">
        <w:rPr>
          <w:rFonts w:cstheme="minorHAnsi"/>
          <w:color w:val="auto"/>
          <w:lang w:val="ro-RO"/>
        </w:rPr>
        <w:lastRenderedPageBreak/>
        <w:t xml:space="preserve">VI.5. Activitatea </w:t>
      </w:r>
      <w:r w:rsidR="00B15CE7" w:rsidRPr="00B41651">
        <w:rPr>
          <w:rFonts w:cstheme="minorHAnsi"/>
          <w:color w:val="auto"/>
          <w:lang w:val="ro-RO"/>
        </w:rPr>
        <w:t>Serviciului</w:t>
      </w:r>
      <w:r w:rsidRPr="00B41651">
        <w:rPr>
          <w:rFonts w:cstheme="minorHAnsi"/>
          <w:color w:val="auto"/>
          <w:lang w:val="ro-RO"/>
        </w:rPr>
        <w:t xml:space="preserve"> grefa secțiilor</w:t>
      </w:r>
      <w:bookmarkEnd w:id="159"/>
    </w:p>
    <w:p w14:paraId="775D7D87" w14:textId="65A92233" w:rsidR="002663AA" w:rsidRPr="00B41651" w:rsidRDefault="002663AA" w:rsidP="009E3AD8">
      <w:pPr>
        <w:widowControl w:val="0"/>
        <w:autoSpaceDE w:val="0"/>
        <w:autoSpaceDN w:val="0"/>
        <w:adjustRightInd w:val="0"/>
        <w:spacing w:line="276" w:lineRule="auto"/>
        <w:ind w:right="-2" w:firstLine="709"/>
        <w:jc w:val="both"/>
        <w:rPr>
          <w:rFonts w:asciiTheme="minorHAnsi" w:hAnsiTheme="minorHAnsi" w:cstheme="minorHAnsi"/>
          <w:b/>
          <w:sz w:val="26"/>
          <w:szCs w:val="26"/>
        </w:rPr>
      </w:pPr>
      <w:r w:rsidRPr="00B41651">
        <w:rPr>
          <w:rFonts w:asciiTheme="minorHAnsi" w:hAnsiTheme="minorHAnsi" w:cstheme="minorHAnsi"/>
          <w:sz w:val="26"/>
          <w:szCs w:val="26"/>
        </w:rPr>
        <w:t>Serviciul grefa secțiilor asigură activitatea de secretariat a ședințelor secțiilor Consiliului şi redactează hotărârile secțiilor Consiliului prin care s-au soluționat sesizările privind încălcarea normelor de conduită reglementate de Codul deontologic al judecătorilor şi procurorilor, conform dispozițiilor art. 99 alin. (1) lit. f) din Regulamentul de organizare şi funcționare al Consiliului Superior al Magistraturii, cu modificările ulterioare.</w:t>
      </w:r>
    </w:p>
    <w:p w14:paraId="58A5A4FE" w14:textId="394B3217" w:rsidR="002663AA" w:rsidRPr="000F0D8B" w:rsidRDefault="002663AA" w:rsidP="009E3AD8">
      <w:pPr>
        <w:widowControl w:val="0"/>
        <w:autoSpaceDE w:val="0"/>
        <w:autoSpaceDN w:val="0"/>
        <w:adjustRightInd w:val="0"/>
        <w:spacing w:line="276" w:lineRule="auto"/>
        <w:ind w:right="-2" w:firstLine="709"/>
        <w:jc w:val="both"/>
        <w:rPr>
          <w:rFonts w:asciiTheme="minorHAnsi" w:hAnsiTheme="minorHAnsi" w:cstheme="minorHAnsi"/>
          <w:b/>
          <w:sz w:val="26"/>
          <w:szCs w:val="26"/>
        </w:rPr>
      </w:pPr>
      <w:bookmarkStart w:id="161" w:name="_Hlk147482693"/>
      <w:r w:rsidRPr="00B41651">
        <w:rPr>
          <w:rFonts w:asciiTheme="minorHAnsi" w:hAnsiTheme="minorHAnsi" w:cstheme="minorHAnsi"/>
          <w:sz w:val="26"/>
          <w:szCs w:val="26"/>
        </w:rPr>
        <w:t xml:space="preserve">Până la data de </w:t>
      </w:r>
      <w:bookmarkStart w:id="162" w:name="_Hlk184907328"/>
      <w:r w:rsidR="003F2F51" w:rsidRPr="00B41651">
        <w:rPr>
          <w:rFonts w:asciiTheme="minorHAnsi" w:hAnsiTheme="minorHAnsi" w:cstheme="minorHAnsi"/>
          <w:sz w:val="26"/>
          <w:szCs w:val="26"/>
        </w:rPr>
        <w:t>31 decembrie</w:t>
      </w:r>
      <w:r w:rsidRPr="00B41651">
        <w:rPr>
          <w:rFonts w:asciiTheme="minorHAnsi" w:hAnsiTheme="minorHAnsi" w:cstheme="minorHAnsi"/>
          <w:sz w:val="26"/>
          <w:szCs w:val="26"/>
        </w:rPr>
        <w:t xml:space="preserve"> 2025 </w:t>
      </w:r>
      <w:bookmarkEnd w:id="161"/>
      <w:bookmarkEnd w:id="162"/>
      <w:r w:rsidRPr="00B41651">
        <w:rPr>
          <w:rFonts w:asciiTheme="minorHAnsi" w:hAnsiTheme="minorHAnsi" w:cstheme="minorHAnsi"/>
          <w:sz w:val="26"/>
          <w:szCs w:val="26"/>
        </w:rPr>
        <w:t xml:space="preserve">au fost înregistrate 5 sesizări referitoare la încălcări ale Codului deontologic de către judecători, </w:t>
      </w:r>
      <w:r w:rsidR="00583D1C" w:rsidRPr="00B41651">
        <w:rPr>
          <w:rFonts w:asciiTheme="minorHAnsi" w:hAnsiTheme="minorHAnsi" w:cstheme="minorHAnsi"/>
          <w:sz w:val="26"/>
          <w:szCs w:val="26"/>
        </w:rPr>
        <w:t>4</w:t>
      </w:r>
      <w:r w:rsidRPr="00B41651">
        <w:rPr>
          <w:rFonts w:asciiTheme="minorHAnsi" w:hAnsiTheme="minorHAnsi" w:cstheme="minorHAnsi"/>
          <w:sz w:val="26"/>
          <w:szCs w:val="26"/>
        </w:rPr>
        <w:t xml:space="preserve"> dintre acestea </w:t>
      </w:r>
      <w:r w:rsidR="00424A13" w:rsidRPr="00B41651">
        <w:rPr>
          <w:rFonts w:asciiTheme="minorHAnsi" w:hAnsiTheme="minorHAnsi" w:cstheme="minorHAnsi"/>
          <w:sz w:val="26"/>
          <w:szCs w:val="26"/>
        </w:rPr>
        <w:t>fiind</w:t>
      </w:r>
      <w:r w:rsidRPr="00B41651">
        <w:rPr>
          <w:rFonts w:asciiTheme="minorHAnsi" w:hAnsiTheme="minorHAnsi" w:cstheme="minorHAnsi"/>
          <w:sz w:val="26"/>
          <w:szCs w:val="26"/>
        </w:rPr>
        <w:t xml:space="preserve"> soluţionate prin Hotărârile nr. 1946/10</w:t>
      </w:r>
      <w:r w:rsidR="00CB2F43" w:rsidRPr="00B41651">
        <w:rPr>
          <w:rFonts w:asciiTheme="minorHAnsi" w:hAnsiTheme="minorHAnsi" w:cstheme="minorHAnsi"/>
          <w:sz w:val="26"/>
          <w:szCs w:val="26"/>
        </w:rPr>
        <w:t>.09.</w:t>
      </w:r>
      <w:r w:rsidRPr="00B41651">
        <w:rPr>
          <w:rFonts w:asciiTheme="minorHAnsi" w:hAnsiTheme="minorHAnsi" w:cstheme="minorHAnsi"/>
          <w:sz w:val="26"/>
          <w:szCs w:val="26"/>
        </w:rPr>
        <w:t>2025</w:t>
      </w:r>
      <w:r w:rsidR="00583D1C" w:rsidRPr="00B41651">
        <w:rPr>
          <w:rFonts w:asciiTheme="minorHAnsi" w:hAnsiTheme="minorHAnsi" w:cstheme="minorHAnsi"/>
          <w:sz w:val="26"/>
          <w:szCs w:val="26"/>
        </w:rPr>
        <w:t xml:space="preserve">, </w:t>
      </w:r>
      <w:r w:rsidRPr="00B41651">
        <w:rPr>
          <w:rFonts w:asciiTheme="minorHAnsi" w:hAnsiTheme="minorHAnsi" w:cstheme="minorHAnsi"/>
          <w:sz w:val="26"/>
          <w:szCs w:val="26"/>
        </w:rPr>
        <w:t>nr.</w:t>
      </w:r>
      <w:r w:rsidR="00CB2F43" w:rsidRPr="00B41651">
        <w:rPr>
          <w:rFonts w:asciiTheme="minorHAnsi" w:hAnsiTheme="minorHAnsi" w:cstheme="minorHAnsi"/>
          <w:sz w:val="26"/>
          <w:szCs w:val="26"/>
        </w:rPr>
        <w:t xml:space="preserve"> </w:t>
      </w:r>
      <w:r w:rsidRPr="00B41651">
        <w:rPr>
          <w:rFonts w:asciiTheme="minorHAnsi" w:hAnsiTheme="minorHAnsi" w:cstheme="minorHAnsi"/>
          <w:sz w:val="26"/>
          <w:szCs w:val="26"/>
        </w:rPr>
        <w:t>2117/22</w:t>
      </w:r>
      <w:r w:rsidR="00CB2F43" w:rsidRPr="00B41651">
        <w:rPr>
          <w:rFonts w:asciiTheme="minorHAnsi" w:hAnsiTheme="minorHAnsi" w:cstheme="minorHAnsi"/>
          <w:sz w:val="26"/>
          <w:szCs w:val="26"/>
        </w:rPr>
        <w:t>.10.</w:t>
      </w:r>
      <w:r w:rsidRPr="00B41651">
        <w:rPr>
          <w:rFonts w:asciiTheme="minorHAnsi" w:hAnsiTheme="minorHAnsi" w:cstheme="minorHAnsi"/>
          <w:sz w:val="26"/>
          <w:szCs w:val="26"/>
        </w:rPr>
        <w:t>2025</w:t>
      </w:r>
      <w:r w:rsidR="00583D1C" w:rsidRPr="00B41651">
        <w:rPr>
          <w:rFonts w:asciiTheme="minorHAnsi" w:hAnsiTheme="minorHAnsi" w:cstheme="minorHAnsi"/>
          <w:sz w:val="26"/>
          <w:szCs w:val="26"/>
        </w:rPr>
        <w:t>,</w:t>
      </w:r>
      <w:r w:rsidR="00583D1C" w:rsidRPr="00B41651">
        <w:t xml:space="preserve"> </w:t>
      </w:r>
      <w:r w:rsidR="00583D1C" w:rsidRPr="00B41651">
        <w:rPr>
          <w:rFonts w:asciiTheme="minorHAnsi" w:hAnsiTheme="minorHAnsi" w:cstheme="minorHAnsi"/>
          <w:sz w:val="26"/>
          <w:szCs w:val="26"/>
        </w:rPr>
        <w:t xml:space="preserve">nr. 2521/19.11.2025 şi nr. 2522/19.11.2025 </w:t>
      </w:r>
      <w:r w:rsidRPr="00B41651">
        <w:rPr>
          <w:rFonts w:asciiTheme="minorHAnsi" w:hAnsiTheme="minorHAnsi" w:cstheme="minorHAnsi"/>
          <w:sz w:val="26"/>
          <w:szCs w:val="26"/>
        </w:rPr>
        <w:t xml:space="preserve"> ale Secţiei pentru judecători, precum şi două sesizări referitoare la încălcări ale Codului deontologic de către procurori, </w:t>
      </w:r>
      <w:r w:rsidR="00424A13" w:rsidRPr="00B41651">
        <w:rPr>
          <w:rFonts w:asciiTheme="minorHAnsi" w:hAnsiTheme="minorHAnsi" w:cstheme="minorHAnsi"/>
          <w:sz w:val="26"/>
          <w:szCs w:val="26"/>
        </w:rPr>
        <w:t xml:space="preserve">iar </w:t>
      </w:r>
      <w:r w:rsidRPr="00B41651">
        <w:rPr>
          <w:rFonts w:asciiTheme="minorHAnsi" w:hAnsiTheme="minorHAnsi" w:cstheme="minorHAnsi"/>
          <w:sz w:val="26"/>
          <w:szCs w:val="26"/>
        </w:rPr>
        <w:t>una dintre acestea a fost soluționată prin Hotărârea nr. 593/29</w:t>
      </w:r>
      <w:r w:rsidR="00CB2F43" w:rsidRPr="00B41651">
        <w:rPr>
          <w:rFonts w:asciiTheme="minorHAnsi" w:hAnsiTheme="minorHAnsi" w:cstheme="minorHAnsi"/>
          <w:sz w:val="26"/>
          <w:szCs w:val="26"/>
        </w:rPr>
        <w:t>.07.</w:t>
      </w:r>
      <w:r w:rsidRPr="00B41651">
        <w:rPr>
          <w:rFonts w:asciiTheme="minorHAnsi" w:hAnsiTheme="minorHAnsi" w:cstheme="minorHAnsi"/>
          <w:sz w:val="26"/>
          <w:szCs w:val="26"/>
        </w:rPr>
        <w:t xml:space="preserve">2025 a Secţiei </w:t>
      </w:r>
      <w:r w:rsidRPr="000F0D8B">
        <w:rPr>
          <w:rFonts w:asciiTheme="minorHAnsi" w:hAnsiTheme="minorHAnsi" w:cstheme="minorHAnsi"/>
          <w:sz w:val="26"/>
          <w:szCs w:val="26"/>
        </w:rPr>
        <w:t>pentru procurori.</w:t>
      </w:r>
    </w:p>
    <w:p w14:paraId="65B79557" w14:textId="77777777" w:rsidR="002663AA" w:rsidRPr="000F0D8B" w:rsidRDefault="002663AA" w:rsidP="009E3AD8">
      <w:pPr>
        <w:widowControl w:val="0"/>
        <w:autoSpaceDE w:val="0"/>
        <w:autoSpaceDN w:val="0"/>
        <w:adjustRightInd w:val="0"/>
        <w:spacing w:line="276" w:lineRule="auto"/>
        <w:ind w:right="-2" w:firstLine="709"/>
        <w:jc w:val="both"/>
        <w:rPr>
          <w:rFonts w:asciiTheme="minorHAnsi" w:hAnsiTheme="minorHAnsi" w:cstheme="minorHAnsi"/>
          <w:b/>
          <w:sz w:val="26"/>
          <w:szCs w:val="26"/>
        </w:rPr>
      </w:pPr>
      <w:r w:rsidRPr="000F0D8B">
        <w:rPr>
          <w:rFonts w:asciiTheme="minorHAnsi" w:hAnsiTheme="minorHAnsi" w:cstheme="minorHAnsi"/>
          <w:sz w:val="26"/>
          <w:szCs w:val="26"/>
        </w:rPr>
        <w:t xml:space="preserve">Serviciul grefa secțiilor asigură activitatea de secretariat a ședințelor secțiilor Consiliului în materia sesizărilor având ca obiect suspendarea din funcție a judecătorilor şi procurorilor </w:t>
      </w:r>
      <w:bookmarkStart w:id="163" w:name="_Hlk148948206"/>
      <w:r w:rsidRPr="000F0D8B">
        <w:rPr>
          <w:rFonts w:asciiTheme="minorHAnsi" w:hAnsiTheme="minorHAnsi" w:cstheme="minorHAnsi"/>
          <w:sz w:val="26"/>
          <w:szCs w:val="26"/>
        </w:rPr>
        <w:t xml:space="preserve">în temeiul art. 197 alin. (1) lit. f) şi g) din Legea nr. 303/2022 privind statutul judecătorilor şi procurorilor, cu modificările şi completările ulterioare, </w:t>
      </w:r>
      <w:bookmarkEnd w:id="163"/>
      <w:r w:rsidRPr="000F0D8B">
        <w:rPr>
          <w:rFonts w:asciiTheme="minorHAnsi" w:hAnsiTheme="minorHAnsi" w:cstheme="minorHAnsi"/>
          <w:sz w:val="26"/>
          <w:szCs w:val="26"/>
        </w:rPr>
        <w:t>şi redactează hotărârile pronunțate, conform dispozițiilor art. 99 alin. (1) lit. g) din Regulamentul de organizare și funcționare al Consiliului Superior al Magistraturii, cu modificările şi completările ulterioare.</w:t>
      </w:r>
    </w:p>
    <w:p w14:paraId="4EE9081E" w14:textId="6E4C9352" w:rsidR="002663AA" w:rsidRPr="00B41651" w:rsidRDefault="002663AA" w:rsidP="009E3AD8">
      <w:pPr>
        <w:widowControl w:val="0"/>
        <w:autoSpaceDE w:val="0"/>
        <w:autoSpaceDN w:val="0"/>
        <w:adjustRightInd w:val="0"/>
        <w:spacing w:line="276" w:lineRule="auto"/>
        <w:ind w:right="-2" w:firstLine="709"/>
        <w:jc w:val="both"/>
        <w:rPr>
          <w:rFonts w:asciiTheme="minorHAnsi" w:hAnsiTheme="minorHAnsi" w:cstheme="minorHAnsi"/>
          <w:b/>
          <w:sz w:val="26"/>
          <w:szCs w:val="26"/>
        </w:rPr>
      </w:pPr>
      <w:r w:rsidRPr="00B41651">
        <w:rPr>
          <w:rFonts w:asciiTheme="minorHAnsi" w:hAnsiTheme="minorHAnsi" w:cstheme="minorHAnsi"/>
          <w:sz w:val="26"/>
          <w:szCs w:val="26"/>
        </w:rPr>
        <w:t xml:space="preserve">Astfel, până la data de </w:t>
      </w:r>
      <w:r w:rsidR="003918CF" w:rsidRPr="00B41651">
        <w:rPr>
          <w:rFonts w:asciiTheme="minorHAnsi" w:hAnsiTheme="minorHAnsi" w:cstheme="minorHAnsi"/>
          <w:sz w:val="26"/>
          <w:szCs w:val="26"/>
        </w:rPr>
        <w:t>31 decembrie</w:t>
      </w:r>
      <w:r w:rsidRPr="00B41651">
        <w:rPr>
          <w:rFonts w:asciiTheme="minorHAnsi" w:hAnsiTheme="minorHAnsi" w:cstheme="minorHAnsi"/>
          <w:sz w:val="26"/>
          <w:szCs w:val="26"/>
        </w:rPr>
        <w:t xml:space="preserve"> 2025, în temeiul art. 197 alin. (1) lit. g) din Legea nr. 303/2022 privind statutul judecătorilor şi procurorilor, Secția pentru judecători a dispus suspendarea din funcție a unui judecător, iar în temeiul art. 62 alin. (1) lit. e) din Legea nr. 303/2004 privind statutul judecătorilor şi procurorilor, Secția pentru procurori a dispus suspendarea din funcție a unui procuror.</w:t>
      </w:r>
    </w:p>
    <w:p w14:paraId="5CE934BF" w14:textId="77777777" w:rsidR="002663AA" w:rsidRPr="00B41651" w:rsidRDefault="002663AA" w:rsidP="009E3AD8">
      <w:pPr>
        <w:widowControl w:val="0"/>
        <w:autoSpaceDE w:val="0"/>
        <w:autoSpaceDN w:val="0"/>
        <w:adjustRightInd w:val="0"/>
        <w:spacing w:line="276" w:lineRule="auto"/>
        <w:ind w:right="-2" w:firstLine="709"/>
        <w:jc w:val="both"/>
        <w:rPr>
          <w:rFonts w:asciiTheme="minorHAnsi" w:hAnsiTheme="minorHAnsi" w:cstheme="minorHAnsi"/>
          <w:b/>
          <w:sz w:val="26"/>
          <w:szCs w:val="26"/>
        </w:rPr>
      </w:pPr>
      <w:r w:rsidRPr="00B41651">
        <w:rPr>
          <w:rFonts w:asciiTheme="minorHAnsi" w:hAnsiTheme="minorHAnsi" w:cstheme="minorHAnsi"/>
          <w:sz w:val="26"/>
          <w:szCs w:val="26"/>
        </w:rPr>
        <w:t>De asemenea, Serviciul grefa secțiilor întocmește lucrările referitoare la radierea sancțiunilor disciplinare aplicate judecătorilor şi procurorilor, conform art. 99 alin. (1) lit. j) din Regulamentul de organizare și funcționare al Consiliului Superior al Magistraturii, cu modificările ulterioare.</w:t>
      </w:r>
    </w:p>
    <w:p w14:paraId="79997905" w14:textId="2DAE3A10" w:rsidR="002663AA" w:rsidRPr="00B41651" w:rsidRDefault="002663AA" w:rsidP="009E3AD8">
      <w:pPr>
        <w:widowControl w:val="0"/>
        <w:autoSpaceDE w:val="0"/>
        <w:autoSpaceDN w:val="0"/>
        <w:adjustRightInd w:val="0"/>
        <w:spacing w:line="276" w:lineRule="auto"/>
        <w:ind w:right="-2" w:firstLine="709"/>
        <w:jc w:val="both"/>
        <w:rPr>
          <w:rFonts w:asciiTheme="minorHAnsi" w:hAnsiTheme="minorHAnsi" w:cstheme="minorHAnsi"/>
          <w:sz w:val="26"/>
          <w:szCs w:val="26"/>
        </w:rPr>
      </w:pPr>
      <w:r w:rsidRPr="00B41651">
        <w:rPr>
          <w:rFonts w:asciiTheme="minorHAnsi" w:hAnsiTheme="minorHAnsi" w:cstheme="minorHAnsi"/>
          <w:sz w:val="26"/>
          <w:szCs w:val="26"/>
        </w:rPr>
        <w:t xml:space="preserve">Până la data de </w:t>
      </w:r>
      <w:r w:rsidR="003918CF" w:rsidRPr="00B41651">
        <w:rPr>
          <w:rFonts w:asciiTheme="minorHAnsi" w:hAnsiTheme="minorHAnsi" w:cstheme="minorHAnsi"/>
          <w:sz w:val="26"/>
          <w:szCs w:val="26"/>
        </w:rPr>
        <w:t>31 decembrie</w:t>
      </w:r>
      <w:r w:rsidRPr="00B41651">
        <w:rPr>
          <w:rFonts w:asciiTheme="minorHAnsi" w:hAnsiTheme="minorHAnsi" w:cstheme="minorHAnsi"/>
          <w:sz w:val="26"/>
          <w:szCs w:val="26"/>
        </w:rPr>
        <w:t xml:space="preserve"> 2025, a</w:t>
      </w:r>
      <w:r w:rsidR="003918CF" w:rsidRPr="00B41651">
        <w:rPr>
          <w:rFonts w:asciiTheme="minorHAnsi" w:hAnsiTheme="minorHAnsi" w:cstheme="minorHAnsi"/>
          <w:sz w:val="26"/>
          <w:szCs w:val="26"/>
        </w:rPr>
        <w:t>u</w:t>
      </w:r>
      <w:r w:rsidRPr="00B41651">
        <w:rPr>
          <w:rFonts w:asciiTheme="minorHAnsi" w:hAnsiTheme="minorHAnsi" w:cstheme="minorHAnsi"/>
          <w:sz w:val="26"/>
          <w:szCs w:val="26"/>
        </w:rPr>
        <w:t xml:space="preserve"> fost înregistrat</w:t>
      </w:r>
      <w:r w:rsidR="003918CF" w:rsidRPr="00B41651">
        <w:rPr>
          <w:rFonts w:asciiTheme="minorHAnsi" w:hAnsiTheme="minorHAnsi" w:cstheme="minorHAnsi"/>
          <w:sz w:val="26"/>
          <w:szCs w:val="26"/>
        </w:rPr>
        <w:t>e</w:t>
      </w:r>
      <w:r w:rsidRPr="00B41651">
        <w:rPr>
          <w:rFonts w:asciiTheme="minorHAnsi" w:hAnsiTheme="minorHAnsi" w:cstheme="minorHAnsi"/>
          <w:sz w:val="26"/>
          <w:szCs w:val="26"/>
        </w:rPr>
        <w:t xml:space="preserve"> </w:t>
      </w:r>
      <w:r w:rsidR="003918CF" w:rsidRPr="00B41651">
        <w:rPr>
          <w:rFonts w:asciiTheme="minorHAnsi" w:hAnsiTheme="minorHAnsi" w:cstheme="minorHAnsi"/>
          <w:sz w:val="26"/>
          <w:szCs w:val="26"/>
        </w:rPr>
        <w:t>două</w:t>
      </w:r>
      <w:r w:rsidRPr="00B41651">
        <w:rPr>
          <w:rFonts w:asciiTheme="minorHAnsi" w:hAnsiTheme="minorHAnsi" w:cstheme="minorHAnsi"/>
          <w:sz w:val="26"/>
          <w:szCs w:val="26"/>
        </w:rPr>
        <w:t xml:space="preserve"> cerer</w:t>
      </w:r>
      <w:r w:rsidR="003918CF" w:rsidRPr="00B41651">
        <w:rPr>
          <w:rFonts w:asciiTheme="minorHAnsi" w:hAnsiTheme="minorHAnsi" w:cstheme="minorHAnsi"/>
          <w:sz w:val="26"/>
          <w:szCs w:val="26"/>
        </w:rPr>
        <w:t>i</w:t>
      </w:r>
      <w:r w:rsidRPr="00B41651">
        <w:rPr>
          <w:rFonts w:asciiTheme="minorHAnsi" w:hAnsiTheme="minorHAnsi" w:cstheme="minorHAnsi"/>
          <w:sz w:val="26"/>
          <w:szCs w:val="26"/>
        </w:rPr>
        <w:t xml:space="preserve"> referitoare la radierea sancțiunilor disciplinare aplicate judecătorilor care a fost soluționată prin Hotărârea</w:t>
      </w:r>
      <w:r w:rsidR="00B750E6" w:rsidRPr="00B41651">
        <w:rPr>
          <w:rFonts w:asciiTheme="minorHAnsi" w:hAnsiTheme="minorHAnsi" w:cstheme="minorHAnsi"/>
          <w:sz w:val="26"/>
          <w:szCs w:val="26"/>
        </w:rPr>
        <w:t xml:space="preserve"> Secţiei pentru judecători</w:t>
      </w:r>
      <w:r w:rsidRPr="00B41651">
        <w:rPr>
          <w:rFonts w:asciiTheme="minorHAnsi" w:hAnsiTheme="minorHAnsi" w:cstheme="minorHAnsi"/>
          <w:sz w:val="26"/>
          <w:szCs w:val="26"/>
        </w:rPr>
        <w:t xml:space="preserve"> nr. 1841/15</w:t>
      </w:r>
      <w:r w:rsidR="00896EC7" w:rsidRPr="00B41651">
        <w:rPr>
          <w:rFonts w:asciiTheme="minorHAnsi" w:hAnsiTheme="minorHAnsi" w:cstheme="minorHAnsi"/>
          <w:sz w:val="26"/>
          <w:szCs w:val="26"/>
        </w:rPr>
        <w:t>.07.</w:t>
      </w:r>
      <w:r w:rsidRPr="00B41651">
        <w:rPr>
          <w:rFonts w:asciiTheme="minorHAnsi" w:hAnsiTheme="minorHAnsi" w:cstheme="minorHAnsi"/>
          <w:sz w:val="26"/>
          <w:szCs w:val="26"/>
        </w:rPr>
        <w:t>2025.</w:t>
      </w:r>
    </w:p>
    <w:p w14:paraId="3353D61A" w14:textId="2363C6E2" w:rsidR="001278AE" w:rsidRPr="000F0D8B" w:rsidRDefault="006C1588" w:rsidP="009E3AD8">
      <w:pPr>
        <w:pStyle w:val="Heading2"/>
        <w:keepNext w:val="0"/>
        <w:keepLines w:val="0"/>
        <w:suppressLineNumbers/>
        <w:suppressAutoHyphens/>
        <w:rPr>
          <w:rFonts w:cstheme="minorHAnsi"/>
          <w:color w:val="auto"/>
          <w:lang w:val="ro-RO"/>
        </w:rPr>
      </w:pPr>
      <w:bookmarkStart w:id="164" w:name="_Toc219287985"/>
      <w:r w:rsidRPr="000F0D8B">
        <w:rPr>
          <w:rFonts w:cstheme="minorHAnsi"/>
          <w:color w:val="auto"/>
          <w:lang w:val="ro-RO"/>
        </w:rPr>
        <w:t>VI.6.</w:t>
      </w:r>
      <w:r w:rsidR="00143852" w:rsidRPr="000F0D8B">
        <w:rPr>
          <w:rFonts w:cstheme="minorHAnsi"/>
          <w:color w:val="auto"/>
          <w:lang w:val="ro-RO"/>
        </w:rPr>
        <w:t xml:space="preserve"> </w:t>
      </w:r>
      <w:r w:rsidRPr="000F0D8B">
        <w:rPr>
          <w:rFonts w:cstheme="minorHAnsi"/>
          <w:color w:val="auto"/>
          <w:lang w:val="ro-RO"/>
        </w:rPr>
        <w:t>Activitatea Serviciului de relaţii cu publicul, registratură şi arhivă</w:t>
      </w:r>
      <w:bookmarkEnd w:id="160"/>
      <w:bookmarkEnd w:id="164"/>
    </w:p>
    <w:p w14:paraId="32496336" w14:textId="72C25C07" w:rsidR="001278AE" w:rsidRPr="000F0D8B" w:rsidRDefault="001278AE" w:rsidP="009E3AD8">
      <w:pPr>
        <w:spacing w:line="276" w:lineRule="auto"/>
        <w:ind w:firstLine="709"/>
        <w:jc w:val="both"/>
        <w:rPr>
          <w:rFonts w:asciiTheme="minorHAnsi" w:hAnsiTheme="minorHAnsi" w:cstheme="minorHAnsi"/>
          <w:bCs/>
          <w:iCs/>
          <w:sz w:val="26"/>
          <w:szCs w:val="26"/>
          <w:lang w:val="it-IT"/>
        </w:rPr>
      </w:pPr>
      <w:r w:rsidRPr="000F0D8B">
        <w:rPr>
          <w:rFonts w:asciiTheme="minorHAnsi" w:hAnsiTheme="minorHAnsi" w:cstheme="minorHAnsi"/>
          <w:bCs/>
          <w:iCs/>
          <w:sz w:val="26"/>
          <w:szCs w:val="26"/>
          <w:lang w:val="it-IT"/>
        </w:rPr>
        <w:t>Activitatea de soluţionare a memoriilor s-a desfăşurat în conformitate cu prevederile O</w:t>
      </w:r>
      <w:r w:rsidR="00B750E6">
        <w:rPr>
          <w:rFonts w:asciiTheme="minorHAnsi" w:hAnsiTheme="minorHAnsi" w:cstheme="minorHAnsi"/>
          <w:bCs/>
          <w:iCs/>
          <w:sz w:val="26"/>
          <w:szCs w:val="26"/>
          <w:lang w:val="it-IT"/>
        </w:rPr>
        <w:t>.G. n</w:t>
      </w:r>
      <w:r w:rsidRPr="000F0D8B">
        <w:rPr>
          <w:rFonts w:asciiTheme="minorHAnsi" w:hAnsiTheme="minorHAnsi" w:cstheme="minorHAnsi"/>
          <w:bCs/>
          <w:iCs/>
          <w:sz w:val="26"/>
          <w:szCs w:val="26"/>
          <w:lang w:val="it-IT"/>
        </w:rPr>
        <w:t>r. 27/2002 privind activitatea de soluţionare a petiţiilor, modificată şi aprobată prin Legea nr. 233/2002, potrivit cărora petiţiile se soluţionează în termen de 30 zile și de 5 zile de la data înregistrării la instituţia în cauză.</w:t>
      </w:r>
    </w:p>
    <w:p w14:paraId="446FD832" w14:textId="74DAC87B" w:rsidR="001278AE" w:rsidRPr="00B41651" w:rsidRDefault="001278AE" w:rsidP="009E3AD8">
      <w:pPr>
        <w:spacing w:line="276" w:lineRule="auto"/>
        <w:ind w:firstLine="709"/>
        <w:jc w:val="both"/>
        <w:rPr>
          <w:rFonts w:asciiTheme="minorHAnsi" w:hAnsiTheme="minorHAnsi" w:cstheme="minorHAnsi"/>
          <w:bCs/>
          <w:iCs/>
          <w:sz w:val="26"/>
          <w:szCs w:val="26"/>
          <w:lang w:val="it-IT"/>
        </w:rPr>
      </w:pPr>
      <w:r w:rsidRPr="00B41651">
        <w:rPr>
          <w:rFonts w:asciiTheme="minorHAnsi" w:hAnsiTheme="minorHAnsi" w:cstheme="minorHAnsi"/>
          <w:bCs/>
          <w:iCs/>
          <w:sz w:val="26"/>
          <w:szCs w:val="26"/>
          <w:lang w:val="it-IT"/>
        </w:rPr>
        <w:t xml:space="preserve">Până la data de </w:t>
      </w:r>
      <w:r w:rsidR="00BE6FF5" w:rsidRPr="00B41651">
        <w:rPr>
          <w:rFonts w:asciiTheme="minorHAnsi" w:hAnsiTheme="minorHAnsi" w:cstheme="minorHAnsi"/>
          <w:bCs/>
          <w:iCs/>
          <w:sz w:val="26"/>
          <w:szCs w:val="26"/>
          <w:lang w:val="it-IT"/>
        </w:rPr>
        <w:t>31 decembrie</w:t>
      </w:r>
      <w:r w:rsidRPr="00B41651">
        <w:rPr>
          <w:rFonts w:asciiTheme="minorHAnsi" w:hAnsiTheme="minorHAnsi" w:cstheme="minorHAnsi"/>
          <w:bCs/>
          <w:iCs/>
          <w:sz w:val="26"/>
          <w:szCs w:val="26"/>
          <w:lang w:val="it-IT"/>
        </w:rPr>
        <w:t xml:space="preserve"> 2025 au fost soluţionate de către consilierii juridici din cadrul acestui serviciu un număr de </w:t>
      </w:r>
      <w:r w:rsidR="00F64CCB" w:rsidRPr="00B41651">
        <w:rPr>
          <w:rFonts w:asciiTheme="minorHAnsi" w:hAnsiTheme="minorHAnsi" w:cstheme="minorHAnsi"/>
          <w:bCs/>
          <w:iCs/>
          <w:sz w:val="26"/>
          <w:szCs w:val="26"/>
          <w:lang w:val="it-IT"/>
        </w:rPr>
        <w:t>6414</w:t>
      </w:r>
      <w:r w:rsidRPr="00B41651">
        <w:rPr>
          <w:rFonts w:asciiTheme="minorHAnsi" w:hAnsiTheme="minorHAnsi" w:cstheme="minorHAnsi"/>
          <w:bCs/>
          <w:iCs/>
          <w:sz w:val="26"/>
          <w:szCs w:val="26"/>
          <w:lang w:val="it-IT"/>
        </w:rPr>
        <w:t xml:space="preserve"> petiţii. </w:t>
      </w:r>
    </w:p>
    <w:p w14:paraId="11C5DE3E" w14:textId="787C10D9" w:rsidR="001278AE" w:rsidRPr="00B41651" w:rsidRDefault="001278AE" w:rsidP="009E3AD8">
      <w:pPr>
        <w:spacing w:line="276" w:lineRule="auto"/>
        <w:ind w:firstLine="709"/>
        <w:jc w:val="both"/>
        <w:rPr>
          <w:rFonts w:asciiTheme="minorHAnsi" w:hAnsiTheme="minorHAnsi" w:cstheme="minorHAnsi"/>
          <w:bCs/>
          <w:iCs/>
          <w:sz w:val="26"/>
          <w:szCs w:val="26"/>
          <w:lang w:val="it-IT"/>
        </w:rPr>
      </w:pPr>
      <w:r w:rsidRPr="00B41651">
        <w:rPr>
          <w:rFonts w:asciiTheme="minorHAnsi" w:hAnsiTheme="minorHAnsi" w:cstheme="minorHAnsi"/>
          <w:bCs/>
          <w:iCs/>
          <w:sz w:val="26"/>
          <w:szCs w:val="26"/>
          <w:lang w:val="it-IT"/>
        </w:rPr>
        <w:t xml:space="preserve">Dintre acestea, </w:t>
      </w:r>
      <w:r w:rsidR="00F64CCB" w:rsidRPr="00B41651">
        <w:rPr>
          <w:rFonts w:asciiTheme="minorHAnsi" w:hAnsiTheme="minorHAnsi" w:cstheme="minorHAnsi"/>
          <w:bCs/>
          <w:iCs/>
          <w:sz w:val="26"/>
          <w:szCs w:val="26"/>
          <w:lang w:val="it-IT"/>
        </w:rPr>
        <w:t xml:space="preserve">6282 </w:t>
      </w:r>
      <w:r w:rsidR="001F56F6" w:rsidRPr="00B41651">
        <w:rPr>
          <w:rFonts w:asciiTheme="minorHAnsi" w:hAnsiTheme="minorHAnsi" w:cstheme="minorHAnsi"/>
          <w:bCs/>
          <w:iCs/>
          <w:sz w:val="26"/>
          <w:szCs w:val="26"/>
          <w:lang w:val="it-IT"/>
        </w:rPr>
        <w:t xml:space="preserve">de </w:t>
      </w:r>
      <w:r w:rsidRPr="00B41651">
        <w:rPr>
          <w:rFonts w:asciiTheme="minorHAnsi" w:hAnsiTheme="minorHAnsi" w:cstheme="minorHAnsi"/>
          <w:bCs/>
          <w:iCs/>
          <w:sz w:val="26"/>
          <w:szCs w:val="26"/>
          <w:lang w:val="it-IT"/>
        </w:rPr>
        <w:t>petiţii au fost adresate direct C</w:t>
      </w:r>
      <w:r w:rsidR="00B750E6" w:rsidRPr="00B41651">
        <w:rPr>
          <w:rFonts w:asciiTheme="minorHAnsi" w:hAnsiTheme="minorHAnsi" w:cstheme="minorHAnsi"/>
          <w:bCs/>
          <w:iCs/>
          <w:sz w:val="26"/>
          <w:szCs w:val="26"/>
          <w:lang w:val="it-IT"/>
        </w:rPr>
        <w:t>.S.M.,</w:t>
      </w:r>
      <w:r w:rsidRPr="00B41651">
        <w:rPr>
          <w:rFonts w:asciiTheme="minorHAnsi" w:hAnsiTheme="minorHAnsi" w:cstheme="minorHAnsi"/>
          <w:bCs/>
          <w:iCs/>
          <w:sz w:val="26"/>
          <w:szCs w:val="26"/>
          <w:lang w:val="it-IT"/>
        </w:rPr>
        <w:t xml:space="preserve"> existând, însă şi un număr important de petiţii primite de la alte instituţii. Astfel, Administraţia Prezidenţială a sesizat Consiliul cu un număr de </w:t>
      </w:r>
      <w:r w:rsidR="00F64CCB" w:rsidRPr="00B41651">
        <w:rPr>
          <w:rFonts w:asciiTheme="minorHAnsi" w:hAnsiTheme="minorHAnsi" w:cstheme="minorHAnsi"/>
          <w:bCs/>
          <w:iCs/>
          <w:sz w:val="26"/>
          <w:szCs w:val="26"/>
          <w:lang w:val="it-IT"/>
        </w:rPr>
        <w:t>2</w:t>
      </w:r>
      <w:r w:rsidRPr="00B41651">
        <w:rPr>
          <w:rFonts w:asciiTheme="minorHAnsi" w:hAnsiTheme="minorHAnsi" w:cstheme="minorHAnsi"/>
          <w:bCs/>
          <w:iCs/>
          <w:sz w:val="26"/>
          <w:szCs w:val="26"/>
          <w:lang w:val="it-IT"/>
        </w:rPr>
        <w:t xml:space="preserve">6 </w:t>
      </w:r>
      <w:r w:rsidR="008B41C2" w:rsidRPr="00B41651">
        <w:rPr>
          <w:rFonts w:asciiTheme="minorHAnsi" w:hAnsiTheme="minorHAnsi" w:cstheme="minorHAnsi"/>
          <w:bCs/>
          <w:iCs/>
          <w:sz w:val="26"/>
          <w:szCs w:val="26"/>
          <w:lang w:val="it-IT"/>
        </w:rPr>
        <w:t xml:space="preserve">de </w:t>
      </w:r>
      <w:r w:rsidRPr="00B41651">
        <w:rPr>
          <w:rFonts w:asciiTheme="minorHAnsi" w:hAnsiTheme="minorHAnsi" w:cstheme="minorHAnsi"/>
          <w:bCs/>
          <w:iCs/>
          <w:sz w:val="26"/>
          <w:szCs w:val="26"/>
          <w:lang w:val="it-IT"/>
        </w:rPr>
        <w:t xml:space="preserve">petiţii, Ministerul Justiţiei cu </w:t>
      </w:r>
      <w:r w:rsidR="00F64CCB" w:rsidRPr="00B41651">
        <w:rPr>
          <w:rFonts w:asciiTheme="minorHAnsi" w:hAnsiTheme="minorHAnsi" w:cstheme="minorHAnsi"/>
          <w:bCs/>
          <w:iCs/>
          <w:sz w:val="26"/>
          <w:szCs w:val="26"/>
          <w:lang w:val="it-IT"/>
        </w:rPr>
        <w:t>51</w:t>
      </w:r>
      <w:r w:rsidR="00C868A6" w:rsidRPr="00B41651">
        <w:rPr>
          <w:rFonts w:asciiTheme="minorHAnsi" w:hAnsiTheme="minorHAnsi" w:cstheme="minorHAnsi"/>
          <w:bCs/>
          <w:iCs/>
          <w:sz w:val="26"/>
          <w:szCs w:val="26"/>
          <w:lang w:val="it-IT"/>
        </w:rPr>
        <w:t xml:space="preserve"> de </w:t>
      </w:r>
      <w:r w:rsidRPr="00B41651">
        <w:rPr>
          <w:rFonts w:asciiTheme="minorHAnsi" w:hAnsiTheme="minorHAnsi" w:cstheme="minorHAnsi"/>
          <w:bCs/>
          <w:iCs/>
          <w:sz w:val="26"/>
          <w:szCs w:val="26"/>
          <w:lang w:val="it-IT"/>
        </w:rPr>
        <w:t xml:space="preserve">petiţii, Parlamentul României cu 7 petiţii, Guvernul României cu </w:t>
      </w:r>
      <w:r w:rsidR="00D36432" w:rsidRPr="00B41651">
        <w:rPr>
          <w:rFonts w:asciiTheme="minorHAnsi" w:hAnsiTheme="minorHAnsi" w:cstheme="minorHAnsi"/>
          <w:bCs/>
          <w:iCs/>
          <w:sz w:val="26"/>
          <w:szCs w:val="26"/>
          <w:lang w:val="it-IT"/>
        </w:rPr>
        <w:t>14</w:t>
      </w:r>
      <w:r w:rsidRPr="00B41651">
        <w:rPr>
          <w:rFonts w:asciiTheme="minorHAnsi" w:hAnsiTheme="minorHAnsi" w:cstheme="minorHAnsi"/>
          <w:bCs/>
          <w:iCs/>
          <w:sz w:val="26"/>
          <w:szCs w:val="26"/>
          <w:lang w:val="it-IT"/>
        </w:rPr>
        <w:t xml:space="preserve"> petiţii, iar din alte surse, precum Ministerul Administraţiei şi Internelor, instanţe şi parchete, au fost transmise </w:t>
      </w:r>
      <w:r w:rsidR="00D36432" w:rsidRPr="00B41651">
        <w:rPr>
          <w:rFonts w:asciiTheme="minorHAnsi" w:hAnsiTheme="minorHAnsi" w:cstheme="minorHAnsi"/>
          <w:bCs/>
          <w:iCs/>
          <w:sz w:val="26"/>
          <w:szCs w:val="26"/>
          <w:lang w:val="it-IT"/>
        </w:rPr>
        <w:t>3</w:t>
      </w:r>
      <w:r w:rsidRPr="00B41651">
        <w:rPr>
          <w:rFonts w:asciiTheme="minorHAnsi" w:hAnsiTheme="minorHAnsi" w:cstheme="minorHAnsi"/>
          <w:bCs/>
          <w:iCs/>
          <w:sz w:val="26"/>
          <w:szCs w:val="26"/>
          <w:lang w:val="it-IT"/>
        </w:rPr>
        <w:t>6 de petiţii.</w:t>
      </w:r>
    </w:p>
    <w:p w14:paraId="6EEBAF76" w14:textId="77777777" w:rsidR="001278AE" w:rsidRPr="000F0D8B" w:rsidRDefault="001278AE" w:rsidP="009E3AD8">
      <w:pPr>
        <w:spacing w:line="276" w:lineRule="auto"/>
        <w:ind w:firstLine="709"/>
        <w:jc w:val="both"/>
        <w:rPr>
          <w:rFonts w:asciiTheme="minorHAnsi" w:hAnsiTheme="minorHAnsi" w:cstheme="minorHAnsi"/>
          <w:bCs/>
          <w:iCs/>
          <w:sz w:val="26"/>
          <w:szCs w:val="26"/>
          <w:lang w:val="it-IT"/>
        </w:rPr>
      </w:pPr>
      <w:r w:rsidRPr="000F0D8B">
        <w:rPr>
          <w:rFonts w:asciiTheme="minorHAnsi" w:hAnsiTheme="minorHAnsi" w:cstheme="minorHAnsi"/>
          <w:bCs/>
          <w:iCs/>
          <w:sz w:val="26"/>
          <w:szCs w:val="26"/>
          <w:lang w:val="it-IT"/>
        </w:rPr>
        <w:lastRenderedPageBreak/>
        <w:t xml:space="preserve">Problematica reclamată de petiţionari a vizat, în principal, nelegalitatea sau netemeinicia hotărârilor judecătoreşti şi a măsurilor dispuse de instanţe sau parchete; repartizarea aleatorie a cauzelor; durata mare a proceselor; pretinse abateri disciplinare săvârşite de magistraţi; îndoieli legate de imparţialitatea şi corectitudinea magistraţilor; lipsa de transparenţă a magistraţilor; tergiversarea soluţionării dosarelor, atât la instanţe, cât şi la parchete; solicitări de primire a răspunsului de la Inspecţia Judiciară, precum şi nemulţumiri legate de răspunsurile primite de la Inspecţia Judiciară; cereri de apărare, cereri de strămutare, cereri de apel în dosarele aflate pe rolul instanţelor; solicitări de comunicare a hotărârilor judecătoreşti şi a soluţiilor dispuse de procurori; cereri de eliberare de acte din dosarele aflate pe rolul instanţelor şi parchetelor sau din dosarele aflate în conservarea acestora; solicitări de acordare de consultanţă juridică; nemulţumiri privind activitatea avocaţilor, notarilor, executorilor judecătoreşti, experţilor, personalului auxiliar din instanţe şi parchete, organelor de poliţie; plângeri penale, atât împotriva unor judecători şi procurori, cât şi împotriva unor persoane fizice sau juridice; plângeri privind regimul de detenţie sau de executare a pedepselor. </w:t>
      </w:r>
    </w:p>
    <w:p w14:paraId="62B731E2" w14:textId="0C729F0B" w:rsidR="001278AE" w:rsidRPr="00B41651" w:rsidRDefault="001278AE" w:rsidP="009E3AD8">
      <w:pPr>
        <w:spacing w:line="276" w:lineRule="auto"/>
        <w:ind w:firstLine="709"/>
        <w:jc w:val="both"/>
        <w:rPr>
          <w:rFonts w:asciiTheme="minorHAnsi" w:hAnsiTheme="minorHAnsi" w:cstheme="minorHAnsi"/>
          <w:bCs/>
          <w:iCs/>
          <w:sz w:val="26"/>
          <w:szCs w:val="26"/>
          <w:lang w:val="it-IT"/>
        </w:rPr>
      </w:pPr>
      <w:r w:rsidRPr="00B41651">
        <w:rPr>
          <w:rFonts w:asciiTheme="minorHAnsi" w:hAnsiTheme="minorHAnsi" w:cstheme="minorHAnsi"/>
          <w:bCs/>
          <w:iCs/>
          <w:sz w:val="26"/>
          <w:szCs w:val="26"/>
          <w:lang w:val="it-IT"/>
        </w:rPr>
        <w:t>Toate memoriile înregistrate până la data de 3</w:t>
      </w:r>
      <w:r w:rsidR="00D36432" w:rsidRPr="00B41651">
        <w:rPr>
          <w:rFonts w:asciiTheme="minorHAnsi" w:hAnsiTheme="minorHAnsi" w:cstheme="minorHAnsi"/>
          <w:bCs/>
          <w:iCs/>
          <w:sz w:val="26"/>
          <w:szCs w:val="26"/>
          <w:lang w:val="it-IT"/>
        </w:rPr>
        <w:t>1</w:t>
      </w:r>
      <w:r w:rsidRPr="00B41651">
        <w:rPr>
          <w:rFonts w:asciiTheme="minorHAnsi" w:hAnsiTheme="minorHAnsi" w:cstheme="minorHAnsi"/>
          <w:bCs/>
          <w:iCs/>
          <w:sz w:val="26"/>
          <w:szCs w:val="26"/>
          <w:lang w:val="it-IT"/>
        </w:rPr>
        <w:t xml:space="preserve"> </w:t>
      </w:r>
      <w:r w:rsidR="00D36432" w:rsidRPr="00B41651">
        <w:rPr>
          <w:rFonts w:asciiTheme="minorHAnsi" w:hAnsiTheme="minorHAnsi" w:cstheme="minorHAnsi"/>
          <w:bCs/>
          <w:iCs/>
          <w:sz w:val="26"/>
          <w:szCs w:val="26"/>
          <w:lang w:val="it-IT"/>
        </w:rPr>
        <w:t>dece</w:t>
      </w:r>
      <w:r w:rsidRPr="00B41651">
        <w:rPr>
          <w:rFonts w:asciiTheme="minorHAnsi" w:hAnsiTheme="minorHAnsi" w:cstheme="minorHAnsi"/>
          <w:bCs/>
          <w:iCs/>
          <w:sz w:val="26"/>
          <w:szCs w:val="26"/>
          <w:lang w:val="it-IT"/>
        </w:rPr>
        <w:t xml:space="preserve">mbrie 2025 la Serviciul relaţii cu publicul, registratură şi arhivă au fost soluţionate, cu respectarea strictă a termenelor legale de soluţionare, astfel cum sunt prevăzute de </w:t>
      </w:r>
      <w:r w:rsidR="00A66C9A" w:rsidRPr="00B41651">
        <w:rPr>
          <w:rFonts w:asciiTheme="minorHAnsi" w:hAnsiTheme="minorHAnsi" w:cstheme="minorHAnsi"/>
          <w:bCs/>
          <w:iCs/>
          <w:sz w:val="26"/>
          <w:szCs w:val="26"/>
          <w:lang w:val="it-IT"/>
        </w:rPr>
        <w:t>O.G.</w:t>
      </w:r>
      <w:r w:rsidRPr="00B41651">
        <w:rPr>
          <w:rFonts w:asciiTheme="minorHAnsi" w:hAnsiTheme="minorHAnsi" w:cstheme="minorHAnsi"/>
          <w:bCs/>
          <w:iCs/>
          <w:sz w:val="26"/>
          <w:szCs w:val="26"/>
          <w:lang w:val="it-IT"/>
        </w:rPr>
        <w:t xml:space="preserve"> nr. 27/2002 privind activitatea de soluţionare a petiţiilor, modificată şi aprobată prin Legea nr. 233/2002.</w:t>
      </w:r>
    </w:p>
    <w:p w14:paraId="29019A39" w14:textId="0B40D058" w:rsidR="001278AE" w:rsidRPr="00B41651" w:rsidRDefault="001278AE" w:rsidP="009E3AD8">
      <w:pPr>
        <w:spacing w:line="276" w:lineRule="auto"/>
        <w:ind w:firstLine="709"/>
        <w:jc w:val="both"/>
        <w:rPr>
          <w:rFonts w:asciiTheme="minorHAnsi" w:hAnsiTheme="minorHAnsi" w:cstheme="minorHAnsi"/>
          <w:bCs/>
          <w:iCs/>
          <w:sz w:val="26"/>
          <w:szCs w:val="26"/>
          <w:lang w:val="it-IT"/>
        </w:rPr>
      </w:pPr>
      <w:r w:rsidRPr="00B41651">
        <w:rPr>
          <w:rFonts w:asciiTheme="minorHAnsi" w:hAnsiTheme="minorHAnsi" w:cstheme="minorHAnsi"/>
          <w:bCs/>
          <w:iCs/>
          <w:sz w:val="26"/>
          <w:szCs w:val="26"/>
          <w:lang w:val="it-IT"/>
        </w:rPr>
        <w:t>Din totalul acestora, 1</w:t>
      </w:r>
      <w:r w:rsidR="00D36432" w:rsidRPr="00B41651">
        <w:rPr>
          <w:rFonts w:asciiTheme="minorHAnsi" w:hAnsiTheme="minorHAnsi" w:cstheme="minorHAnsi"/>
          <w:bCs/>
          <w:iCs/>
          <w:sz w:val="26"/>
          <w:szCs w:val="26"/>
          <w:lang w:val="it-IT"/>
        </w:rPr>
        <w:t>928</w:t>
      </w:r>
      <w:r w:rsidRPr="00B41651">
        <w:rPr>
          <w:rFonts w:asciiTheme="minorHAnsi" w:hAnsiTheme="minorHAnsi" w:cstheme="minorHAnsi"/>
          <w:bCs/>
          <w:iCs/>
          <w:sz w:val="26"/>
          <w:szCs w:val="26"/>
          <w:lang w:val="it-IT"/>
        </w:rPr>
        <w:t xml:space="preserve"> de petiţii au primit răspuns din partea Serviciului relaţii cu publicul, registratură şi arhivă, fără a mai fi necesară transmiterea acestora către alte instituţii sau alte departamente competente ale aparatului Consiliului.</w:t>
      </w:r>
    </w:p>
    <w:p w14:paraId="3D863E7F" w14:textId="44189624" w:rsidR="001278AE" w:rsidRPr="00B41651" w:rsidRDefault="001278AE" w:rsidP="009E3AD8">
      <w:pPr>
        <w:spacing w:line="276" w:lineRule="auto"/>
        <w:ind w:firstLine="709"/>
        <w:jc w:val="both"/>
        <w:rPr>
          <w:rFonts w:asciiTheme="minorHAnsi" w:hAnsiTheme="minorHAnsi" w:cstheme="minorHAnsi"/>
          <w:bCs/>
          <w:iCs/>
          <w:sz w:val="26"/>
          <w:szCs w:val="26"/>
          <w:lang w:val="it-IT"/>
        </w:rPr>
      </w:pPr>
      <w:r w:rsidRPr="00B41651">
        <w:rPr>
          <w:rFonts w:asciiTheme="minorHAnsi" w:hAnsiTheme="minorHAnsi" w:cstheme="minorHAnsi"/>
          <w:bCs/>
          <w:iCs/>
          <w:sz w:val="26"/>
          <w:szCs w:val="26"/>
          <w:lang w:val="it-IT"/>
        </w:rPr>
        <w:t xml:space="preserve">Un număr de </w:t>
      </w:r>
      <w:r w:rsidR="00D36432" w:rsidRPr="00B41651">
        <w:rPr>
          <w:rFonts w:asciiTheme="minorHAnsi" w:hAnsiTheme="minorHAnsi" w:cstheme="minorHAnsi"/>
          <w:bCs/>
          <w:iCs/>
          <w:sz w:val="26"/>
          <w:szCs w:val="26"/>
          <w:lang w:val="it-IT"/>
        </w:rPr>
        <w:t>1758</w:t>
      </w:r>
      <w:r w:rsidRPr="00B41651">
        <w:rPr>
          <w:rFonts w:asciiTheme="minorHAnsi" w:hAnsiTheme="minorHAnsi" w:cstheme="minorHAnsi"/>
          <w:bCs/>
          <w:iCs/>
          <w:sz w:val="26"/>
          <w:szCs w:val="26"/>
          <w:lang w:val="it-IT"/>
        </w:rPr>
        <w:t xml:space="preserve"> </w:t>
      </w:r>
      <w:r w:rsidR="00B65A08" w:rsidRPr="00B41651">
        <w:rPr>
          <w:rFonts w:asciiTheme="minorHAnsi" w:hAnsiTheme="minorHAnsi" w:cstheme="minorHAnsi"/>
          <w:bCs/>
          <w:iCs/>
          <w:sz w:val="26"/>
          <w:szCs w:val="26"/>
          <w:lang w:val="it-IT"/>
        </w:rPr>
        <w:t xml:space="preserve">de </w:t>
      </w:r>
      <w:r w:rsidRPr="00B41651">
        <w:rPr>
          <w:rFonts w:asciiTheme="minorHAnsi" w:hAnsiTheme="minorHAnsi" w:cstheme="minorHAnsi"/>
          <w:bCs/>
          <w:iCs/>
          <w:sz w:val="26"/>
          <w:szCs w:val="26"/>
          <w:lang w:val="it-IT"/>
        </w:rPr>
        <w:t xml:space="preserve">petiţii au fost transmise Inspecţiei Judiciare, întrucât în cuprinsul acestora erau descrise pretinse abateri disciplinare sau situaţii de tergiversare a cauzelor aflate pe rolul instanţelor de judecată şi pe rolul parchetelor. </w:t>
      </w:r>
    </w:p>
    <w:p w14:paraId="6218540B" w14:textId="0E61596B" w:rsidR="001278AE" w:rsidRPr="00B41651" w:rsidRDefault="001278AE" w:rsidP="009E3AD8">
      <w:pPr>
        <w:spacing w:line="276" w:lineRule="auto"/>
        <w:ind w:firstLine="709"/>
        <w:jc w:val="both"/>
        <w:rPr>
          <w:rFonts w:asciiTheme="minorHAnsi" w:hAnsiTheme="minorHAnsi" w:cstheme="minorHAnsi"/>
          <w:bCs/>
          <w:iCs/>
          <w:sz w:val="26"/>
          <w:szCs w:val="26"/>
          <w:lang w:val="it-IT"/>
        </w:rPr>
      </w:pPr>
      <w:r w:rsidRPr="00B41651">
        <w:rPr>
          <w:rFonts w:asciiTheme="minorHAnsi" w:hAnsiTheme="minorHAnsi" w:cstheme="minorHAnsi"/>
          <w:bCs/>
          <w:iCs/>
          <w:sz w:val="26"/>
          <w:szCs w:val="26"/>
          <w:lang w:val="it-IT"/>
        </w:rPr>
        <w:t>O serie de petiţii, în număr de 2</w:t>
      </w:r>
      <w:r w:rsidR="00D25A0E" w:rsidRPr="00B41651">
        <w:rPr>
          <w:rFonts w:asciiTheme="minorHAnsi" w:hAnsiTheme="minorHAnsi" w:cstheme="minorHAnsi"/>
          <w:bCs/>
          <w:iCs/>
          <w:sz w:val="26"/>
          <w:szCs w:val="26"/>
          <w:lang w:val="it-IT"/>
        </w:rPr>
        <w:t>70</w:t>
      </w:r>
      <w:r w:rsidRPr="00B41651">
        <w:rPr>
          <w:rFonts w:asciiTheme="minorHAnsi" w:hAnsiTheme="minorHAnsi" w:cstheme="minorHAnsi"/>
          <w:bCs/>
          <w:iCs/>
          <w:sz w:val="26"/>
          <w:szCs w:val="26"/>
          <w:lang w:val="it-IT"/>
        </w:rPr>
        <w:t xml:space="preserve"> de petiţii, respectiv </w:t>
      </w:r>
      <w:r w:rsidR="00D25A0E" w:rsidRPr="00B41651">
        <w:rPr>
          <w:rFonts w:asciiTheme="minorHAnsi" w:hAnsiTheme="minorHAnsi" w:cstheme="minorHAnsi"/>
          <w:bCs/>
          <w:iCs/>
          <w:sz w:val="26"/>
          <w:szCs w:val="26"/>
          <w:lang w:val="it-IT"/>
        </w:rPr>
        <w:t>394</w:t>
      </w:r>
      <w:r w:rsidRPr="00B41651">
        <w:rPr>
          <w:rFonts w:asciiTheme="minorHAnsi" w:hAnsiTheme="minorHAnsi" w:cstheme="minorHAnsi"/>
          <w:bCs/>
          <w:iCs/>
          <w:sz w:val="26"/>
          <w:szCs w:val="26"/>
          <w:lang w:val="it-IT"/>
        </w:rPr>
        <w:t xml:space="preserve"> de petiţii au </w:t>
      </w:r>
      <w:r w:rsidRPr="000F0D8B">
        <w:rPr>
          <w:rFonts w:asciiTheme="minorHAnsi" w:hAnsiTheme="minorHAnsi" w:cstheme="minorHAnsi"/>
          <w:bCs/>
          <w:iCs/>
          <w:sz w:val="26"/>
          <w:szCs w:val="26"/>
          <w:lang w:val="it-IT"/>
        </w:rPr>
        <w:t xml:space="preserve">fost trimise la instanţe şi parchete, deoarece reprezentau cereri de apărare, cereri de strămutare, cereri de apel în dosarele aflate pe rolul instanţelor; solicitări de comunicare a hotărârilor judecătoreşti şi a soluţiilor dispuse </w:t>
      </w:r>
      <w:r w:rsidRPr="00B41651">
        <w:rPr>
          <w:rFonts w:asciiTheme="minorHAnsi" w:hAnsiTheme="minorHAnsi" w:cstheme="minorHAnsi"/>
          <w:bCs/>
          <w:iCs/>
          <w:sz w:val="26"/>
          <w:szCs w:val="26"/>
          <w:lang w:val="it-IT"/>
        </w:rPr>
        <w:t>de procurori; cereri de eliberare de acte din dosarele aflate pe rolul instanţelor şi parchetelor sau din dosarele aflate în conservarea acestora; plângeri penale, atât împotriva unor judecători şi procurori, cât şi împotriva unor persoane fizice sau juridice.</w:t>
      </w:r>
    </w:p>
    <w:p w14:paraId="5A5D15E4" w14:textId="47E3CE74" w:rsidR="001278AE" w:rsidRPr="00B41651" w:rsidRDefault="001278AE" w:rsidP="009E3AD8">
      <w:pPr>
        <w:spacing w:line="276" w:lineRule="auto"/>
        <w:ind w:firstLine="709"/>
        <w:jc w:val="both"/>
        <w:rPr>
          <w:rFonts w:asciiTheme="minorHAnsi" w:hAnsiTheme="minorHAnsi" w:cstheme="minorHAnsi"/>
          <w:bCs/>
          <w:iCs/>
          <w:sz w:val="26"/>
          <w:szCs w:val="26"/>
          <w:lang w:val="it-IT"/>
        </w:rPr>
      </w:pPr>
      <w:r w:rsidRPr="00B41651">
        <w:rPr>
          <w:rFonts w:asciiTheme="minorHAnsi" w:hAnsiTheme="minorHAnsi" w:cstheme="minorHAnsi"/>
          <w:bCs/>
          <w:iCs/>
          <w:sz w:val="26"/>
          <w:szCs w:val="26"/>
          <w:lang w:val="it-IT"/>
        </w:rPr>
        <w:t xml:space="preserve">În </w:t>
      </w:r>
      <w:r w:rsidR="00D25A0E" w:rsidRPr="00B41651">
        <w:rPr>
          <w:rFonts w:asciiTheme="minorHAnsi" w:hAnsiTheme="minorHAnsi" w:cstheme="minorHAnsi"/>
          <w:bCs/>
          <w:iCs/>
          <w:sz w:val="26"/>
          <w:szCs w:val="26"/>
          <w:lang w:val="it-IT"/>
        </w:rPr>
        <w:t>55</w:t>
      </w:r>
      <w:r w:rsidRPr="00B41651">
        <w:rPr>
          <w:rFonts w:asciiTheme="minorHAnsi" w:hAnsiTheme="minorHAnsi" w:cstheme="minorHAnsi"/>
          <w:bCs/>
          <w:iCs/>
          <w:sz w:val="26"/>
          <w:szCs w:val="26"/>
          <w:lang w:val="it-IT"/>
        </w:rPr>
        <w:t xml:space="preserve"> de memorii, petenţii şi-au exprimat nemulţumirea faţă de întârzierile în comunicarea hotărârilor şi a soluţiilor dispuse de procurori, iar într-un număr de </w:t>
      </w:r>
      <w:r w:rsidR="00D25A0E" w:rsidRPr="00B41651">
        <w:rPr>
          <w:rFonts w:asciiTheme="minorHAnsi" w:hAnsiTheme="minorHAnsi" w:cstheme="minorHAnsi"/>
          <w:bCs/>
          <w:iCs/>
          <w:sz w:val="26"/>
          <w:szCs w:val="26"/>
          <w:lang w:val="it-IT"/>
        </w:rPr>
        <w:t>9</w:t>
      </w:r>
      <w:r w:rsidRPr="00B41651">
        <w:rPr>
          <w:rFonts w:asciiTheme="minorHAnsi" w:hAnsiTheme="minorHAnsi" w:cstheme="minorHAnsi"/>
          <w:bCs/>
          <w:iCs/>
          <w:sz w:val="26"/>
          <w:szCs w:val="26"/>
          <w:lang w:val="it-IT"/>
        </w:rPr>
        <w:t xml:space="preserve"> memorii a fost criticat  modul</w:t>
      </w:r>
      <w:r w:rsidR="00654D1D" w:rsidRPr="00B41651">
        <w:rPr>
          <w:rFonts w:asciiTheme="minorHAnsi" w:hAnsiTheme="minorHAnsi" w:cstheme="minorHAnsi"/>
          <w:bCs/>
          <w:iCs/>
          <w:sz w:val="26"/>
          <w:szCs w:val="26"/>
          <w:lang w:val="it-IT"/>
        </w:rPr>
        <w:t xml:space="preserve"> </w:t>
      </w:r>
      <w:r w:rsidRPr="00B41651">
        <w:rPr>
          <w:rFonts w:asciiTheme="minorHAnsi" w:hAnsiTheme="minorHAnsi" w:cstheme="minorHAnsi"/>
          <w:bCs/>
          <w:iCs/>
          <w:sz w:val="26"/>
          <w:szCs w:val="26"/>
          <w:lang w:val="it-IT"/>
        </w:rPr>
        <w:t xml:space="preserve">în care este implementat sistemul de repartizare aleatorie a cauzelor. </w:t>
      </w:r>
    </w:p>
    <w:p w14:paraId="401DBB3F" w14:textId="25E2ABD8" w:rsidR="001278AE" w:rsidRPr="00B41651" w:rsidRDefault="001278AE" w:rsidP="009E3AD8">
      <w:pPr>
        <w:spacing w:line="276" w:lineRule="auto"/>
        <w:ind w:firstLine="709"/>
        <w:jc w:val="both"/>
        <w:rPr>
          <w:rFonts w:asciiTheme="minorHAnsi" w:hAnsiTheme="minorHAnsi" w:cstheme="minorHAnsi"/>
          <w:bCs/>
          <w:iCs/>
          <w:sz w:val="26"/>
          <w:szCs w:val="26"/>
          <w:lang w:val="it-IT"/>
        </w:rPr>
      </w:pPr>
      <w:r w:rsidRPr="00B41651">
        <w:rPr>
          <w:rFonts w:asciiTheme="minorHAnsi" w:hAnsiTheme="minorHAnsi" w:cstheme="minorHAnsi"/>
          <w:bCs/>
          <w:iCs/>
          <w:sz w:val="26"/>
          <w:szCs w:val="26"/>
          <w:lang w:val="it-IT"/>
        </w:rPr>
        <w:t xml:space="preserve">Într-un număr de 12 memorii era criticat comportamentul unor magistraţi, în 4 memorii era criticat managementul defectuos al unor instanţe şi parchete şi în </w:t>
      </w:r>
      <w:r w:rsidR="00D25A0E" w:rsidRPr="00B41651">
        <w:rPr>
          <w:rFonts w:asciiTheme="minorHAnsi" w:hAnsiTheme="minorHAnsi" w:cstheme="minorHAnsi"/>
          <w:bCs/>
          <w:iCs/>
          <w:sz w:val="26"/>
          <w:szCs w:val="26"/>
          <w:lang w:val="it-IT"/>
        </w:rPr>
        <w:t xml:space="preserve">17 </w:t>
      </w:r>
      <w:r w:rsidRPr="00B41651">
        <w:rPr>
          <w:rFonts w:asciiTheme="minorHAnsi" w:hAnsiTheme="minorHAnsi" w:cstheme="minorHAnsi"/>
          <w:bCs/>
          <w:iCs/>
          <w:sz w:val="26"/>
          <w:szCs w:val="26"/>
          <w:lang w:val="it-IT"/>
        </w:rPr>
        <w:t>memorii se făcea referire la nelegala compunere a completului de judecată.</w:t>
      </w:r>
    </w:p>
    <w:p w14:paraId="4FA53D8C" w14:textId="2BDC6004" w:rsidR="001278AE" w:rsidRPr="00B41651" w:rsidRDefault="001278AE" w:rsidP="009E3AD8">
      <w:pPr>
        <w:spacing w:line="276" w:lineRule="auto"/>
        <w:ind w:firstLine="709"/>
        <w:jc w:val="both"/>
        <w:rPr>
          <w:rFonts w:asciiTheme="minorHAnsi" w:hAnsiTheme="minorHAnsi" w:cstheme="minorHAnsi"/>
          <w:bCs/>
          <w:iCs/>
          <w:sz w:val="26"/>
          <w:szCs w:val="26"/>
          <w:lang w:val="it-IT"/>
        </w:rPr>
      </w:pPr>
      <w:r w:rsidRPr="00B41651">
        <w:rPr>
          <w:rFonts w:asciiTheme="minorHAnsi" w:hAnsiTheme="minorHAnsi" w:cstheme="minorHAnsi"/>
          <w:bCs/>
          <w:iCs/>
          <w:sz w:val="26"/>
          <w:szCs w:val="26"/>
          <w:lang w:val="it-IT"/>
        </w:rPr>
        <w:t>Menţionăm şi faptul că un număr de 3</w:t>
      </w:r>
      <w:r w:rsidR="00E7326C" w:rsidRPr="00B41651">
        <w:rPr>
          <w:rFonts w:asciiTheme="minorHAnsi" w:hAnsiTheme="minorHAnsi" w:cstheme="minorHAnsi"/>
          <w:bCs/>
          <w:iCs/>
          <w:sz w:val="26"/>
          <w:szCs w:val="26"/>
          <w:lang w:val="it-IT"/>
        </w:rPr>
        <w:t>2</w:t>
      </w:r>
      <w:r w:rsidR="00B65A08" w:rsidRPr="00B41651">
        <w:rPr>
          <w:rFonts w:asciiTheme="minorHAnsi" w:hAnsiTheme="minorHAnsi" w:cstheme="minorHAnsi"/>
          <w:bCs/>
          <w:iCs/>
          <w:sz w:val="26"/>
          <w:szCs w:val="26"/>
          <w:lang w:val="it-IT"/>
        </w:rPr>
        <w:t xml:space="preserve"> de</w:t>
      </w:r>
      <w:r w:rsidRPr="00B41651">
        <w:rPr>
          <w:rFonts w:asciiTheme="minorHAnsi" w:hAnsiTheme="minorHAnsi" w:cstheme="minorHAnsi"/>
          <w:bCs/>
          <w:iCs/>
          <w:sz w:val="26"/>
          <w:szCs w:val="26"/>
          <w:lang w:val="it-IT"/>
        </w:rPr>
        <w:t xml:space="preserve"> petiţii au cuprins cereri de acordare de audienţe, iar </w:t>
      </w:r>
      <w:r w:rsidR="00E7326C" w:rsidRPr="00B41651">
        <w:rPr>
          <w:rFonts w:asciiTheme="minorHAnsi" w:hAnsiTheme="minorHAnsi" w:cstheme="minorHAnsi"/>
          <w:bCs/>
          <w:iCs/>
          <w:sz w:val="26"/>
          <w:szCs w:val="26"/>
          <w:lang w:val="it-IT"/>
        </w:rPr>
        <w:t>54</w:t>
      </w:r>
      <w:r w:rsidRPr="00B41651">
        <w:rPr>
          <w:rFonts w:asciiTheme="minorHAnsi" w:hAnsiTheme="minorHAnsi" w:cstheme="minorHAnsi"/>
          <w:bCs/>
          <w:iCs/>
          <w:sz w:val="26"/>
          <w:szCs w:val="26"/>
          <w:lang w:val="it-IT"/>
        </w:rPr>
        <w:t xml:space="preserve"> de petiţii au cuprins nemulţumiri privind activitatea avocaţilor, notarilor, executorilor judecătoreşti, experţilor, personalului auxiliar din instanţe şi parchete, organelor de poliţie, acestea din urmă fiind redirecţionate spre competentă soluţionare altor autorităţi sau instituţii publice, cu informarea petenţilor despre măsura dispusă.</w:t>
      </w:r>
    </w:p>
    <w:p w14:paraId="1136FFA6" w14:textId="2EC0CF44" w:rsidR="001278AE" w:rsidRPr="000F0D8B" w:rsidRDefault="001278AE" w:rsidP="009E3AD8">
      <w:pPr>
        <w:spacing w:line="276" w:lineRule="auto"/>
        <w:ind w:firstLine="709"/>
        <w:jc w:val="both"/>
        <w:rPr>
          <w:rFonts w:asciiTheme="minorHAnsi" w:hAnsiTheme="minorHAnsi" w:cstheme="minorHAnsi"/>
          <w:bCs/>
          <w:iCs/>
          <w:sz w:val="26"/>
          <w:szCs w:val="26"/>
          <w:lang w:val="it-IT"/>
        </w:rPr>
      </w:pPr>
      <w:r w:rsidRPr="00B41651">
        <w:rPr>
          <w:rFonts w:asciiTheme="minorHAnsi" w:hAnsiTheme="minorHAnsi" w:cstheme="minorHAnsi"/>
          <w:bCs/>
          <w:iCs/>
          <w:sz w:val="26"/>
          <w:szCs w:val="26"/>
          <w:lang w:val="it-IT"/>
        </w:rPr>
        <w:t>A fost remarcat şi faptul că un număr de 3</w:t>
      </w:r>
      <w:r w:rsidR="00E7326C" w:rsidRPr="00B41651">
        <w:rPr>
          <w:rFonts w:asciiTheme="minorHAnsi" w:hAnsiTheme="minorHAnsi" w:cstheme="minorHAnsi"/>
          <w:bCs/>
          <w:iCs/>
          <w:sz w:val="26"/>
          <w:szCs w:val="26"/>
          <w:lang w:val="it-IT"/>
        </w:rPr>
        <w:t>8</w:t>
      </w:r>
      <w:r w:rsidRPr="00B41651">
        <w:rPr>
          <w:rFonts w:asciiTheme="minorHAnsi" w:hAnsiTheme="minorHAnsi" w:cstheme="minorHAnsi"/>
          <w:bCs/>
          <w:iCs/>
          <w:sz w:val="26"/>
          <w:szCs w:val="26"/>
          <w:lang w:val="it-IT"/>
        </w:rPr>
        <w:t xml:space="preserve"> de memorii au cuprins solicitări de acordare de consultanţă juridică, deşi potrivit legislaţiei române, respectiv Legea</w:t>
      </w:r>
      <w:r w:rsidR="007F4D45" w:rsidRPr="00B41651">
        <w:rPr>
          <w:rFonts w:asciiTheme="minorHAnsi" w:hAnsiTheme="minorHAnsi" w:cstheme="minorHAnsi"/>
          <w:bCs/>
          <w:iCs/>
          <w:sz w:val="26"/>
          <w:szCs w:val="26"/>
          <w:lang w:val="it-IT"/>
        </w:rPr>
        <w:t xml:space="preserve"> </w:t>
      </w:r>
      <w:r w:rsidRPr="00B41651">
        <w:rPr>
          <w:rFonts w:asciiTheme="minorHAnsi" w:hAnsiTheme="minorHAnsi" w:cstheme="minorHAnsi"/>
          <w:bCs/>
          <w:iCs/>
          <w:sz w:val="26"/>
          <w:szCs w:val="26"/>
          <w:lang w:val="it-IT"/>
        </w:rPr>
        <w:t xml:space="preserve">nr. 51/1995 pentru </w:t>
      </w:r>
      <w:r w:rsidRPr="000F0D8B">
        <w:rPr>
          <w:rFonts w:asciiTheme="minorHAnsi" w:hAnsiTheme="minorHAnsi" w:cstheme="minorHAnsi"/>
          <w:bCs/>
          <w:iCs/>
          <w:sz w:val="26"/>
          <w:szCs w:val="26"/>
          <w:lang w:val="it-IT"/>
        </w:rPr>
        <w:lastRenderedPageBreak/>
        <w:t>organizarea şi exercitarea profesiei de avocat, activităţile referitoare la redactarea de cereri, reprezentarea în faţa instanţelor şi parchetelor sau acordarea de consultanţă juridică se exercită de către avocaţi.</w:t>
      </w:r>
    </w:p>
    <w:p w14:paraId="05FA4A57" w14:textId="5D8B4265" w:rsidR="001278AE" w:rsidRPr="000F0D8B" w:rsidRDefault="001278AE" w:rsidP="009E3AD8">
      <w:pPr>
        <w:spacing w:line="276" w:lineRule="auto"/>
        <w:ind w:firstLine="709"/>
        <w:jc w:val="both"/>
        <w:rPr>
          <w:rFonts w:asciiTheme="minorHAnsi" w:hAnsiTheme="minorHAnsi" w:cstheme="minorHAnsi"/>
          <w:bCs/>
          <w:iCs/>
          <w:sz w:val="26"/>
          <w:szCs w:val="26"/>
          <w:lang w:val="it-IT"/>
        </w:rPr>
      </w:pPr>
      <w:r w:rsidRPr="000F0D8B">
        <w:rPr>
          <w:rFonts w:asciiTheme="minorHAnsi" w:hAnsiTheme="minorHAnsi" w:cstheme="minorHAnsi"/>
          <w:bCs/>
          <w:iCs/>
          <w:sz w:val="26"/>
          <w:szCs w:val="26"/>
          <w:lang w:val="it-IT"/>
        </w:rPr>
        <w:t>O atenţie deosebită s-a acordat îmbunătăţirii calităţii răspunsurilor comunicate petiţionarilor, urmărindu-se ca acestea să corespundă punctual solicitărilor formulate şi, în acelaşi timp, să constituie un îndrumar pentru petiţionari, aspect de natură să contribuie la o percepere cât mai corectă a competenţelor C</w:t>
      </w:r>
      <w:r w:rsidR="007F1706">
        <w:rPr>
          <w:rFonts w:asciiTheme="minorHAnsi" w:hAnsiTheme="minorHAnsi" w:cstheme="minorHAnsi"/>
          <w:bCs/>
          <w:iCs/>
          <w:sz w:val="26"/>
          <w:szCs w:val="26"/>
          <w:lang w:val="it-IT"/>
        </w:rPr>
        <w:t xml:space="preserve">.S.M. </w:t>
      </w:r>
      <w:r w:rsidRPr="000F0D8B">
        <w:rPr>
          <w:rFonts w:asciiTheme="minorHAnsi" w:hAnsiTheme="minorHAnsi" w:cstheme="minorHAnsi"/>
          <w:bCs/>
          <w:iCs/>
          <w:sz w:val="26"/>
          <w:szCs w:val="26"/>
          <w:lang w:val="it-IT"/>
        </w:rPr>
        <w:t>şi a faptului că, în orice situaţie, instituţia este ţinută a veghea asupra respectării principiilor care guvernează activitatea magistraţilor.</w:t>
      </w:r>
    </w:p>
    <w:p w14:paraId="6E02A692" w14:textId="79AEEBC6" w:rsidR="001278AE" w:rsidRPr="00B41651" w:rsidRDefault="001278AE" w:rsidP="009E3AD8">
      <w:pPr>
        <w:spacing w:line="276" w:lineRule="auto"/>
        <w:ind w:firstLine="709"/>
        <w:jc w:val="both"/>
        <w:rPr>
          <w:rFonts w:asciiTheme="minorHAnsi" w:hAnsiTheme="minorHAnsi" w:cstheme="minorHAnsi"/>
          <w:bCs/>
          <w:iCs/>
          <w:sz w:val="26"/>
          <w:szCs w:val="26"/>
          <w:lang w:val="it-IT"/>
        </w:rPr>
      </w:pPr>
      <w:r w:rsidRPr="00B41651">
        <w:rPr>
          <w:rFonts w:asciiTheme="minorHAnsi" w:hAnsiTheme="minorHAnsi" w:cstheme="minorHAnsi"/>
          <w:bCs/>
          <w:iCs/>
          <w:sz w:val="26"/>
          <w:szCs w:val="26"/>
          <w:lang w:val="it-IT"/>
        </w:rPr>
        <w:t>Cu privire la activitatea de acordare a audienţelor, este de menţionat că, pe parcursul acestei perioade, a</w:t>
      </w:r>
      <w:r w:rsidR="00A66C9A" w:rsidRPr="00B41651">
        <w:rPr>
          <w:rFonts w:asciiTheme="minorHAnsi" w:hAnsiTheme="minorHAnsi" w:cstheme="minorHAnsi"/>
          <w:bCs/>
          <w:iCs/>
          <w:sz w:val="26"/>
          <w:szCs w:val="26"/>
          <w:lang w:val="it-IT"/>
        </w:rPr>
        <w:t>u</w:t>
      </w:r>
      <w:r w:rsidRPr="00B41651">
        <w:rPr>
          <w:rFonts w:asciiTheme="minorHAnsi" w:hAnsiTheme="minorHAnsi" w:cstheme="minorHAnsi"/>
          <w:bCs/>
          <w:iCs/>
          <w:sz w:val="26"/>
          <w:szCs w:val="26"/>
          <w:lang w:val="it-IT"/>
        </w:rPr>
        <w:t xml:space="preserve"> fost acordat</w:t>
      </w:r>
      <w:r w:rsidR="00A66C9A" w:rsidRPr="00B41651">
        <w:rPr>
          <w:rFonts w:asciiTheme="minorHAnsi" w:hAnsiTheme="minorHAnsi" w:cstheme="minorHAnsi"/>
          <w:bCs/>
          <w:iCs/>
          <w:sz w:val="26"/>
          <w:szCs w:val="26"/>
          <w:lang w:val="it-IT"/>
        </w:rPr>
        <w:t>e</w:t>
      </w:r>
      <w:r w:rsidRPr="00B41651">
        <w:rPr>
          <w:rFonts w:asciiTheme="minorHAnsi" w:hAnsiTheme="minorHAnsi" w:cstheme="minorHAnsi"/>
          <w:bCs/>
          <w:iCs/>
          <w:sz w:val="26"/>
          <w:szCs w:val="26"/>
          <w:lang w:val="it-IT"/>
        </w:rPr>
        <w:t xml:space="preserve"> </w:t>
      </w:r>
      <w:r w:rsidR="00E7326C" w:rsidRPr="00B41651">
        <w:rPr>
          <w:rFonts w:asciiTheme="minorHAnsi" w:hAnsiTheme="minorHAnsi" w:cstheme="minorHAnsi"/>
          <w:bCs/>
          <w:iCs/>
          <w:sz w:val="26"/>
          <w:szCs w:val="26"/>
          <w:lang w:val="it-IT"/>
        </w:rPr>
        <w:t>224</w:t>
      </w:r>
      <w:r w:rsidR="00A66C9A" w:rsidRPr="00B41651">
        <w:rPr>
          <w:rFonts w:asciiTheme="minorHAnsi" w:hAnsiTheme="minorHAnsi" w:cstheme="minorHAnsi"/>
          <w:bCs/>
          <w:iCs/>
          <w:sz w:val="26"/>
          <w:szCs w:val="26"/>
          <w:lang w:val="it-IT"/>
        </w:rPr>
        <w:t xml:space="preserve"> de audienţe </w:t>
      </w:r>
      <w:r w:rsidRPr="00B41651">
        <w:rPr>
          <w:rFonts w:asciiTheme="minorHAnsi" w:hAnsiTheme="minorHAnsi" w:cstheme="minorHAnsi"/>
          <w:bCs/>
          <w:iCs/>
          <w:sz w:val="26"/>
          <w:szCs w:val="26"/>
          <w:lang w:val="it-IT"/>
        </w:rPr>
        <w:t xml:space="preserve">de </w:t>
      </w:r>
      <w:r w:rsidR="00A66C9A" w:rsidRPr="00B41651">
        <w:rPr>
          <w:rFonts w:asciiTheme="minorHAnsi" w:hAnsiTheme="minorHAnsi" w:cstheme="minorHAnsi"/>
          <w:bCs/>
          <w:iCs/>
          <w:sz w:val="26"/>
          <w:szCs w:val="26"/>
          <w:lang w:val="it-IT"/>
        </w:rPr>
        <w:t xml:space="preserve">către </w:t>
      </w:r>
      <w:r w:rsidRPr="00B41651">
        <w:rPr>
          <w:rFonts w:asciiTheme="minorHAnsi" w:hAnsiTheme="minorHAnsi" w:cstheme="minorHAnsi"/>
          <w:bCs/>
          <w:iCs/>
          <w:sz w:val="26"/>
          <w:szCs w:val="26"/>
          <w:lang w:val="it-IT"/>
        </w:rPr>
        <w:t>personalul de specialitate juridică din cadrul Serviciului relaţii cu publicul, registratură şi arhivă.</w:t>
      </w:r>
    </w:p>
    <w:p w14:paraId="76BD2D5D" w14:textId="77777777" w:rsidR="001278AE" w:rsidRPr="00B41651" w:rsidRDefault="001278AE" w:rsidP="009E3AD8">
      <w:pPr>
        <w:spacing w:line="276" w:lineRule="auto"/>
        <w:ind w:firstLine="709"/>
        <w:jc w:val="both"/>
        <w:rPr>
          <w:rFonts w:asciiTheme="minorHAnsi" w:hAnsiTheme="minorHAnsi" w:cstheme="minorHAnsi"/>
          <w:bCs/>
          <w:iCs/>
          <w:sz w:val="26"/>
          <w:szCs w:val="26"/>
          <w:lang w:val="it-IT"/>
        </w:rPr>
      </w:pPr>
      <w:r w:rsidRPr="00B41651">
        <w:rPr>
          <w:rFonts w:asciiTheme="minorHAnsi" w:hAnsiTheme="minorHAnsi" w:cstheme="minorHAnsi"/>
          <w:bCs/>
          <w:iCs/>
          <w:sz w:val="26"/>
          <w:szCs w:val="26"/>
          <w:lang w:val="it-IT"/>
        </w:rPr>
        <w:t>Considerând că audienţele reprezintă un mijloc esenţial de dialog cu cetăţenii, precum şi modalitatea cea mai rapidă prin care se pot identifica atât problemele acestora, cât şi deficienţele sistemului judiciar, Serviciul relaţii cu publicul, registratură şi arhivă a acordat o atenţie sporită organizării audienţelor, iar personalul ce a acordat audienţe s-a aplecat cu atenţie asupra problemelor semnalate de petenţi.</w:t>
      </w:r>
    </w:p>
    <w:p w14:paraId="52825294" w14:textId="6C6EC4CF" w:rsidR="001278AE" w:rsidRPr="00B41651" w:rsidRDefault="001278AE" w:rsidP="009E3AD8">
      <w:pPr>
        <w:spacing w:line="276" w:lineRule="auto"/>
        <w:ind w:firstLine="709"/>
        <w:jc w:val="both"/>
        <w:rPr>
          <w:rFonts w:asciiTheme="minorHAnsi" w:hAnsiTheme="minorHAnsi" w:cstheme="minorHAnsi"/>
          <w:bCs/>
          <w:iCs/>
          <w:sz w:val="26"/>
          <w:szCs w:val="26"/>
          <w:lang w:val="it-IT"/>
        </w:rPr>
      </w:pPr>
      <w:r w:rsidRPr="00B41651">
        <w:rPr>
          <w:rFonts w:asciiTheme="minorHAnsi" w:hAnsiTheme="minorHAnsi" w:cstheme="minorHAnsi"/>
          <w:bCs/>
          <w:iCs/>
          <w:sz w:val="26"/>
          <w:szCs w:val="26"/>
          <w:lang w:val="it-IT"/>
        </w:rPr>
        <w:t>Într-un număr mare de cazuri, persoanele care au solicitat audienţă au criticat hotărârile judecătoreşti dispuse de instanţe sau soluţiile procurorilor, precum şi durata mare a proceselor. În aceste situaţii, discuţiile s-au centrat pe aducerea la cunoştinţă a faptului că, potrivit atribuţiilor prevăzute de Regulament, C</w:t>
      </w:r>
      <w:r w:rsidR="007F1706" w:rsidRPr="00B41651">
        <w:rPr>
          <w:rFonts w:asciiTheme="minorHAnsi" w:hAnsiTheme="minorHAnsi" w:cstheme="minorHAnsi"/>
          <w:bCs/>
          <w:iCs/>
          <w:sz w:val="26"/>
          <w:szCs w:val="26"/>
          <w:lang w:val="it-IT"/>
        </w:rPr>
        <w:t xml:space="preserve">.S.M. </w:t>
      </w:r>
      <w:r w:rsidRPr="00B41651">
        <w:rPr>
          <w:rFonts w:asciiTheme="minorHAnsi" w:hAnsiTheme="minorHAnsi" w:cstheme="minorHAnsi"/>
          <w:bCs/>
          <w:iCs/>
          <w:sz w:val="26"/>
          <w:szCs w:val="26"/>
          <w:lang w:val="it-IT"/>
        </w:rPr>
        <w:t xml:space="preserve">nu se poate pronunţa asupra hotărârilor judecătoreşti ori soluţiilor procurorilor, neputând interpreta considerentele pe care magistraţii şi-au fundamentat motivarea ori soluţia dispusă, accentuându-se faptul că singurele în măsură să aprecieze asupra legalităţii şi temeiniciei hotărârilor judecătoreşti sunt instanţele ierarhic superioare, în cadrul căilor de atac prevăzute de lege. </w:t>
      </w:r>
    </w:p>
    <w:p w14:paraId="6CA6D31A" w14:textId="49518B8B" w:rsidR="001278AE" w:rsidRPr="00B41651" w:rsidRDefault="001278AE" w:rsidP="009E3AD8">
      <w:pPr>
        <w:spacing w:line="276" w:lineRule="auto"/>
        <w:ind w:firstLine="709"/>
        <w:jc w:val="both"/>
        <w:rPr>
          <w:rFonts w:asciiTheme="minorHAnsi" w:hAnsiTheme="minorHAnsi" w:cstheme="minorHAnsi"/>
          <w:bCs/>
          <w:iCs/>
          <w:sz w:val="26"/>
          <w:szCs w:val="26"/>
          <w:lang w:val="it-IT"/>
        </w:rPr>
      </w:pPr>
      <w:r w:rsidRPr="00B41651">
        <w:rPr>
          <w:rFonts w:asciiTheme="minorHAnsi" w:hAnsiTheme="minorHAnsi" w:cstheme="minorHAnsi"/>
          <w:bCs/>
          <w:iCs/>
          <w:sz w:val="26"/>
          <w:szCs w:val="26"/>
          <w:lang w:val="it-IT"/>
        </w:rPr>
        <w:t>Rigurozitatea în analiza problemelor semnalate de petiţionari, colaborarea activă cu celelalte departamente ale aparatului tehnic din cadrul C</w:t>
      </w:r>
      <w:r w:rsidR="007F1706" w:rsidRPr="00B41651">
        <w:rPr>
          <w:rFonts w:asciiTheme="minorHAnsi" w:hAnsiTheme="minorHAnsi" w:cstheme="minorHAnsi"/>
          <w:bCs/>
          <w:iCs/>
          <w:sz w:val="26"/>
          <w:szCs w:val="26"/>
          <w:lang w:val="it-IT"/>
        </w:rPr>
        <w:t>.S.M.</w:t>
      </w:r>
      <w:r w:rsidRPr="00B41651">
        <w:rPr>
          <w:rFonts w:asciiTheme="minorHAnsi" w:hAnsiTheme="minorHAnsi" w:cstheme="minorHAnsi"/>
          <w:bCs/>
          <w:iCs/>
          <w:sz w:val="26"/>
          <w:szCs w:val="26"/>
          <w:lang w:val="it-IT"/>
        </w:rPr>
        <w:t xml:space="preserve">, precum şi cu alte instituţii din sistemul judiciar şi din afara acestuia, în vederea soluţionării în termen rezonabil şi în mod punctual a solicitărilor petiţionarilor, au contribuit la o mai bună percepţie a justiţiabililor asupra rolului Consiliului în angrenajul autorităţilor publice şi la o imagine </w:t>
      </w:r>
      <w:r w:rsidR="00422D0D" w:rsidRPr="00B41651">
        <w:rPr>
          <w:rFonts w:asciiTheme="minorHAnsi" w:hAnsiTheme="minorHAnsi" w:cstheme="minorHAnsi"/>
          <w:bCs/>
          <w:iCs/>
          <w:sz w:val="26"/>
          <w:szCs w:val="26"/>
          <w:lang w:val="it-IT"/>
        </w:rPr>
        <w:t xml:space="preserve">cât mai </w:t>
      </w:r>
      <w:r w:rsidRPr="00B41651">
        <w:rPr>
          <w:rFonts w:asciiTheme="minorHAnsi" w:hAnsiTheme="minorHAnsi" w:cstheme="minorHAnsi"/>
          <w:bCs/>
          <w:iCs/>
          <w:sz w:val="26"/>
          <w:szCs w:val="26"/>
          <w:lang w:val="it-IT"/>
        </w:rPr>
        <w:t xml:space="preserve">corectă asupra sistemului judiciar şi activităţii magistraţilor.  </w:t>
      </w:r>
    </w:p>
    <w:p w14:paraId="56FD7665" w14:textId="197ADB0F" w:rsidR="001278AE" w:rsidRPr="00B41651" w:rsidRDefault="001278AE" w:rsidP="009E3AD8">
      <w:pPr>
        <w:spacing w:line="276" w:lineRule="auto"/>
        <w:ind w:firstLine="709"/>
        <w:jc w:val="both"/>
        <w:rPr>
          <w:rFonts w:asciiTheme="minorHAnsi" w:hAnsiTheme="minorHAnsi" w:cstheme="minorHAnsi"/>
          <w:bCs/>
          <w:iCs/>
          <w:sz w:val="26"/>
          <w:szCs w:val="26"/>
          <w:lang w:val="it-IT"/>
        </w:rPr>
      </w:pPr>
      <w:r w:rsidRPr="00B41651">
        <w:rPr>
          <w:rFonts w:asciiTheme="minorHAnsi" w:hAnsiTheme="minorHAnsi" w:cstheme="minorHAnsi"/>
          <w:bCs/>
          <w:iCs/>
          <w:sz w:val="26"/>
          <w:szCs w:val="26"/>
          <w:lang w:val="it-IT"/>
        </w:rPr>
        <w:t>Pentru a răspunde nevoii de concizie şi promptitudine, deziderate ce aparţin, în egală măsură, petiţionarului şi instituţiei publice, au fost puse la dispoziţia persoanelor interesate formularul de petiţie şi ghidul petiţionarului, publicate pe pagina de internet a C</w:t>
      </w:r>
      <w:r w:rsidR="007F1706" w:rsidRPr="00B41651">
        <w:rPr>
          <w:rFonts w:asciiTheme="minorHAnsi" w:hAnsiTheme="minorHAnsi" w:cstheme="minorHAnsi"/>
          <w:bCs/>
          <w:iCs/>
          <w:sz w:val="26"/>
          <w:szCs w:val="26"/>
          <w:lang w:val="it-IT"/>
        </w:rPr>
        <w:t>.S.M.</w:t>
      </w:r>
      <w:r w:rsidRPr="00B41651">
        <w:rPr>
          <w:rFonts w:asciiTheme="minorHAnsi" w:hAnsiTheme="minorHAnsi" w:cstheme="minorHAnsi"/>
          <w:bCs/>
          <w:iCs/>
          <w:sz w:val="26"/>
          <w:szCs w:val="26"/>
          <w:lang w:val="it-IT"/>
        </w:rPr>
        <w:t>, care sprijină justiţiabilul în a înţelege cu mai multă precizie competenţele Consiliului.</w:t>
      </w:r>
    </w:p>
    <w:p w14:paraId="5DCB63BC" w14:textId="2BEEFA16" w:rsidR="00DB54BB" w:rsidRPr="00B41651" w:rsidRDefault="001278AE" w:rsidP="009E3AD8">
      <w:pPr>
        <w:spacing w:line="276" w:lineRule="auto"/>
        <w:ind w:firstLine="709"/>
        <w:jc w:val="both"/>
        <w:rPr>
          <w:rFonts w:asciiTheme="minorHAnsi" w:hAnsiTheme="minorHAnsi" w:cstheme="minorHAnsi"/>
          <w:bCs/>
          <w:iCs/>
          <w:sz w:val="26"/>
          <w:szCs w:val="26"/>
          <w:lang w:val="it-IT"/>
        </w:rPr>
      </w:pPr>
      <w:r w:rsidRPr="00B41651">
        <w:rPr>
          <w:rFonts w:asciiTheme="minorHAnsi" w:hAnsiTheme="minorHAnsi" w:cstheme="minorHAnsi"/>
          <w:bCs/>
          <w:iCs/>
          <w:sz w:val="26"/>
          <w:szCs w:val="26"/>
          <w:lang w:val="it-IT"/>
        </w:rPr>
        <w:t>Serviciul relaţii cu publicul, registratură şi arhivă a urmărit permanent, atât în activitatea de soluţionare a petiţiilor, cât şi în cursul audienţelor acordate, să furnizeze informaţii complete</w:t>
      </w:r>
      <w:r w:rsidR="00422D0D" w:rsidRPr="00B41651">
        <w:rPr>
          <w:rFonts w:asciiTheme="minorHAnsi" w:hAnsiTheme="minorHAnsi" w:cstheme="minorHAnsi"/>
          <w:bCs/>
          <w:iCs/>
          <w:sz w:val="26"/>
          <w:szCs w:val="26"/>
          <w:lang w:val="it-IT"/>
        </w:rPr>
        <w:t xml:space="preserve"> şi </w:t>
      </w:r>
      <w:r w:rsidRPr="00B41651">
        <w:rPr>
          <w:rFonts w:asciiTheme="minorHAnsi" w:hAnsiTheme="minorHAnsi" w:cstheme="minorHAnsi"/>
          <w:bCs/>
          <w:iCs/>
          <w:sz w:val="26"/>
          <w:szCs w:val="26"/>
          <w:lang w:val="it-IT"/>
        </w:rPr>
        <w:t>sistematice asupra competenţelor C</w:t>
      </w:r>
      <w:r w:rsidR="007F1706" w:rsidRPr="00B41651">
        <w:rPr>
          <w:rFonts w:asciiTheme="minorHAnsi" w:hAnsiTheme="minorHAnsi" w:cstheme="minorHAnsi"/>
          <w:bCs/>
          <w:iCs/>
          <w:sz w:val="26"/>
          <w:szCs w:val="26"/>
          <w:lang w:val="it-IT"/>
        </w:rPr>
        <w:t>.S.M.</w:t>
      </w:r>
      <w:r w:rsidRPr="00B41651">
        <w:rPr>
          <w:rFonts w:asciiTheme="minorHAnsi" w:hAnsiTheme="minorHAnsi" w:cstheme="minorHAnsi"/>
          <w:bCs/>
          <w:iCs/>
          <w:sz w:val="26"/>
          <w:szCs w:val="26"/>
          <w:lang w:val="it-IT"/>
        </w:rPr>
        <w:t>, asupra demersurilor efectuate de acesta, în vederea îmbunătăţirii activităţii instanţelor şi parchetelor, considerând că o bună cunoaştere a rolului şi acţiunii Consiliului va permite o apreciere obiectivă a modului în care problemele personale pot fi soluţionate în mod optim de către această instituţie.</w:t>
      </w:r>
    </w:p>
    <w:p w14:paraId="11ED6F6D" w14:textId="77777777" w:rsidR="001278AE" w:rsidRPr="00B41651" w:rsidRDefault="001278AE" w:rsidP="009E3AD8">
      <w:pPr>
        <w:spacing w:line="276" w:lineRule="auto"/>
        <w:ind w:firstLine="709"/>
        <w:jc w:val="both"/>
        <w:rPr>
          <w:rFonts w:asciiTheme="minorHAnsi" w:hAnsiTheme="minorHAnsi" w:cstheme="minorHAnsi"/>
          <w:b/>
          <w:iCs/>
          <w:sz w:val="26"/>
          <w:szCs w:val="26"/>
          <w:lang w:val="it-IT"/>
        </w:rPr>
      </w:pPr>
      <w:r w:rsidRPr="00B41651">
        <w:rPr>
          <w:rFonts w:asciiTheme="minorHAnsi" w:hAnsiTheme="minorHAnsi" w:cstheme="minorHAnsi"/>
          <w:b/>
          <w:iCs/>
          <w:sz w:val="26"/>
          <w:szCs w:val="26"/>
          <w:lang w:val="it-IT"/>
        </w:rPr>
        <w:t>Activitatea de registratură și arhivă</w:t>
      </w:r>
    </w:p>
    <w:p w14:paraId="5CD87267" w14:textId="30E7556C" w:rsidR="001278AE" w:rsidRPr="00B41651" w:rsidRDefault="001278AE" w:rsidP="009E3AD8">
      <w:pPr>
        <w:spacing w:line="276" w:lineRule="auto"/>
        <w:ind w:firstLine="709"/>
        <w:jc w:val="both"/>
        <w:rPr>
          <w:rFonts w:asciiTheme="minorHAnsi" w:hAnsiTheme="minorHAnsi" w:cstheme="minorHAnsi"/>
          <w:bCs/>
          <w:iCs/>
          <w:sz w:val="26"/>
          <w:szCs w:val="26"/>
          <w:lang w:val="it-IT"/>
        </w:rPr>
      </w:pPr>
      <w:r w:rsidRPr="00B41651">
        <w:rPr>
          <w:rFonts w:asciiTheme="minorHAnsi" w:hAnsiTheme="minorHAnsi" w:cstheme="minorHAnsi"/>
          <w:bCs/>
          <w:iCs/>
          <w:sz w:val="26"/>
          <w:szCs w:val="26"/>
          <w:lang w:val="it-IT"/>
        </w:rPr>
        <w:t xml:space="preserve">În perioada analizată, registratura Consiliului Superior al Magistraturii a înregistrat şi repartizat către direcţiile şi serviciile competente un număr de </w:t>
      </w:r>
      <w:r w:rsidR="000B4AD4" w:rsidRPr="00B41651">
        <w:rPr>
          <w:rFonts w:asciiTheme="minorHAnsi" w:hAnsiTheme="minorHAnsi" w:cstheme="minorHAnsi"/>
          <w:bCs/>
          <w:iCs/>
          <w:sz w:val="26"/>
          <w:szCs w:val="26"/>
          <w:lang w:val="it-IT"/>
        </w:rPr>
        <w:t>10</w:t>
      </w:r>
      <w:r w:rsidR="00B41651">
        <w:rPr>
          <w:rFonts w:asciiTheme="minorHAnsi" w:hAnsiTheme="minorHAnsi" w:cstheme="minorHAnsi"/>
          <w:bCs/>
          <w:iCs/>
          <w:sz w:val="26"/>
          <w:szCs w:val="26"/>
          <w:lang w:val="it-IT"/>
        </w:rPr>
        <w:t>.</w:t>
      </w:r>
      <w:r w:rsidR="000B4AD4" w:rsidRPr="00B41651">
        <w:rPr>
          <w:rFonts w:asciiTheme="minorHAnsi" w:hAnsiTheme="minorHAnsi" w:cstheme="minorHAnsi"/>
          <w:bCs/>
          <w:iCs/>
          <w:sz w:val="26"/>
          <w:szCs w:val="26"/>
          <w:lang w:val="it-IT"/>
        </w:rPr>
        <w:t>782</w:t>
      </w:r>
      <w:r w:rsidRPr="00B41651">
        <w:rPr>
          <w:rFonts w:asciiTheme="minorHAnsi" w:hAnsiTheme="minorHAnsi" w:cstheme="minorHAnsi"/>
          <w:bCs/>
          <w:iCs/>
          <w:sz w:val="26"/>
          <w:szCs w:val="26"/>
          <w:lang w:val="it-IT"/>
        </w:rPr>
        <w:t xml:space="preserve"> de lucrări. </w:t>
      </w:r>
    </w:p>
    <w:p w14:paraId="76A9B008" w14:textId="4F249110" w:rsidR="001278AE" w:rsidRPr="00B41651" w:rsidRDefault="001278AE" w:rsidP="009E3AD8">
      <w:pPr>
        <w:spacing w:line="276" w:lineRule="auto"/>
        <w:ind w:firstLine="709"/>
        <w:jc w:val="both"/>
        <w:rPr>
          <w:rFonts w:asciiTheme="minorHAnsi" w:hAnsiTheme="minorHAnsi" w:cstheme="minorHAnsi"/>
          <w:bCs/>
          <w:iCs/>
          <w:sz w:val="26"/>
          <w:szCs w:val="26"/>
          <w:lang w:val="it-IT"/>
        </w:rPr>
      </w:pPr>
      <w:r w:rsidRPr="00B41651">
        <w:rPr>
          <w:rFonts w:asciiTheme="minorHAnsi" w:hAnsiTheme="minorHAnsi" w:cstheme="minorHAnsi"/>
          <w:bCs/>
          <w:iCs/>
          <w:sz w:val="26"/>
          <w:szCs w:val="26"/>
          <w:lang w:val="it-IT"/>
        </w:rPr>
        <w:lastRenderedPageBreak/>
        <w:t xml:space="preserve">Potrivit competenţelor conferite de lege, registratura a expediat prin Poşta Romană şi prin Poşta Militară un număr de </w:t>
      </w:r>
      <w:r w:rsidR="000B4AD4" w:rsidRPr="00B41651">
        <w:rPr>
          <w:rFonts w:asciiTheme="minorHAnsi" w:hAnsiTheme="minorHAnsi" w:cstheme="minorHAnsi"/>
          <w:bCs/>
          <w:iCs/>
          <w:sz w:val="26"/>
          <w:szCs w:val="26"/>
          <w:lang w:val="it-IT"/>
        </w:rPr>
        <w:t>5098</w:t>
      </w:r>
      <w:r w:rsidRPr="00B41651">
        <w:rPr>
          <w:rFonts w:asciiTheme="minorHAnsi" w:hAnsiTheme="minorHAnsi" w:cstheme="minorHAnsi"/>
          <w:bCs/>
          <w:iCs/>
          <w:sz w:val="26"/>
          <w:szCs w:val="26"/>
          <w:lang w:val="it-IT"/>
        </w:rPr>
        <w:t xml:space="preserve"> </w:t>
      </w:r>
      <w:r w:rsidR="00B65A08" w:rsidRPr="00B41651">
        <w:rPr>
          <w:rFonts w:asciiTheme="minorHAnsi" w:hAnsiTheme="minorHAnsi" w:cstheme="minorHAnsi"/>
          <w:bCs/>
          <w:iCs/>
          <w:sz w:val="26"/>
          <w:szCs w:val="26"/>
          <w:lang w:val="it-IT"/>
        </w:rPr>
        <w:t xml:space="preserve">de </w:t>
      </w:r>
      <w:r w:rsidRPr="00B41651">
        <w:rPr>
          <w:rFonts w:asciiTheme="minorHAnsi" w:hAnsiTheme="minorHAnsi" w:cstheme="minorHAnsi"/>
          <w:bCs/>
          <w:iCs/>
          <w:sz w:val="26"/>
          <w:szCs w:val="26"/>
          <w:lang w:val="it-IT"/>
        </w:rPr>
        <w:t xml:space="preserve">lucrări. </w:t>
      </w:r>
    </w:p>
    <w:p w14:paraId="372DEA78" w14:textId="35D5292D" w:rsidR="00021ABC" w:rsidRPr="00B41651" w:rsidRDefault="001278AE" w:rsidP="009E3AD8">
      <w:pPr>
        <w:spacing w:line="276" w:lineRule="auto"/>
        <w:ind w:firstLine="708"/>
        <w:jc w:val="both"/>
        <w:rPr>
          <w:rFonts w:asciiTheme="minorHAnsi" w:hAnsiTheme="minorHAnsi" w:cstheme="minorHAnsi"/>
          <w:bCs/>
          <w:iCs/>
          <w:sz w:val="26"/>
          <w:szCs w:val="26"/>
          <w:lang w:val="it-IT"/>
        </w:rPr>
      </w:pPr>
      <w:r w:rsidRPr="00B41651">
        <w:rPr>
          <w:rFonts w:asciiTheme="minorHAnsi" w:hAnsiTheme="minorHAnsi" w:cstheme="minorHAnsi"/>
          <w:bCs/>
          <w:iCs/>
          <w:sz w:val="26"/>
          <w:szCs w:val="26"/>
          <w:lang w:val="it-IT"/>
        </w:rPr>
        <w:t xml:space="preserve">De asemenea, în perioada analizată, </w:t>
      </w:r>
      <w:r w:rsidR="007F1706" w:rsidRPr="00B41651">
        <w:rPr>
          <w:rFonts w:asciiTheme="minorHAnsi" w:hAnsiTheme="minorHAnsi" w:cstheme="minorHAnsi"/>
          <w:bCs/>
          <w:iCs/>
          <w:sz w:val="26"/>
          <w:szCs w:val="26"/>
          <w:lang w:val="it-IT"/>
        </w:rPr>
        <w:t>A</w:t>
      </w:r>
      <w:r w:rsidRPr="00B41651">
        <w:rPr>
          <w:rFonts w:asciiTheme="minorHAnsi" w:hAnsiTheme="minorHAnsi" w:cstheme="minorHAnsi"/>
          <w:bCs/>
          <w:iCs/>
          <w:sz w:val="26"/>
          <w:szCs w:val="26"/>
          <w:lang w:val="it-IT"/>
        </w:rPr>
        <w:t>rhiva C</w:t>
      </w:r>
      <w:r w:rsidR="007F1706" w:rsidRPr="00B41651">
        <w:rPr>
          <w:rFonts w:asciiTheme="minorHAnsi" w:hAnsiTheme="minorHAnsi" w:cstheme="minorHAnsi"/>
          <w:bCs/>
          <w:iCs/>
          <w:sz w:val="26"/>
          <w:szCs w:val="26"/>
          <w:lang w:val="it-IT"/>
        </w:rPr>
        <w:t>.S.M.</w:t>
      </w:r>
      <w:r w:rsidRPr="00B41651">
        <w:rPr>
          <w:rFonts w:asciiTheme="minorHAnsi" w:hAnsiTheme="minorHAnsi" w:cstheme="minorHAnsi"/>
          <w:bCs/>
          <w:iCs/>
          <w:sz w:val="26"/>
          <w:szCs w:val="26"/>
          <w:lang w:val="it-IT"/>
        </w:rPr>
        <w:t xml:space="preserve"> s-a implicat în procedura de arhivare, selecţionare şi casare a documentelor aflate în depozitul instituţiei (aprox. 3000 kg), pentru care timpul de păstrare a expirat, conform Nomenclatorului arhivistic.</w:t>
      </w:r>
    </w:p>
    <w:p w14:paraId="67CBCDB5" w14:textId="373FD05E" w:rsidR="006C1588" w:rsidRPr="000F0D8B" w:rsidRDefault="006C1588" w:rsidP="00EF3A01">
      <w:pPr>
        <w:pStyle w:val="Heading2"/>
        <w:keepLines w:val="0"/>
        <w:suppressLineNumbers/>
        <w:suppressAutoHyphens/>
        <w:jc w:val="both"/>
        <w:rPr>
          <w:rFonts w:cstheme="minorHAnsi"/>
          <w:color w:val="auto"/>
          <w:lang w:val="ro-RO"/>
        </w:rPr>
      </w:pPr>
      <w:bookmarkStart w:id="165" w:name="_Toc430867138"/>
      <w:bookmarkStart w:id="166" w:name="_Toc219287986"/>
      <w:r w:rsidRPr="000F0D8B">
        <w:rPr>
          <w:rFonts w:cstheme="minorHAnsi"/>
          <w:color w:val="auto"/>
          <w:lang w:val="ro-RO"/>
        </w:rPr>
        <w:t>VI.7. Activitatea</w:t>
      </w:r>
      <w:r w:rsidR="00B15CE7" w:rsidRPr="000F0D8B">
        <w:rPr>
          <w:rFonts w:cstheme="minorHAnsi"/>
          <w:color w:val="auto"/>
          <w:lang w:val="ro-RO"/>
        </w:rPr>
        <w:t xml:space="preserve"> Serviciului</w:t>
      </w:r>
      <w:r w:rsidRPr="000F0D8B">
        <w:rPr>
          <w:rFonts w:cstheme="minorHAnsi"/>
          <w:color w:val="auto"/>
          <w:lang w:val="ro-RO"/>
        </w:rPr>
        <w:t xml:space="preserve"> </w:t>
      </w:r>
      <w:r w:rsidR="00B15CE7" w:rsidRPr="000F0D8B">
        <w:rPr>
          <w:rFonts w:cstheme="minorHAnsi"/>
          <w:color w:val="auto"/>
          <w:lang w:val="ro-RO"/>
        </w:rPr>
        <w:t>d</w:t>
      </w:r>
      <w:r w:rsidRPr="000F0D8B">
        <w:rPr>
          <w:rFonts w:cstheme="minorHAnsi"/>
          <w:color w:val="auto"/>
          <w:lang w:val="ro-RO"/>
        </w:rPr>
        <w:t>e informare publică</w:t>
      </w:r>
      <w:r w:rsidR="00B15CE7" w:rsidRPr="000F0D8B">
        <w:rPr>
          <w:rFonts w:cstheme="minorHAnsi"/>
          <w:color w:val="auto"/>
          <w:lang w:val="ro-RO"/>
        </w:rPr>
        <w:t>,</w:t>
      </w:r>
      <w:r w:rsidRPr="000F0D8B">
        <w:rPr>
          <w:rFonts w:cstheme="minorHAnsi"/>
          <w:color w:val="auto"/>
          <w:lang w:val="ro-RO"/>
        </w:rPr>
        <w:t xml:space="preserve"> relaţii cu mass</w:t>
      </w:r>
      <w:r w:rsidR="00A01972" w:rsidRPr="000F0D8B">
        <w:rPr>
          <w:rFonts w:cstheme="minorHAnsi"/>
          <w:color w:val="auto"/>
          <w:lang w:val="ro-RO"/>
        </w:rPr>
        <w:t>-</w:t>
      </w:r>
      <w:r w:rsidRPr="000F0D8B">
        <w:rPr>
          <w:rFonts w:cstheme="minorHAnsi"/>
          <w:color w:val="auto"/>
          <w:lang w:val="ro-RO"/>
        </w:rPr>
        <w:t>media</w:t>
      </w:r>
      <w:bookmarkEnd w:id="165"/>
      <w:r w:rsidR="00B15CE7" w:rsidRPr="000F0D8B">
        <w:rPr>
          <w:rFonts w:cstheme="minorHAnsi"/>
          <w:color w:val="auto"/>
          <w:lang w:val="ro-RO"/>
        </w:rPr>
        <w:t xml:space="preserve"> și protecția datelor cu caracter personal</w:t>
      </w:r>
      <w:bookmarkEnd w:id="166"/>
    </w:p>
    <w:p w14:paraId="30EC41F2" w14:textId="77777777" w:rsidR="009F1FEA" w:rsidRPr="003D6ACD" w:rsidRDefault="009F1FEA" w:rsidP="009F1FEA">
      <w:pPr>
        <w:spacing w:line="276" w:lineRule="auto"/>
        <w:ind w:firstLine="709"/>
        <w:jc w:val="both"/>
        <w:rPr>
          <w:rFonts w:asciiTheme="minorHAnsi" w:hAnsiTheme="minorHAnsi" w:cstheme="minorHAnsi"/>
          <w:sz w:val="26"/>
          <w:szCs w:val="26"/>
        </w:rPr>
      </w:pPr>
      <w:bookmarkStart w:id="167" w:name="_Toc430867139"/>
      <w:r w:rsidRPr="003D6ACD">
        <w:rPr>
          <w:rFonts w:asciiTheme="minorHAnsi" w:hAnsiTheme="minorHAnsi" w:cstheme="minorHAnsi"/>
          <w:sz w:val="26"/>
          <w:szCs w:val="26"/>
        </w:rPr>
        <w:t xml:space="preserve">Serviciul de informare publică, relaţii cu mass-media şi protecţia datelor cu caracter personal este organizat şi funcţionează potrivit prevederilor Legii nr. 305/2022 privind Consiliul Superior al Magistraturii, cu modificările ulterioare, Legii nr. 304/2022 privind organizarea judiciară, cu modificările ulterioare, ale Legii nr. 303/2022 privind statutul judecătorilor şi procurorilor, cu modificările şi completările ulterioare, ale Regulamentului de organizare şi funcţionare a </w:t>
      </w:r>
      <w:bookmarkStart w:id="168" w:name="_Hlk181004040"/>
      <w:r w:rsidRPr="003D6ACD">
        <w:rPr>
          <w:rFonts w:asciiTheme="minorHAnsi" w:hAnsiTheme="minorHAnsi" w:cstheme="minorHAnsi"/>
          <w:sz w:val="26"/>
          <w:szCs w:val="26"/>
        </w:rPr>
        <w:t>Consiliului Superior al Magistraturii</w:t>
      </w:r>
      <w:bookmarkEnd w:id="168"/>
      <w:r w:rsidRPr="003D6ACD">
        <w:rPr>
          <w:rFonts w:asciiTheme="minorHAnsi" w:hAnsiTheme="minorHAnsi" w:cstheme="minorHAnsi"/>
          <w:sz w:val="26"/>
          <w:szCs w:val="26"/>
        </w:rPr>
        <w:t>, aprobat prin Hotărârea Plenului Consiliului Superior al Magistraturii nr. 122/2023, ale Legii nr. 544/2001 privind liberul acces la informaţiile de interes public, cu modificările şi completările ulterioare, ale Ghidului privind relaţia dintre sistemul judiciar şi mass-media, aprobat prin Hotărârea Plenului Consiliului Superior al Magistraturii nr. 197/2019, precum şi ale Regulamentului (U.E.) 2016/679 privind protecţia persoanelor fizice în ceea ce priveşte prelucrarea datelor cu caracter personal şi privind libera circulaţie a acestor date şi de abrogare a Directivei 95/46/C.E. (Regulamentul general privind protecţia datelor</w:t>
      </w:r>
      <w:r w:rsidRPr="003D6ACD">
        <w:rPr>
          <w:rFonts w:asciiTheme="minorHAnsi" w:hAnsiTheme="minorHAnsi" w:cstheme="minorHAnsi"/>
          <w:sz w:val="26"/>
          <w:szCs w:val="26"/>
          <w:bdr w:val="none" w:sz="0" w:space="0" w:color="auto" w:frame="1"/>
        </w:rPr>
        <w:t>).</w:t>
      </w:r>
    </w:p>
    <w:p w14:paraId="72AAAD90" w14:textId="77777777" w:rsidR="009F1FEA" w:rsidRPr="003D6ACD" w:rsidRDefault="009F1FEA" w:rsidP="009F1FEA">
      <w:pPr>
        <w:keepNext/>
        <w:spacing w:line="276" w:lineRule="auto"/>
        <w:ind w:firstLine="709"/>
        <w:jc w:val="both"/>
        <w:rPr>
          <w:rFonts w:asciiTheme="minorHAnsi" w:hAnsiTheme="minorHAnsi" w:cstheme="minorHAnsi"/>
          <w:sz w:val="26"/>
          <w:szCs w:val="26"/>
        </w:rPr>
      </w:pPr>
      <w:r w:rsidRPr="003D6ACD">
        <w:rPr>
          <w:rFonts w:asciiTheme="minorHAnsi" w:hAnsiTheme="minorHAnsi" w:cstheme="minorHAnsi"/>
          <w:sz w:val="26"/>
          <w:szCs w:val="26"/>
        </w:rPr>
        <w:t xml:space="preserve">Serviciul de informare publică, relaţii cu mass-media și protecția datelor cu caracter personal, aflat în subordinea directă a președintelui Consiliului, și-a desfășurat activitatea în anul 2025 în cadrul specific comunicării publice instituționale şi al protecţiei datelor cu caracter personal, cu respectarea dispozițiilor legale. </w:t>
      </w:r>
    </w:p>
    <w:p w14:paraId="18D1668D" w14:textId="22A1CAFD" w:rsidR="009F1FEA" w:rsidRPr="003D6ACD" w:rsidRDefault="009F1FEA" w:rsidP="009F1FEA">
      <w:pPr>
        <w:keepNext/>
        <w:spacing w:line="276" w:lineRule="auto"/>
        <w:ind w:firstLine="709"/>
        <w:jc w:val="both"/>
        <w:rPr>
          <w:rFonts w:asciiTheme="minorHAnsi" w:hAnsiTheme="minorHAnsi" w:cstheme="minorHAnsi"/>
          <w:sz w:val="26"/>
          <w:szCs w:val="26"/>
        </w:rPr>
      </w:pPr>
      <w:r w:rsidRPr="003D6ACD">
        <w:rPr>
          <w:rFonts w:asciiTheme="minorHAnsi" w:hAnsiTheme="minorHAnsi" w:cstheme="minorHAnsi"/>
          <w:sz w:val="26"/>
          <w:szCs w:val="26"/>
        </w:rPr>
        <w:t>Având în vedere atribuțiile prevăzute de art. 104 alin. (13) și (14) din Regulamentul de organizare şi funcţionare a Consiliului Superior al Magistraturii, aprobat prin Hotărârea Plenului C</w:t>
      </w:r>
      <w:r w:rsidR="007F1706">
        <w:rPr>
          <w:rFonts w:asciiTheme="minorHAnsi" w:hAnsiTheme="minorHAnsi" w:cstheme="minorHAnsi"/>
          <w:sz w:val="26"/>
          <w:szCs w:val="26"/>
        </w:rPr>
        <w:t xml:space="preserve">.S.M. </w:t>
      </w:r>
      <w:r w:rsidRPr="003D6ACD">
        <w:rPr>
          <w:rFonts w:asciiTheme="minorHAnsi" w:hAnsiTheme="minorHAnsi" w:cstheme="minorHAnsi"/>
          <w:sz w:val="26"/>
          <w:szCs w:val="26"/>
        </w:rPr>
        <w:t xml:space="preserve">nr. 122/2023, în anul 2025, la nivelul Serviciului de informare publică, relaţii cu mass-media şi protecţia datelor cu caracter personal au fost întocmite lucrările referitoare la îndeplinirea rolului Consiliului de autoritate competentă să supravegheze operaţiunile de prelucrare a datelor cu caracter personal de către instanţele judecătoreşti în exercitarea atribuţiilor lor judiciare. </w:t>
      </w:r>
    </w:p>
    <w:p w14:paraId="3457DECE" w14:textId="77777777" w:rsidR="009F1FEA" w:rsidRPr="003D6ACD" w:rsidRDefault="009F1FEA" w:rsidP="009F1FEA">
      <w:pPr>
        <w:spacing w:line="276" w:lineRule="auto"/>
        <w:ind w:firstLine="709"/>
        <w:jc w:val="both"/>
        <w:rPr>
          <w:rFonts w:asciiTheme="minorHAnsi" w:hAnsiTheme="minorHAnsi" w:cstheme="minorHAnsi"/>
          <w:sz w:val="26"/>
          <w:szCs w:val="26"/>
        </w:rPr>
      </w:pPr>
      <w:r w:rsidRPr="003D6ACD">
        <w:rPr>
          <w:rFonts w:asciiTheme="minorHAnsi" w:hAnsiTheme="minorHAnsi" w:cstheme="minorHAnsi"/>
          <w:sz w:val="26"/>
          <w:szCs w:val="26"/>
        </w:rPr>
        <w:t xml:space="preserve">Totodată, având în vedere că, în cadrul Serviciului de informare publică, relaţii cu mass-media şi protecţia datelor cu caracter personal, funcţionează şi </w:t>
      </w:r>
      <w:bookmarkStart w:id="169" w:name="_Hlk180745624"/>
      <w:r w:rsidRPr="003D6ACD">
        <w:rPr>
          <w:rFonts w:asciiTheme="minorHAnsi" w:hAnsiTheme="minorHAnsi" w:cstheme="minorHAnsi"/>
          <w:sz w:val="26"/>
          <w:szCs w:val="26"/>
        </w:rPr>
        <w:t>responsabilul cu protecţia datelor la nivelul Consiliului</w:t>
      </w:r>
      <w:bookmarkEnd w:id="169"/>
      <w:r w:rsidRPr="003D6ACD">
        <w:rPr>
          <w:rFonts w:asciiTheme="minorHAnsi" w:hAnsiTheme="minorHAnsi" w:cstheme="minorHAnsi"/>
          <w:sz w:val="26"/>
          <w:szCs w:val="26"/>
        </w:rPr>
        <w:t>, care îndeplinește atribuţiile prevăzute la art. 38 - 39 din Regulamentul general privind protecţia datelor, precum şi orice alte atribuţii stabilite de conducerea Consiliului, la nivelul serviciului au fost întocmite și lucrările aferente  acestor atribuții.</w:t>
      </w:r>
    </w:p>
    <w:p w14:paraId="2A0B456D" w14:textId="3C8AED03" w:rsidR="009F1FEA" w:rsidRPr="003D6ACD" w:rsidRDefault="009F1FEA" w:rsidP="009F1FEA">
      <w:pPr>
        <w:spacing w:line="276" w:lineRule="auto"/>
        <w:ind w:firstLine="709"/>
        <w:jc w:val="both"/>
        <w:rPr>
          <w:rFonts w:asciiTheme="minorHAnsi" w:hAnsiTheme="minorHAnsi" w:cstheme="minorHAnsi"/>
          <w:sz w:val="26"/>
          <w:szCs w:val="26"/>
        </w:rPr>
      </w:pPr>
      <w:r w:rsidRPr="003D6ACD">
        <w:rPr>
          <w:rFonts w:asciiTheme="minorHAnsi" w:hAnsiTheme="minorHAnsi" w:cstheme="minorHAnsi"/>
          <w:sz w:val="26"/>
          <w:szCs w:val="26"/>
        </w:rPr>
        <w:t xml:space="preserve">Din perspectiva atribuțiilor de informare publică și relaţia cu mass-media, obiectivul activităților derulate în cadrul S.I.P.R.M.M.P.D.C.P. a fost îmbunătățirea imaginii publice a Consiliului Superior al Magistraturii și a </w:t>
      </w:r>
      <w:r w:rsidR="00E8278D">
        <w:rPr>
          <w:rFonts w:asciiTheme="minorHAnsi" w:hAnsiTheme="minorHAnsi" w:cstheme="minorHAnsi"/>
          <w:sz w:val="26"/>
          <w:szCs w:val="26"/>
        </w:rPr>
        <w:t>justiţiei</w:t>
      </w:r>
      <w:r w:rsidRPr="003D6ACD">
        <w:rPr>
          <w:rFonts w:asciiTheme="minorHAnsi" w:hAnsiTheme="minorHAnsi" w:cstheme="minorHAnsi"/>
          <w:sz w:val="26"/>
          <w:szCs w:val="26"/>
        </w:rPr>
        <w:t xml:space="preserve"> în ansamblul său, prin creșterea gradului de transparență </w:t>
      </w:r>
      <w:r w:rsidR="00E8278D">
        <w:rPr>
          <w:rFonts w:asciiTheme="minorHAnsi" w:hAnsiTheme="minorHAnsi" w:cstheme="minorHAnsi"/>
          <w:sz w:val="26"/>
          <w:szCs w:val="26"/>
        </w:rPr>
        <w:t>şi prin combaterea fenomenului de fake news cu privire la informaţii referitoare la activitatea Consiliului, în particular, şi a autorităţii judecătoreşti, în general</w:t>
      </w:r>
      <w:r w:rsidRPr="003D6ACD">
        <w:rPr>
          <w:rFonts w:asciiTheme="minorHAnsi" w:hAnsiTheme="minorHAnsi" w:cstheme="minorHAnsi"/>
          <w:sz w:val="26"/>
          <w:szCs w:val="26"/>
        </w:rPr>
        <w:t>.</w:t>
      </w:r>
    </w:p>
    <w:p w14:paraId="0D73301B" w14:textId="0A5C3720" w:rsidR="009F1FEA" w:rsidRPr="003D6ACD" w:rsidRDefault="009F1FEA" w:rsidP="009F1FEA">
      <w:pPr>
        <w:spacing w:line="276" w:lineRule="auto"/>
        <w:ind w:firstLine="709"/>
        <w:jc w:val="both"/>
        <w:rPr>
          <w:rFonts w:asciiTheme="minorHAnsi" w:hAnsiTheme="minorHAnsi" w:cstheme="minorHAnsi"/>
          <w:sz w:val="26"/>
          <w:szCs w:val="26"/>
        </w:rPr>
      </w:pPr>
      <w:r w:rsidRPr="003D6ACD">
        <w:rPr>
          <w:rFonts w:asciiTheme="minorHAnsi" w:hAnsiTheme="minorHAnsi" w:cstheme="minorHAnsi"/>
          <w:sz w:val="26"/>
          <w:szCs w:val="26"/>
        </w:rPr>
        <w:t>În scopul unei informări publice corecte și complete, a corelării cu nevoile de informare contemporane ale publicului și, implicit, prin creșterea gradului de încredere a cetățeanului în sistemul de justiție,</w:t>
      </w:r>
      <w:r w:rsidRPr="003D6ACD">
        <w:t xml:space="preserve"> </w:t>
      </w:r>
      <w:r w:rsidRPr="003D6ACD">
        <w:rPr>
          <w:rFonts w:asciiTheme="minorHAnsi" w:hAnsiTheme="minorHAnsi" w:cstheme="minorHAnsi"/>
          <w:sz w:val="26"/>
          <w:szCs w:val="26"/>
        </w:rPr>
        <w:t xml:space="preserve">S.I.P.R.M.M.P.D.C.P. a urmărit </w:t>
      </w:r>
      <w:r w:rsidR="00E8278D">
        <w:rPr>
          <w:rFonts w:asciiTheme="minorHAnsi" w:hAnsiTheme="minorHAnsi" w:cstheme="minorHAnsi"/>
          <w:sz w:val="26"/>
          <w:szCs w:val="26"/>
        </w:rPr>
        <w:t xml:space="preserve">constant </w:t>
      </w:r>
      <w:r w:rsidRPr="003D6ACD">
        <w:rPr>
          <w:rFonts w:asciiTheme="minorHAnsi" w:hAnsiTheme="minorHAnsi" w:cstheme="minorHAnsi"/>
          <w:sz w:val="26"/>
          <w:szCs w:val="26"/>
        </w:rPr>
        <w:t>combaterea dezinformării</w:t>
      </w:r>
      <w:r w:rsidR="00E8278D">
        <w:rPr>
          <w:rFonts w:asciiTheme="minorHAnsi" w:hAnsiTheme="minorHAnsi" w:cstheme="minorHAnsi"/>
          <w:sz w:val="26"/>
          <w:szCs w:val="26"/>
        </w:rPr>
        <w:t xml:space="preserve"> şi a ştirilor </w:t>
      </w:r>
      <w:r w:rsidR="00E8278D">
        <w:rPr>
          <w:rFonts w:asciiTheme="minorHAnsi" w:hAnsiTheme="minorHAnsi" w:cstheme="minorHAnsi"/>
          <w:sz w:val="26"/>
          <w:szCs w:val="26"/>
        </w:rPr>
        <w:lastRenderedPageBreak/>
        <w:t>false, precum şi a atacurilor mediatice la adresa judecătorilor, procurorilor sau a instituţiilor din cadrul sistemului judiciar, prezenţa unor astfel de situaţii fiind mult mai intensă în cursul anului 2025 pe fondul propunerilor legislative de modificare a statutului magistraţilor</w:t>
      </w:r>
      <w:r w:rsidRPr="003D6ACD">
        <w:rPr>
          <w:rFonts w:asciiTheme="minorHAnsi" w:hAnsiTheme="minorHAnsi" w:cstheme="minorHAnsi"/>
          <w:sz w:val="26"/>
          <w:szCs w:val="26"/>
        </w:rPr>
        <w:t>.</w:t>
      </w:r>
    </w:p>
    <w:p w14:paraId="1709368E" w14:textId="60579494" w:rsidR="009F1FEA" w:rsidRPr="003D6ACD" w:rsidRDefault="009F1FEA" w:rsidP="00E8278D">
      <w:pPr>
        <w:spacing w:line="276" w:lineRule="auto"/>
        <w:ind w:firstLine="709"/>
        <w:jc w:val="both"/>
        <w:rPr>
          <w:rFonts w:asciiTheme="minorHAnsi" w:hAnsiTheme="minorHAnsi" w:cstheme="minorHAnsi"/>
          <w:sz w:val="26"/>
          <w:szCs w:val="26"/>
        </w:rPr>
      </w:pPr>
      <w:r w:rsidRPr="003D6ACD">
        <w:rPr>
          <w:rFonts w:asciiTheme="minorHAnsi" w:hAnsiTheme="minorHAnsi" w:cstheme="minorHAnsi"/>
          <w:sz w:val="26"/>
          <w:szCs w:val="26"/>
        </w:rPr>
        <w:t>Aceste deziderate au impus și în cursul anului 2025 îmbunătățirea tehnicilor de comunicare atât în interiorul, cât și în exteriorul sistemului</w:t>
      </w:r>
      <w:r w:rsidR="00E8278D">
        <w:rPr>
          <w:rFonts w:asciiTheme="minorHAnsi" w:hAnsiTheme="minorHAnsi" w:cstheme="minorHAnsi"/>
          <w:sz w:val="26"/>
          <w:szCs w:val="26"/>
        </w:rPr>
        <w:t>,</w:t>
      </w:r>
      <w:r w:rsidRPr="003D6ACD">
        <w:rPr>
          <w:rFonts w:asciiTheme="minorHAnsi" w:hAnsiTheme="minorHAnsi" w:cstheme="minorHAnsi"/>
          <w:sz w:val="26"/>
          <w:szCs w:val="26"/>
        </w:rPr>
        <w:t xml:space="preserve"> din perspectiva accesului la informațiile de interes public, astfel cum</w:t>
      </w:r>
      <w:r w:rsidR="00E8278D">
        <w:rPr>
          <w:rFonts w:asciiTheme="minorHAnsi" w:hAnsiTheme="minorHAnsi" w:cstheme="minorHAnsi"/>
          <w:sz w:val="26"/>
          <w:szCs w:val="26"/>
        </w:rPr>
        <w:t xml:space="preserve"> domeniul</w:t>
      </w:r>
      <w:r w:rsidRPr="003D6ACD">
        <w:rPr>
          <w:rFonts w:asciiTheme="minorHAnsi" w:hAnsiTheme="minorHAnsi" w:cstheme="minorHAnsi"/>
          <w:sz w:val="26"/>
          <w:szCs w:val="26"/>
        </w:rPr>
        <w:t xml:space="preserve"> este reglementat prin Legea nr. 544/2001 privind liberul acces la informațiile de interes public</w:t>
      </w:r>
      <w:r w:rsidR="00E8278D">
        <w:rPr>
          <w:rFonts w:asciiTheme="minorHAnsi" w:hAnsiTheme="minorHAnsi" w:cstheme="minorHAnsi"/>
          <w:sz w:val="26"/>
          <w:szCs w:val="26"/>
        </w:rPr>
        <w:t>, cât şi din prespectiva prezenţei crescute la nivel comunicaţional a Consiliului în spaţiul public, pentru a răspunde în cât mai scurt timp dezinfomării ori atacurilor venite din mass media sau din spaţiul social media</w:t>
      </w:r>
      <w:r w:rsidRPr="003D6ACD">
        <w:rPr>
          <w:rFonts w:asciiTheme="minorHAnsi" w:hAnsiTheme="minorHAnsi" w:cstheme="minorHAnsi"/>
          <w:sz w:val="26"/>
          <w:szCs w:val="26"/>
        </w:rPr>
        <w:t>.</w:t>
      </w:r>
    </w:p>
    <w:p w14:paraId="577EA8A5" w14:textId="01BEB23F" w:rsidR="009F1FEA" w:rsidRPr="003D6ACD" w:rsidRDefault="009F1FEA" w:rsidP="009F1FEA">
      <w:pPr>
        <w:spacing w:line="276" w:lineRule="auto"/>
        <w:ind w:firstLine="709"/>
        <w:jc w:val="both"/>
        <w:rPr>
          <w:rFonts w:asciiTheme="minorHAnsi" w:hAnsiTheme="minorHAnsi" w:cstheme="minorHAnsi"/>
          <w:sz w:val="26"/>
          <w:szCs w:val="26"/>
        </w:rPr>
      </w:pPr>
      <w:r w:rsidRPr="003D6ACD">
        <w:rPr>
          <w:rFonts w:asciiTheme="minorHAnsi" w:hAnsiTheme="minorHAnsi" w:cstheme="minorHAnsi"/>
          <w:sz w:val="26"/>
          <w:szCs w:val="26"/>
        </w:rPr>
        <w:t xml:space="preserve">După intrarea în vigoare a </w:t>
      </w:r>
      <w:bookmarkStart w:id="170" w:name="_Hlk180573700"/>
      <w:r w:rsidRPr="003D6ACD">
        <w:rPr>
          <w:rFonts w:asciiTheme="minorHAnsi" w:hAnsiTheme="minorHAnsi" w:cstheme="minorHAnsi"/>
          <w:sz w:val="26"/>
          <w:szCs w:val="26"/>
        </w:rPr>
        <w:t xml:space="preserve">Regulamentului nr. 679/2016 privind protecția persoanelor fizice în ceea ce privește prelucrarea datelor cu caracter personal şi privind libera circulație a acestor date şi de abrogare a Directivei 95/46/CE, adoptat de către Parlamentul European şi Consiliul Uniunii Europene la data de 25 mai 2018 (G.D.P.R.), </w:t>
      </w:r>
      <w:bookmarkEnd w:id="170"/>
      <w:r w:rsidRPr="003D6ACD">
        <w:rPr>
          <w:rFonts w:asciiTheme="minorHAnsi" w:hAnsiTheme="minorHAnsi" w:cstheme="minorHAnsi"/>
          <w:sz w:val="26"/>
          <w:szCs w:val="26"/>
        </w:rPr>
        <w:t>analiza solicitărilor adresate serviciului a devenit complexă din perspectiva documentării suplimentare pentru a fi asigurată corelarea dintre practica administrativă anterioară a Consiliului cu noile dispoziții care urmăresc protejarea datelor personale și interesul public al cetățeanului, interes public afirmat constant și fără nicio distincție (date confidențiale - date publice) de către reprezentanții mass media în demersurile și solicitările acestora.</w:t>
      </w:r>
    </w:p>
    <w:p w14:paraId="3118B196" w14:textId="5C8E336B" w:rsidR="009F1FEA" w:rsidRPr="003D6ACD" w:rsidRDefault="009F1FEA" w:rsidP="009F1FEA">
      <w:pPr>
        <w:spacing w:line="276" w:lineRule="auto"/>
        <w:ind w:firstLine="709"/>
        <w:jc w:val="both"/>
        <w:rPr>
          <w:rFonts w:asciiTheme="minorHAnsi" w:hAnsiTheme="minorHAnsi" w:cstheme="minorHAnsi"/>
          <w:sz w:val="26"/>
          <w:szCs w:val="26"/>
        </w:rPr>
      </w:pPr>
      <w:r w:rsidRPr="003D6ACD">
        <w:rPr>
          <w:rFonts w:asciiTheme="minorHAnsi" w:hAnsiTheme="minorHAnsi" w:cstheme="minorHAnsi"/>
          <w:sz w:val="26"/>
          <w:szCs w:val="26"/>
        </w:rPr>
        <w:t>Și în anul 2025, justiția a fost folosită constant ca temă de dezbatere publică, printr-o multitudine de canale de comunicare (emisiuni TV, presă scrisă, online, audio, video, platforma socială Facebook, pagini de internet oficiale ale unor instituții publice sau platforme politice, etc.), fiind lansate atacuri la adresa independenței justiției, precum și la adresa independenței şi reputației magistraților individual</w:t>
      </w:r>
      <w:r w:rsidR="00384B57">
        <w:rPr>
          <w:rFonts w:asciiTheme="minorHAnsi" w:hAnsiTheme="minorHAnsi" w:cstheme="minorHAnsi"/>
          <w:sz w:val="26"/>
          <w:szCs w:val="26"/>
        </w:rPr>
        <w:t xml:space="preserve"> ori la adresa instituţiilor din sistemul judiciar</w:t>
      </w:r>
      <w:r w:rsidRPr="003D6ACD">
        <w:rPr>
          <w:rFonts w:asciiTheme="minorHAnsi" w:hAnsiTheme="minorHAnsi" w:cstheme="minorHAnsi"/>
          <w:sz w:val="26"/>
          <w:szCs w:val="26"/>
        </w:rPr>
        <w:t xml:space="preserve">. </w:t>
      </w:r>
    </w:p>
    <w:p w14:paraId="1B6193B2" w14:textId="77777777" w:rsidR="009F1FEA" w:rsidRPr="003D6ACD" w:rsidRDefault="009F1FEA" w:rsidP="009F1FEA">
      <w:pPr>
        <w:spacing w:line="276" w:lineRule="auto"/>
        <w:ind w:firstLine="709"/>
        <w:jc w:val="both"/>
        <w:rPr>
          <w:rFonts w:asciiTheme="minorHAnsi" w:hAnsiTheme="minorHAnsi" w:cstheme="minorHAnsi"/>
          <w:sz w:val="26"/>
          <w:szCs w:val="26"/>
        </w:rPr>
      </w:pPr>
      <w:r w:rsidRPr="003D6ACD">
        <w:rPr>
          <w:rFonts w:asciiTheme="minorHAnsi" w:hAnsiTheme="minorHAnsi" w:cstheme="minorHAnsi"/>
          <w:sz w:val="26"/>
          <w:szCs w:val="26"/>
        </w:rPr>
        <w:t>În acest context, una dintre prioritățile serviciului a fost identificarea situațiilor de afectare a independenței justiției, a reputației şi independenței magistraților în scopul sancționării unor astfel de atacuri, dar şi preocuparea pentru prevenirea și limitarea expansiunii unor speculații şi atacuri la adresa independenței justiției şi a magistraților.</w:t>
      </w:r>
    </w:p>
    <w:p w14:paraId="096BE317" w14:textId="5A11EE0F" w:rsidR="009F1FEA" w:rsidRPr="003D6ACD" w:rsidRDefault="009F1FEA" w:rsidP="009F1FEA">
      <w:pPr>
        <w:spacing w:line="276" w:lineRule="auto"/>
        <w:ind w:firstLine="709"/>
        <w:jc w:val="both"/>
        <w:rPr>
          <w:rFonts w:asciiTheme="minorHAnsi" w:hAnsiTheme="minorHAnsi" w:cstheme="minorHAnsi"/>
          <w:sz w:val="26"/>
          <w:szCs w:val="26"/>
        </w:rPr>
      </w:pPr>
      <w:r w:rsidRPr="003D6ACD">
        <w:rPr>
          <w:rFonts w:asciiTheme="minorHAnsi" w:hAnsiTheme="minorHAnsi" w:cstheme="minorHAnsi"/>
          <w:sz w:val="26"/>
          <w:szCs w:val="26"/>
        </w:rPr>
        <w:t>Monitorizarea atentă şi continuă a presei centrale şi locale, online, scrise, audio şi video, </w:t>
      </w:r>
      <w:r w:rsidR="00384B57">
        <w:rPr>
          <w:rFonts w:asciiTheme="minorHAnsi" w:hAnsiTheme="minorHAnsi" w:cstheme="minorHAnsi"/>
          <w:sz w:val="26"/>
          <w:szCs w:val="26"/>
        </w:rPr>
        <w:t xml:space="preserve">precum şi a spaţiului social media </w:t>
      </w:r>
      <w:r w:rsidRPr="003D6ACD">
        <w:rPr>
          <w:rFonts w:asciiTheme="minorHAnsi" w:hAnsiTheme="minorHAnsi" w:cstheme="minorHAnsi"/>
          <w:sz w:val="26"/>
          <w:szCs w:val="26"/>
        </w:rPr>
        <w:t xml:space="preserve">s-a concretizat în sesizări ale Inspecției Judiciare dispuse de conducerea Consiliului, precum și măsuri dispuse în Plenul sau Secțiile C.S.M., dar și în adoptarea unor poziții publice ferme prin publicarea unor informări sau comunicate de presă, cu respectarea cerințelor de claritate şi accesibilitate în transmiterea mesajului public. </w:t>
      </w:r>
    </w:p>
    <w:p w14:paraId="0AF3B184" w14:textId="77777777" w:rsidR="009F1FEA" w:rsidRPr="003D6ACD" w:rsidRDefault="009F1FEA" w:rsidP="009F1FEA">
      <w:pPr>
        <w:spacing w:line="276" w:lineRule="auto"/>
        <w:ind w:firstLine="709"/>
        <w:jc w:val="both"/>
        <w:rPr>
          <w:rFonts w:asciiTheme="minorHAnsi" w:hAnsiTheme="minorHAnsi" w:cstheme="minorHAnsi"/>
          <w:sz w:val="26"/>
          <w:szCs w:val="26"/>
        </w:rPr>
      </w:pPr>
      <w:r w:rsidRPr="003D6ACD">
        <w:rPr>
          <w:rFonts w:asciiTheme="minorHAnsi" w:hAnsiTheme="minorHAnsi" w:cstheme="minorHAnsi"/>
          <w:sz w:val="26"/>
          <w:szCs w:val="26"/>
        </w:rPr>
        <w:t>Identificarea problemelor de interpretare şi aplicare a dispozițiilor Ghidului de bune practici privind relația sistemului judiciar cu mass-media</w:t>
      </w:r>
      <w:r w:rsidRPr="003D6ACD">
        <w:rPr>
          <w:rFonts w:asciiTheme="minorHAnsi" w:hAnsiTheme="minorHAnsi" w:cstheme="minorHAnsi"/>
          <w:i/>
          <w:iCs/>
          <w:sz w:val="26"/>
          <w:szCs w:val="26"/>
        </w:rPr>
        <w:t xml:space="preserve">, </w:t>
      </w:r>
      <w:r w:rsidRPr="003D6ACD">
        <w:rPr>
          <w:rFonts w:asciiTheme="minorHAnsi" w:hAnsiTheme="minorHAnsi" w:cstheme="minorHAnsi"/>
          <w:sz w:val="26"/>
          <w:szCs w:val="26"/>
        </w:rPr>
        <w:t>fie la sesizarea purtătorilor de cuvânt din instanțe şi parchete, fie a jurnaliștilor, şi coordonarea unei interpretări cât mai unitare a acestui instrument au constituit o altă preocupare în activitatea Serviciului.</w:t>
      </w:r>
    </w:p>
    <w:p w14:paraId="41EDC55B" w14:textId="77777777" w:rsidR="009F1FEA" w:rsidRPr="003D6ACD" w:rsidRDefault="009F1FEA" w:rsidP="009F1FEA">
      <w:pPr>
        <w:spacing w:line="276" w:lineRule="auto"/>
        <w:ind w:firstLine="709"/>
        <w:jc w:val="both"/>
        <w:rPr>
          <w:rFonts w:asciiTheme="minorHAnsi" w:hAnsiTheme="minorHAnsi" w:cstheme="minorHAnsi"/>
          <w:sz w:val="26"/>
          <w:szCs w:val="26"/>
        </w:rPr>
      </w:pPr>
      <w:r w:rsidRPr="003D6ACD">
        <w:rPr>
          <w:rFonts w:asciiTheme="minorHAnsi" w:hAnsiTheme="minorHAnsi" w:cstheme="minorHAnsi"/>
          <w:sz w:val="26"/>
          <w:szCs w:val="26"/>
        </w:rPr>
        <w:t>Inițiate în cea mai mare parte de jurnaliști, solicitările telefonice au fost și în cursul acestui an adresate şi de justițiabilii nemulțumiți de activitatea magistraților, a Inspecției Judiciare, a Consiliului, de soluțiile pronunțate de judecători sau procurori. Furnizarea unui feed-back prompt jurnaliștilor şi altor persoane sau organizații interesate a fost un element suplimentar de îmbunătățire a imaginii instituției şi chiar de prevenire a lansării în spațiul public a unor informații nereale sau trunchiate.</w:t>
      </w:r>
    </w:p>
    <w:p w14:paraId="59B91AEF" w14:textId="375AE43F" w:rsidR="009F1FEA" w:rsidRPr="003D6ACD" w:rsidRDefault="009F1FEA" w:rsidP="009F1FEA">
      <w:pPr>
        <w:spacing w:line="276" w:lineRule="auto"/>
        <w:ind w:firstLine="709"/>
        <w:jc w:val="both"/>
        <w:rPr>
          <w:rFonts w:asciiTheme="minorHAnsi" w:hAnsiTheme="minorHAnsi" w:cstheme="minorHAnsi"/>
          <w:sz w:val="26"/>
          <w:szCs w:val="26"/>
        </w:rPr>
      </w:pPr>
      <w:r w:rsidRPr="003D6ACD">
        <w:rPr>
          <w:rFonts w:asciiTheme="minorHAnsi" w:hAnsiTheme="minorHAnsi" w:cstheme="minorHAnsi"/>
          <w:sz w:val="26"/>
          <w:szCs w:val="26"/>
        </w:rPr>
        <w:lastRenderedPageBreak/>
        <w:t>Din punct de vedere al modalităților de comunicare, ținând cont de evoluția tehnologică spectaculoasă a ultimilor ani, a fost valorificată o largă paletă a canalelor şi instrumentelor de comunicare, inclusiv platformele social media Facebook și Linkedin</w:t>
      </w:r>
      <w:r w:rsidRPr="003D6ACD">
        <w:rPr>
          <w:rFonts w:asciiTheme="minorHAnsi" w:hAnsiTheme="minorHAnsi" w:cstheme="minorHAnsi"/>
          <w:i/>
          <w:iCs/>
          <w:sz w:val="26"/>
          <w:szCs w:val="26"/>
        </w:rPr>
        <w:t xml:space="preserve">. </w:t>
      </w:r>
      <w:r w:rsidRPr="003D6ACD">
        <w:rPr>
          <w:rFonts w:asciiTheme="minorHAnsi" w:hAnsiTheme="minorHAnsi" w:cstheme="minorHAnsi"/>
          <w:sz w:val="26"/>
          <w:szCs w:val="26"/>
        </w:rPr>
        <w:t>Comunicarea publică</w:t>
      </w:r>
      <w:r w:rsidRPr="003D6ACD">
        <w:rPr>
          <w:rFonts w:asciiTheme="minorHAnsi" w:hAnsiTheme="minorHAnsi" w:cstheme="minorHAnsi"/>
          <w:i/>
          <w:iCs/>
          <w:sz w:val="26"/>
          <w:szCs w:val="26"/>
        </w:rPr>
        <w:t xml:space="preserve"> </w:t>
      </w:r>
      <w:r w:rsidRPr="003D6ACD">
        <w:rPr>
          <w:rFonts w:asciiTheme="minorHAnsi" w:hAnsiTheme="minorHAnsi" w:cstheme="minorHAnsi"/>
          <w:sz w:val="26"/>
          <w:szCs w:val="26"/>
        </w:rPr>
        <w:t xml:space="preserve">prin </w:t>
      </w:r>
      <w:r w:rsidR="00384B57">
        <w:rPr>
          <w:rFonts w:asciiTheme="minorHAnsi" w:hAnsiTheme="minorHAnsi" w:cstheme="minorHAnsi"/>
          <w:sz w:val="26"/>
          <w:szCs w:val="26"/>
        </w:rPr>
        <w:t xml:space="preserve">utilizarea </w:t>
      </w:r>
      <w:r w:rsidRPr="003D6ACD">
        <w:rPr>
          <w:rFonts w:asciiTheme="minorHAnsi" w:hAnsiTheme="minorHAnsi" w:cstheme="minorHAnsi"/>
          <w:sz w:val="26"/>
          <w:szCs w:val="26"/>
        </w:rPr>
        <w:t>platforme</w:t>
      </w:r>
      <w:r w:rsidR="00384B57">
        <w:rPr>
          <w:rFonts w:asciiTheme="minorHAnsi" w:hAnsiTheme="minorHAnsi" w:cstheme="minorHAnsi"/>
          <w:sz w:val="26"/>
          <w:szCs w:val="26"/>
        </w:rPr>
        <w:t>lor</w:t>
      </w:r>
      <w:r w:rsidRPr="003D6ACD">
        <w:rPr>
          <w:rFonts w:asciiTheme="minorHAnsi" w:hAnsiTheme="minorHAnsi" w:cstheme="minorHAnsi"/>
          <w:sz w:val="26"/>
          <w:szCs w:val="26"/>
        </w:rPr>
        <w:t xml:space="preserve"> social media prezintă avantaje indubitabile pentru imaginea şi vizibilitatea instituției. Dincolo de rapiditatea cu care mesajele sunt difuzate şi propagate în spațiul public față de un număr mare de potențiali destinatari, aparținând tuturor categoriilor de grupuri țintă, utilizarea unor elemente de identitate vizuală face mult mai atractiv mesajul public transmis, inclusiv printre utilizatorii din segmentul tânăr al populației, care ar trebui să beneficieze din timp de educație juridică. </w:t>
      </w:r>
    </w:p>
    <w:p w14:paraId="2D4B2BBA" w14:textId="77777777" w:rsidR="009F1FEA" w:rsidRPr="003D6ACD" w:rsidRDefault="009F1FEA" w:rsidP="009F1FEA">
      <w:pPr>
        <w:spacing w:line="276" w:lineRule="auto"/>
        <w:ind w:firstLine="709"/>
        <w:jc w:val="both"/>
        <w:rPr>
          <w:rFonts w:asciiTheme="minorHAnsi" w:hAnsiTheme="minorHAnsi" w:cstheme="minorHAnsi"/>
          <w:sz w:val="26"/>
          <w:szCs w:val="26"/>
        </w:rPr>
      </w:pPr>
      <w:bookmarkStart w:id="171" w:name="_Hlk212540731"/>
      <w:r w:rsidRPr="003D6ACD">
        <w:rPr>
          <w:rFonts w:asciiTheme="minorHAnsi" w:hAnsiTheme="minorHAnsi" w:cstheme="minorHAnsi"/>
          <w:sz w:val="26"/>
          <w:szCs w:val="26"/>
        </w:rPr>
        <w:t>Platformele social media Facebook și Linkedin ale Consiliului Superior al Magistraturii</w:t>
      </w:r>
      <w:bookmarkEnd w:id="171"/>
      <w:r w:rsidRPr="003D6ACD">
        <w:rPr>
          <w:rFonts w:asciiTheme="minorHAnsi" w:hAnsiTheme="minorHAnsi" w:cstheme="minorHAnsi"/>
          <w:i/>
          <w:iCs/>
          <w:sz w:val="26"/>
          <w:szCs w:val="26"/>
        </w:rPr>
        <w:t xml:space="preserve">, </w:t>
      </w:r>
      <w:r w:rsidRPr="003D6ACD">
        <w:rPr>
          <w:rFonts w:asciiTheme="minorHAnsi" w:hAnsiTheme="minorHAnsi" w:cstheme="minorHAnsi"/>
          <w:sz w:val="26"/>
          <w:szCs w:val="26"/>
        </w:rPr>
        <w:t>alături de</w:t>
      </w:r>
      <w:r w:rsidRPr="003D6ACD">
        <w:rPr>
          <w:rFonts w:asciiTheme="minorHAnsi" w:hAnsiTheme="minorHAnsi" w:cstheme="minorHAnsi"/>
          <w:i/>
          <w:iCs/>
          <w:sz w:val="26"/>
          <w:szCs w:val="26"/>
        </w:rPr>
        <w:t xml:space="preserve"> </w:t>
      </w:r>
      <w:r w:rsidRPr="003D6ACD">
        <w:rPr>
          <w:rFonts w:asciiTheme="minorHAnsi" w:hAnsiTheme="minorHAnsi" w:cstheme="minorHAnsi"/>
          <w:sz w:val="26"/>
          <w:szCs w:val="26"/>
        </w:rPr>
        <w:t>aplicația telefonică WhatsApp şi de instrumentele de comunicare utilizate în relația cu mass media (comunicat de presă, informare de presă), au reprezentat canale de comunicare eficiente pentru asigurarea unei vizibilități sporite a activității instituției, inclusiv în cadrul proiectelor cu finanțare externă derulate de Consiliu.</w:t>
      </w:r>
    </w:p>
    <w:p w14:paraId="37D93D70" w14:textId="7F3EF8FF" w:rsidR="009F1FEA" w:rsidRPr="003D6ACD" w:rsidRDefault="009F1FEA" w:rsidP="009F1FEA">
      <w:pPr>
        <w:spacing w:line="276" w:lineRule="auto"/>
        <w:ind w:firstLine="709"/>
        <w:jc w:val="both"/>
        <w:rPr>
          <w:rFonts w:asciiTheme="minorHAnsi" w:hAnsiTheme="minorHAnsi" w:cstheme="minorHAnsi"/>
          <w:sz w:val="26"/>
          <w:szCs w:val="26"/>
        </w:rPr>
      </w:pPr>
      <w:r w:rsidRPr="003D6ACD">
        <w:rPr>
          <w:rFonts w:asciiTheme="minorHAnsi" w:hAnsiTheme="minorHAnsi" w:cstheme="minorHAnsi"/>
          <w:sz w:val="26"/>
          <w:szCs w:val="26"/>
        </w:rPr>
        <w:t>Astfel, și în cursul anului 2025 S.I.P.R.M.M.P.D.C.P a menținut trendul ascendent a comunicării pe social media, fiind publicate peste 200 de postări pe platformele social media Facebook și Linkedin ale C</w:t>
      </w:r>
      <w:r w:rsidR="00ED2B0E">
        <w:rPr>
          <w:rFonts w:asciiTheme="minorHAnsi" w:hAnsiTheme="minorHAnsi" w:cstheme="minorHAnsi"/>
          <w:sz w:val="26"/>
          <w:szCs w:val="26"/>
        </w:rPr>
        <w:t>.S.M.</w:t>
      </w:r>
      <w:r w:rsidRPr="003D6ACD">
        <w:rPr>
          <w:rFonts w:asciiTheme="minorHAnsi" w:hAnsiTheme="minorHAnsi" w:cstheme="minorHAnsi"/>
          <w:sz w:val="26"/>
          <w:szCs w:val="26"/>
        </w:rPr>
        <w:t>.</w:t>
      </w:r>
    </w:p>
    <w:p w14:paraId="2416B460" w14:textId="77777777" w:rsidR="009F1FEA" w:rsidRPr="003D6ACD" w:rsidRDefault="009F1FEA" w:rsidP="009F1FEA">
      <w:pPr>
        <w:spacing w:line="276" w:lineRule="auto"/>
        <w:ind w:firstLine="709"/>
        <w:jc w:val="both"/>
        <w:rPr>
          <w:rFonts w:asciiTheme="minorHAnsi" w:hAnsiTheme="minorHAnsi" w:cstheme="minorHAnsi"/>
          <w:sz w:val="26"/>
          <w:szCs w:val="26"/>
        </w:rPr>
      </w:pPr>
      <w:r w:rsidRPr="003D6ACD">
        <w:rPr>
          <w:rFonts w:asciiTheme="minorHAnsi" w:hAnsiTheme="minorHAnsi" w:cstheme="minorHAnsi"/>
          <w:sz w:val="26"/>
          <w:szCs w:val="26"/>
        </w:rPr>
        <w:t>În data de 26 martie 2025, 15 studenţi ai Facultăţii de Drept din cadrul Academiei de Studii Economice București au participat la o întâlnire cu reprezentanţii Consiliului Superior al Magistraturii, marcând astfel începutul perioadei de practică pe care au desfășurat-o la Consiliu în temeiul Acordului cadrul de colaborare privind efectuarea stagiului de practică în cadrul programelor de studii universitare de licenţă şi master.</w:t>
      </w:r>
    </w:p>
    <w:p w14:paraId="161293AE" w14:textId="678D4C9E" w:rsidR="009F1FEA" w:rsidRPr="003D6ACD" w:rsidRDefault="009F1FEA" w:rsidP="009F1FEA">
      <w:pPr>
        <w:spacing w:line="276" w:lineRule="auto"/>
        <w:ind w:firstLine="709"/>
        <w:jc w:val="both"/>
        <w:rPr>
          <w:rFonts w:asciiTheme="minorHAnsi" w:hAnsiTheme="minorHAnsi" w:cstheme="minorHAnsi"/>
          <w:sz w:val="26"/>
          <w:szCs w:val="26"/>
        </w:rPr>
      </w:pPr>
      <w:r w:rsidRPr="003D6ACD">
        <w:rPr>
          <w:rFonts w:asciiTheme="minorHAnsi" w:hAnsiTheme="minorHAnsi" w:cstheme="minorHAnsi"/>
          <w:sz w:val="26"/>
          <w:szCs w:val="26"/>
        </w:rPr>
        <w:t>În cadrul discuţiilor interactive a fost prezentată structura sistemului judiciar din România, precum şi rolul constituţional, dar şi modalitatea de organizare şi funcţionare a C</w:t>
      </w:r>
      <w:r w:rsidR="00ED2B0E">
        <w:rPr>
          <w:rFonts w:asciiTheme="minorHAnsi" w:hAnsiTheme="minorHAnsi" w:cstheme="minorHAnsi"/>
          <w:sz w:val="26"/>
          <w:szCs w:val="26"/>
        </w:rPr>
        <w:t>.S.M.</w:t>
      </w:r>
      <w:r w:rsidRPr="003D6ACD">
        <w:rPr>
          <w:rFonts w:asciiTheme="minorHAnsi" w:hAnsiTheme="minorHAnsi" w:cstheme="minorHAnsi"/>
          <w:sz w:val="26"/>
          <w:szCs w:val="26"/>
        </w:rPr>
        <w:t>, statutul judecătorilor şi procurorilor, modalităţile în care pot deveni magistraţi, precum şi aspecte practice privind activitatea de judecată şi de urmărire penală.</w:t>
      </w:r>
    </w:p>
    <w:p w14:paraId="61B834A7" w14:textId="32C13A3E" w:rsidR="009F1FEA" w:rsidRPr="003D6ACD" w:rsidRDefault="009F1FEA" w:rsidP="009F1FEA">
      <w:pPr>
        <w:spacing w:line="276" w:lineRule="auto"/>
        <w:ind w:firstLine="709"/>
        <w:jc w:val="both"/>
        <w:rPr>
          <w:rFonts w:asciiTheme="minorHAnsi" w:hAnsiTheme="minorHAnsi" w:cstheme="minorHAnsi"/>
          <w:sz w:val="26"/>
          <w:szCs w:val="26"/>
        </w:rPr>
      </w:pPr>
      <w:r w:rsidRPr="003D6ACD">
        <w:rPr>
          <w:rFonts w:asciiTheme="minorHAnsi" w:hAnsiTheme="minorHAnsi" w:cstheme="minorHAnsi"/>
          <w:sz w:val="26"/>
          <w:szCs w:val="26"/>
        </w:rPr>
        <w:t xml:space="preserve">În contextul evenimentului dedicat Zilei Justiţiei, Consiliul Superior al Magistraturii a găzduit </w:t>
      </w:r>
      <w:r w:rsidR="00384B57">
        <w:rPr>
          <w:rFonts w:asciiTheme="minorHAnsi" w:hAnsiTheme="minorHAnsi" w:cstheme="minorHAnsi"/>
          <w:sz w:val="26"/>
          <w:szCs w:val="26"/>
        </w:rPr>
        <w:t xml:space="preserve">în luna iulie 2025 </w:t>
      </w:r>
      <w:r w:rsidRPr="003D6ACD">
        <w:rPr>
          <w:rFonts w:asciiTheme="minorHAnsi" w:hAnsiTheme="minorHAnsi" w:cstheme="minorHAnsi"/>
          <w:sz w:val="26"/>
          <w:szCs w:val="26"/>
        </w:rPr>
        <w:t>peste 70 de studenți din cadrul facultăților de drept din București și de auditori de justiție din cadrul Institutului Național al Magistraturii, care au fost invitaţi la sediul Consiliului pentru discuţii cu membrii aleşi şi reprezentanţi din cadrul aparatului instituţiei</w:t>
      </w:r>
      <w:r w:rsidR="00384B57">
        <w:rPr>
          <w:rFonts w:asciiTheme="minorHAnsi" w:hAnsiTheme="minorHAnsi" w:cstheme="minorHAnsi"/>
          <w:sz w:val="26"/>
          <w:szCs w:val="26"/>
        </w:rPr>
        <w:t>, în cadrul unui eveniment de tipul Porţilor deschise</w:t>
      </w:r>
      <w:r w:rsidRPr="003D6ACD">
        <w:rPr>
          <w:rFonts w:asciiTheme="minorHAnsi" w:hAnsiTheme="minorHAnsi" w:cstheme="minorHAnsi"/>
          <w:sz w:val="26"/>
          <w:szCs w:val="26"/>
        </w:rPr>
        <w:t>.</w:t>
      </w:r>
    </w:p>
    <w:p w14:paraId="72C8DE94" w14:textId="489AF5ED" w:rsidR="009F1FEA" w:rsidRPr="003D6ACD" w:rsidRDefault="009F1FEA" w:rsidP="009F1FEA">
      <w:pPr>
        <w:shd w:val="clear" w:color="auto" w:fill="FFFFFF"/>
        <w:spacing w:line="276" w:lineRule="auto"/>
        <w:ind w:firstLine="709"/>
        <w:jc w:val="both"/>
        <w:rPr>
          <w:rFonts w:asciiTheme="minorHAnsi" w:hAnsiTheme="minorHAnsi" w:cstheme="minorHAnsi"/>
          <w:sz w:val="26"/>
          <w:szCs w:val="26"/>
        </w:rPr>
      </w:pPr>
      <w:r w:rsidRPr="003D6ACD">
        <w:rPr>
          <w:rFonts w:asciiTheme="minorHAnsi" w:hAnsiTheme="minorHAnsi" w:cstheme="minorHAnsi"/>
          <w:sz w:val="26"/>
          <w:szCs w:val="26"/>
        </w:rPr>
        <w:t>Temele abordate au inclus modalitatea în care funcţionează sistemul judiciar din România şi Consiliul</w:t>
      </w:r>
      <w:r w:rsidR="00ED2B0E">
        <w:rPr>
          <w:rFonts w:asciiTheme="minorHAnsi" w:hAnsiTheme="minorHAnsi" w:cstheme="minorHAnsi"/>
          <w:sz w:val="26"/>
          <w:szCs w:val="26"/>
        </w:rPr>
        <w:t xml:space="preserve"> Superior al Magistraturii</w:t>
      </w:r>
      <w:r w:rsidRPr="003D6ACD">
        <w:rPr>
          <w:rFonts w:asciiTheme="minorHAnsi" w:hAnsiTheme="minorHAnsi" w:cstheme="minorHAnsi"/>
          <w:sz w:val="26"/>
          <w:szCs w:val="26"/>
        </w:rPr>
        <w:t>, cu accent pe aspecte pratice din activitatea judecătorilor şi procurorilor, iar studenţii şi auditorii de justiţie au adresat întrebări şi s-au documentat prin intermediul broşurilor elaborate de Consiliul, distribuite cu această ocazie.</w:t>
      </w:r>
    </w:p>
    <w:p w14:paraId="1F0FD3E5" w14:textId="77777777" w:rsidR="009F1FEA" w:rsidRPr="003D6ACD" w:rsidRDefault="009F1FEA" w:rsidP="009F1FEA">
      <w:pPr>
        <w:spacing w:line="276" w:lineRule="auto"/>
        <w:ind w:firstLine="709"/>
        <w:jc w:val="both"/>
        <w:rPr>
          <w:rFonts w:asciiTheme="minorHAnsi" w:hAnsiTheme="minorHAnsi" w:cstheme="minorHAnsi"/>
          <w:sz w:val="26"/>
          <w:szCs w:val="26"/>
        </w:rPr>
      </w:pPr>
      <w:r w:rsidRPr="003D6ACD">
        <w:rPr>
          <w:rFonts w:asciiTheme="minorHAnsi" w:hAnsiTheme="minorHAnsi" w:cstheme="minorHAnsi"/>
          <w:sz w:val="26"/>
          <w:szCs w:val="26"/>
        </w:rPr>
        <w:t>Materialele puse la dispoziție în cadrul Centrului de Informare de la parterul Consiliului au fost actualizate, acestea fiind utilizate şi cu prilejul Zilei Justiției.</w:t>
      </w:r>
    </w:p>
    <w:p w14:paraId="3D40C30C" w14:textId="77777777" w:rsidR="009F1FEA" w:rsidRPr="003D6ACD" w:rsidRDefault="009F1FEA" w:rsidP="009F1FEA">
      <w:pPr>
        <w:spacing w:line="276" w:lineRule="auto"/>
        <w:ind w:firstLine="709"/>
        <w:jc w:val="both"/>
        <w:rPr>
          <w:rFonts w:asciiTheme="minorHAnsi" w:hAnsiTheme="minorHAnsi" w:cstheme="minorHAnsi"/>
          <w:sz w:val="26"/>
          <w:szCs w:val="26"/>
        </w:rPr>
      </w:pPr>
      <w:r w:rsidRPr="003D6ACD">
        <w:rPr>
          <w:rFonts w:asciiTheme="minorHAnsi" w:hAnsiTheme="minorHAnsi" w:cstheme="minorHAnsi"/>
          <w:sz w:val="26"/>
          <w:szCs w:val="26"/>
        </w:rPr>
        <w:t>Evenimentul a fost mediatizat de Consiliu și preluat în presa centrală și locală.</w:t>
      </w:r>
    </w:p>
    <w:p w14:paraId="78876871" w14:textId="77777777" w:rsidR="009F1FEA" w:rsidRPr="003D6ACD" w:rsidRDefault="009F1FEA" w:rsidP="00281400">
      <w:pPr>
        <w:numPr>
          <w:ilvl w:val="0"/>
          <w:numId w:val="14"/>
        </w:numPr>
        <w:tabs>
          <w:tab w:val="left" w:pos="567"/>
          <w:tab w:val="left" w:pos="709"/>
          <w:tab w:val="left" w:pos="851"/>
          <w:tab w:val="left" w:pos="993"/>
        </w:tabs>
        <w:spacing w:line="276" w:lineRule="auto"/>
        <w:ind w:left="0" w:firstLine="709"/>
        <w:contextualSpacing/>
        <w:jc w:val="both"/>
        <w:rPr>
          <w:rFonts w:asciiTheme="minorHAnsi" w:hAnsiTheme="minorHAnsi" w:cstheme="minorHAnsi"/>
          <w:b/>
          <w:bCs/>
          <w:sz w:val="26"/>
          <w:szCs w:val="26"/>
        </w:rPr>
      </w:pPr>
      <w:r w:rsidRPr="003D6ACD">
        <w:rPr>
          <w:rFonts w:asciiTheme="minorHAnsi" w:hAnsiTheme="minorHAnsi" w:cstheme="minorHAnsi"/>
          <w:b/>
          <w:bCs/>
          <w:sz w:val="26"/>
          <w:szCs w:val="26"/>
        </w:rPr>
        <w:t xml:space="preserve">Volumul de activitate </w:t>
      </w:r>
    </w:p>
    <w:p w14:paraId="7DBEA305" w14:textId="77777777" w:rsidR="009F1FEA" w:rsidRPr="003D6ACD" w:rsidRDefault="009F1FEA" w:rsidP="009F1FEA">
      <w:pPr>
        <w:spacing w:line="276" w:lineRule="auto"/>
        <w:ind w:firstLine="709"/>
        <w:jc w:val="both"/>
        <w:rPr>
          <w:rFonts w:asciiTheme="minorHAnsi" w:hAnsiTheme="minorHAnsi" w:cstheme="minorHAnsi"/>
          <w:sz w:val="26"/>
          <w:szCs w:val="26"/>
        </w:rPr>
      </w:pPr>
      <w:r w:rsidRPr="003D6ACD">
        <w:rPr>
          <w:rFonts w:asciiTheme="minorHAnsi" w:hAnsiTheme="minorHAnsi" w:cstheme="minorHAnsi"/>
          <w:sz w:val="26"/>
          <w:szCs w:val="26"/>
        </w:rPr>
        <w:t xml:space="preserve">Sub aspectul cuantificării volumului de activitate derulat de Serviciul de informare publică, relaţii cu mass-media și protecția datelor cu caracter personal în anul 2025, acesta poate fi redat după cum urmează: </w:t>
      </w:r>
    </w:p>
    <w:p w14:paraId="1580ED48" w14:textId="08292B39" w:rsidR="009F1FEA" w:rsidRPr="00B41651" w:rsidRDefault="009F1FEA" w:rsidP="00281400">
      <w:pPr>
        <w:numPr>
          <w:ilvl w:val="0"/>
          <w:numId w:val="15"/>
        </w:numPr>
        <w:tabs>
          <w:tab w:val="left" w:pos="709"/>
          <w:tab w:val="left" w:pos="851"/>
          <w:tab w:val="left" w:pos="993"/>
        </w:tabs>
        <w:spacing w:line="276" w:lineRule="auto"/>
        <w:ind w:left="0" w:firstLine="709"/>
        <w:jc w:val="both"/>
        <w:rPr>
          <w:rFonts w:asciiTheme="minorHAnsi" w:hAnsiTheme="minorHAnsi" w:cstheme="minorHAnsi"/>
          <w:sz w:val="26"/>
          <w:szCs w:val="26"/>
        </w:rPr>
      </w:pPr>
      <w:r w:rsidRPr="00B41651">
        <w:rPr>
          <w:rFonts w:asciiTheme="minorHAnsi" w:hAnsiTheme="minorHAnsi" w:cstheme="minorHAnsi"/>
          <w:sz w:val="26"/>
          <w:szCs w:val="26"/>
        </w:rPr>
        <w:lastRenderedPageBreak/>
        <w:t xml:space="preserve">au fost emise un număr de </w:t>
      </w:r>
      <w:r w:rsidR="00DF3EE7" w:rsidRPr="00B41651">
        <w:rPr>
          <w:rFonts w:asciiTheme="minorHAnsi" w:hAnsiTheme="minorHAnsi" w:cstheme="minorHAnsi"/>
          <w:sz w:val="26"/>
          <w:szCs w:val="26"/>
        </w:rPr>
        <w:t>68</w:t>
      </w:r>
      <w:r w:rsidRPr="00B41651">
        <w:rPr>
          <w:rFonts w:asciiTheme="minorHAnsi" w:hAnsiTheme="minorHAnsi" w:cstheme="minorHAnsi"/>
          <w:sz w:val="26"/>
          <w:szCs w:val="26"/>
        </w:rPr>
        <w:t xml:space="preserve"> de comunicări sub formă de informări de presă, comunicate de presă, precizări, mesaje;</w:t>
      </w:r>
    </w:p>
    <w:p w14:paraId="0E1B9D61" w14:textId="35D91B6C" w:rsidR="009F1FEA" w:rsidRPr="00B41651" w:rsidRDefault="009F1FEA" w:rsidP="00281400">
      <w:pPr>
        <w:numPr>
          <w:ilvl w:val="0"/>
          <w:numId w:val="15"/>
        </w:numPr>
        <w:tabs>
          <w:tab w:val="left" w:pos="851"/>
        </w:tabs>
        <w:spacing w:line="276" w:lineRule="auto"/>
        <w:ind w:left="0" w:firstLine="709"/>
        <w:jc w:val="both"/>
        <w:rPr>
          <w:rFonts w:asciiTheme="minorHAnsi" w:hAnsiTheme="minorHAnsi" w:cstheme="minorHAnsi"/>
          <w:sz w:val="26"/>
          <w:szCs w:val="26"/>
        </w:rPr>
      </w:pPr>
      <w:r w:rsidRPr="00B41651">
        <w:rPr>
          <w:rFonts w:asciiTheme="minorHAnsi" w:hAnsiTheme="minorHAnsi" w:cstheme="minorHAnsi"/>
          <w:sz w:val="26"/>
          <w:szCs w:val="26"/>
        </w:rPr>
        <w:t xml:space="preserve">s-au înregistrat </w:t>
      </w:r>
      <w:r w:rsidR="000529AB" w:rsidRPr="00B41651">
        <w:rPr>
          <w:rFonts w:asciiTheme="minorHAnsi" w:hAnsiTheme="minorHAnsi" w:cstheme="minorHAnsi"/>
          <w:sz w:val="26"/>
          <w:szCs w:val="26"/>
        </w:rPr>
        <w:t>624</w:t>
      </w:r>
      <w:r w:rsidRPr="00B41651">
        <w:rPr>
          <w:rFonts w:asciiTheme="minorHAnsi" w:hAnsiTheme="minorHAnsi" w:cstheme="minorHAnsi"/>
          <w:sz w:val="26"/>
          <w:szCs w:val="26"/>
        </w:rPr>
        <w:t xml:space="preserve"> de lucrări având ca obiect solicitări formulate potrivit Legii nr. 544/2001 privind liberul acces la informațiile de interes public (</w:t>
      </w:r>
      <w:r w:rsidR="000529AB" w:rsidRPr="00B41651">
        <w:rPr>
          <w:rFonts w:asciiTheme="minorHAnsi" w:hAnsiTheme="minorHAnsi" w:cstheme="minorHAnsi"/>
          <w:sz w:val="26"/>
          <w:szCs w:val="26"/>
        </w:rPr>
        <w:t>364</w:t>
      </w:r>
      <w:r w:rsidRPr="00B41651">
        <w:rPr>
          <w:rFonts w:asciiTheme="minorHAnsi" w:hAnsiTheme="minorHAnsi" w:cstheme="minorHAnsi"/>
          <w:sz w:val="26"/>
          <w:szCs w:val="26"/>
        </w:rPr>
        <w:t xml:space="preserve"> de solicitări scrise și </w:t>
      </w:r>
      <w:r w:rsidR="000529AB" w:rsidRPr="00B41651">
        <w:rPr>
          <w:rFonts w:asciiTheme="minorHAnsi" w:hAnsiTheme="minorHAnsi" w:cstheme="minorHAnsi"/>
          <w:sz w:val="26"/>
          <w:szCs w:val="26"/>
        </w:rPr>
        <w:t>260</w:t>
      </w:r>
      <w:r w:rsidRPr="00B41651">
        <w:rPr>
          <w:rFonts w:asciiTheme="minorHAnsi" w:hAnsiTheme="minorHAnsi" w:cstheme="minorHAnsi"/>
          <w:sz w:val="26"/>
          <w:szCs w:val="26"/>
        </w:rPr>
        <w:t xml:space="preserve"> de solicitări verbale), dintre care </w:t>
      </w:r>
      <w:r w:rsidR="000529AB" w:rsidRPr="00B41651">
        <w:rPr>
          <w:rFonts w:asciiTheme="minorHAnsi" w:hAnsiTheme="minorHAnsi" w:cstheme="minorHAnsi"/>
          <w:sz w:val="26"/>
          <w:szCs w:val="26"/>
        </w:rPr>
        <w:t>85</w:t>
      </w:r>
      <w:r w:rsidRPr="00B41651">
        <w:rPr>
          <w:rFonts w:asciiTheme="minorHAnsi" w:hAnsiTheme="minorHAnsi" w:cstheme="minorHAnsi"/>
          <w:sz w:val="26"/>
          <w:szCs w:val="26"/>
        </w:rPr>
        <w:t xml:space="preserve"> de solicitări de informații exceptate de la liberul acces şi </w:t>
      </w:r>
      <w:r w:rsidR="000529AB" w:rsidRPr="00B41651">
        <w:rPr>
          <w:rFonts w:asciiTheme="minorHAnsi" w:hAnsiTheme="minorHAnsi" w:cstheme="minorHAnsi"/>
          <w:sz w:val="26"/>
          <w:szCs w:val="26"/>
        </w:rPr>
        <w:t>48</w:t>
      </w:r>
      <w:r w:rsidRPr="00B41651">
        <w:rPr>
          <w:rFonts w:asciiTheme="minorHAnsi" w:hAnsiTheme="minorHAnsi" w:cstheme="minorHAnsi"/>
          <w:sz w:val="26"/>
          <w:szCs w:val="26"/>
        </w:rPr>
        <w:t xml:space="preserve"> greșit îndreptate, acestea din urmă fiind redirecționate, potrivit art. 24 din H</w:t>
      </w:r>
      <w:r w:rsidR="00D16E05" w:rsidRPr="00B41651">
        <w:rPr>
          <w:rFonts w:asciiTheme="minorHAnsi" w:hAnsiTheme="minorHAnsi" w:cstheme="minorHAnsi"/>
          <w:sz w:val="26"/>
          <w:szCs w:val="26"/>
        </w:rPr>
        <w:t xml:space="preserve">.G. </w:t>
      </w:r>
      <w:r w:rsidRPr="00B41651">
        <w:rPr>
          <w:rFonts w:asciiTheme="minorHAnsi" w:hAnsiTheme="minorHAnsi" w:cstheme="minorHAnsi"/>
          <w:sz w:val="26"/>
          <w:szCs w:val="26"/>
        </w:rPr>
        <w:t>nr. 123/2002;</w:t>
      </w:r>
    </w:p>
    <w:p w14:paraId="54714AE2" w14:textId="62D12000" w:rsidR="009F1FEA" w:rsidRPr="00B41651" w:rsidRDefault="009F1FEA" w:rsidP="00281400">
      <w:pPr>
        <w:numPr>
          <w:ilvl w:val="0"/>
          <w:numId w:val="15"/>
        </w:numPr>
        <w:tabs>
          <w:tab w:val="left" w:pos="851"/>
        </w:tabs>
        <w:spacing w:line="276" w:lineRule="auto"/>
        <w:ind w:left="0" w:firstLine="709"/>
        <w:jc w:val="both"/>
        <w:rPr>
          <w:rFonts w:asciiTheme="minorHAnsi" w:hAnsiTheme="minorHAnsi" w:cstheme="minorHAnsi"/>
          <w:sz w:val="26"/>
          <w:szCs w:val="26"/>
        </w:rPr>
      </w:pPr>
      <w:r w:rsidRPr="00B41651">
        <w:rPr>
          <w:rFonts w:asciiTheme="minorHAnsi" w:hAnsiTheme="minorHAnsi" w:cstheme="minorHAnsi"/>
          <w:sz w:val="26"/>
          <w:szCs w:val="26"/>
        </w:rPr>
        <w:t xml:space="preserve">au fost înregistrate la S.I.P.R.M.M.P.D.C.P. şi un număr de </w:t>
      </w:r>
      <w:r w:rsidR="000A154C" w:rsidRPr="00B41651">
        <w:rPr>
          <w:rFonts w:asciiTheme="minorHAnsi" w:hAnsiTheme="minorHAnsi" w:cstheme="minorHAnsi"/>
          <w:sz w:val="26"/>
          <w:szCs w:val="26"/>
        </w:rPr>
        <w:t>31</w:t>
      </w:r>
      <w:r w:rsidRPr="00B41651">
        <w:rPr>
          <w:rFonts w:asciiTheme="minorHAnsi" w:hAnsiTheme="minorHAnsi" w:cstheme="minorHAnsi"/>
          <w:sz w:val="26"/>
          <w:szCs w:val="26"/>
        </w:rPr>
        <w:t xml:space="preserve"> de petiții care nu erau fundamentate pe Legea nr. 544/2001 privind liberul acces la informaţii de interes public, acestea fiind transmise Serviciului de relaţii cu publicul, registratură şi arhivă, pentru a fi soluționate potrivit atribuțiilor;</w:t>
      </w:r>
    </w:p>
    <w:p w14:paraId="1952A63B" w14:textId="06943D61" w:rsidR="009F1FEA" w:rsidRPr="00B41651" w:rsidRDefault="009F1FEA" w:rsidP="00281400">
      <w:pPr>
        <w:numPr>
          <w:ilvl w:val="0"/>
          <w:numId w:val="15"/>
        </w:numPr>
        <w:tabs>
          <w:tab w:val="left" w:pos="851"/>
        </w:tabs>
        <w:spacing w:line="276" w:lineRule="auto"/>
        <w:ind w:left="0" w:firstLine="709"/>
        <w:jc w:val="both"/>
        <w:rPr>
          <w:rFonts w:asciiTheme="minorHAnsi" w:hAnsiTheme="minorHAnsi" w:cstheme="minorHAnsi"/>
          <w:sz w:val="26"/>
          <w:szCs w:val="26"/>
        </w:rPr>
      </w:pPr>
      <w:r w:rsidRPr="00B41651">
        <w:rPr>
          <w:rFonts w:asciiTheme="minorHAnsi" w:hAnsiTheme="minorHAnsi" w:cstheme="minorHAnsi"/>
          <w:sz w:val="26"/>
          <w:szCs w:val="26"/>
        </w:rPr>
        <w:t>funcționarea serviciului în acord cu dispozițiile legale este relevată şi de numărul relativ redus de reclamații administrative, respectiv 1</w:t>
      </w:r>
      <w:r w:rsidR="002F5CC9" w:rsidRPr="00B41651">
        <w:rPr>
          <w:rFonts w:asciiTheme="minorHAnsi" w:hAnsiTheme="minorHAnsi" w:cstheme="minorHAnsi"/>
          <w:sz w:val="26"/>
          <w:szCs w:val="26"/>
        </w:rPr>
        <w:t>2</w:t>
      </w:r>
      <w:r w:rsidRPr="00B41651">
        <w:rPr>
          <w:rFonts w:asciiTheme="minorHAnsi" w:hAnsiTheme="minorHAnsi" w:cstheme="minorHAnsi"/>
          <w:sz w:val="26"/>
          <w:szCs w:val="26"/>
        </w:rPr>
        <w:t xml:space="preserve">, dintre care </w:t>
      </w:r>
      <w:r w:rsidR="002F5CC9" w:rsidRPr="00B41651">
        <w:rPr>
          <w:rFonts w:asciiTheme="minorHAnsi" w:hAnsiTheme="minorHAnsi" w:cstheme="minorHAnsi"/>
          <w:sz w:val="26"/>
          <w:szCs w:val="26"/>
        </w:rPr>
        <w:t>11</w:t>
      </w:r>
      <w:r w:rsidRPr="00B41651">
        <w:rPr>
          <w:rFonts w:asciiTheme="minorHAnsi" w:hAnsiTheme="minorHAnsi" w:cstheme="minorHAnsi"/>
          <w:sz w:val="26"/>
          <w:szCs w:val="26"/>
        </w:rPr>
        <w:t xml:space="preserve"> au fost</w:t>
      </w:r>
      <w:r w:rsidR="00D16E05" w:rsidRPr="00B41651">
        <w:rPr>
          <w:rFonts w:asciiTheme="minorHAnsi" w:hAnsiTheme="minorHAnsi" w:cstheme="minorHAnsi"/>
          <w:sz w:val="26"/>
          <w:szCs w:val="26"/>
        </w:rPr>
        <w:t xml:space="preserve"> </w:t>
      </w:r>
      <w:r w:rsidRPr="00B41651">
        <w:rPr>
          <w:rFonts w:asciiTheme="minorHAnsi" w:hAnsiTheme="minorHAnsi" w:cstheme="minorHAnsi"/>
          <w:sz w:val="26"/>
          <w:szCs w:val="26"/>
        </w:rPr>
        <w:t>respinse și una admisă;</w:t>
      </w:r>
    </w:p>
    <w:p w14:paraId="12BFEF04" w14:textId="4F3BF979" w:rsidR="009F1FEA" w:rsidRPr="00B41651" w:rsidRDefault="009F1FEA" w:rsidP="00281400">
      <w:pPr>
        <w:numPr>
          <w:ilvl w:val="0"/>
          <w:numId w:val="15"/>
        </w:numPr>
        <w:tabs>
          <w:tab w:val="left" w:pos="851"/>
        </w:tabs>
        <w:spacing w:line="276" w:lineRule="auto"/>
        <w:ind w:left="0" w:firstLine="709"/>
        <w:jc w:val="both"/>
        <w:rPr>
          <w:rFonts w:asciiTheme="minorHAnsi" w:hAnsiTheme="minorHAnsi" w:cstheme="minorHAnsi"/>
          <w:sz w:val="26"/>
          <w:szCs w:val="26"/>
        </w:rPr>
      </w:pPr>
      <w:r w:rsidRPr="00B41651">
        <w:rPr>
          <w:rFonts w:asciiTheme="minorHAnsi" w:hAnsiTheme="minorHAnsi" w:cstheme="minorHAnsi"/>
          <w:sz w:val="26"/>
          <w:szCs w:val="26"/>
        </w:rPr>
        <w:t xml:space="preserve">grupul de informare cu jurnaliștii în aplicaţia telefonică WhatsApp </w:t>
      </w:r>
      <w:r w:rsidR="00384B57" w:rsidRPr="00B41651">
        <w:rPr>
          <w:rFonts w:asciiTheme="minorHAnsi" w:hAnsiTheme="minorHAnsi" w:cstheme="minorHAnsi"/>
          <w:sz w:val="26"/>
          <w:szCs w:val="26"/>
        </w:rPr>
        <w:t>a fost</w:t>
      </w:r>
      <w:r w:rsidRPr="00B41651">
        <w:rPr>
          <w:rFonts w:asciiTheme="minorHAnsi" w:hAnsiTheme="minorHAnsi" w:cstheme="minorHAnsi"/>
          <w:sz w:val="26"/>
          <w:szCs w:val="26"/>
        </w:rPr>
        <w:t xml:space="preserve"> utilizat ca un canal obişnuit de transmitere a informaţiilor publice în relaţia cu mass media, iar prin intermediul acest</w:t>
      </w:r>
      <w:r w:rsidR="00384B57" w:rsidRPr="00B41651">
        <w:rPr>
          <w:rFonts w:asciiTheme="minorHAnsi" w:hAnsiTheme="minorHAnsi" w:cstheme="minorHAnsi"/>
          <w:sz w:val="26"/>
          <w:szCs w:val="26"/>
        </w:rPr>
        <w:t>u</w:t>
      </w:r>
      <w:r w:rsidRPr="00B41651">
        <w:rPr>
          <w:rFonts w:asciiTheme="minorHAnsi" w:hAnsiTheme="minorHAnsi" w:cstheme="minorHAnsi"/>
          <w:sz w:val="26"/>
          <w:szCs w:val="26"/>
        </w:rPr>
        <w:t>ia au fost transmise de către purtătorul de cuvânt şi răspunsurile solicitate de către jurnalişti în forma comunicatelor de presă, a precizărilor care se impun pentru lămurirea neclarităților referitoare la activitatea Consiliului Superior al Magistraturii sau la poziţia publică a acestuia, a soluțiilor adoptate de plen sau de secţii;</w:t>
      </w:r>
    </w:p>
    <w:p w14:paraId="68412E2A" w14:textId="77777777" w:rsidR="009F1FEA" w:rsidRPr="00B41651" w:rsidRDefault="009F1FEA" w:rsidP="00281400">
      <w:pPr>
        <w:numPr>
          <w:ilvl w:val="0"/>
          <w:numId w:val="15"/>
        </w:numPr>
        <w:tabs>
          <w:tab w:val="left" w:pos="709"/>
          <w:tab w:val="left" w:pos="851"/>
        </w:tabs>
        <w:spacing w:line="276" w:lineRule="auto"/>
        <w:ind w:left="0" w:firstLine="709"/>
        <w:jc w:val="both"/>
        <w:rPr>
          <w:rFonts w:asciiTheme="minorHAnsi" w:hAnsiTheme="minorHAnsi" w:cstheme="minorHAnsi"/>
          <w:sz w:val="26"/>
          <w:szCs w:val="26"/>
        </w:rPr>
      </w:pPr>
      <w:r w:rsidRPr="00B41651">
        <w:rPr>
          <w:rFonts w:asciiTheme="minorHAnsi" w:hAnsiTheme="minorHAnsi" w:cstheme="minorHAnsi"/>
          <w:sz w:val="26"/>
          <w:szCs w:val="26"/>
        </w:rPr>
        <w:t>în vederea soluționării cu celeritate, potrivit legii, a solicitărilor de informații de interes public şi a realizării altor activități ce revin în competența compartimentului, în cele mai multe situații, purtătorul de cuvânt şi ceilalți reprezentanți ai serviciului au desfășurat activități şi în afara programului normal de lucru.</w:t>
      </w:r>
    </w:p>
    <w:p w14:paraId="5B180096" w14:textId="5F0F60B0" w:rsidR="00BC5C16" w:rsidRPr="00B41651" w:rsidRDefault="009F1FEA" w:rsidP="00D16E05">
      <w:pPr>
        <w:spacing w:line="276" w:lineRule="auto"/>
        <w:ind w:firstLine="709"/>
        <w:jc w:val="both"/>
        <w:rPr>
          <w:rFonts w:asciiTheme="minorHAnsi" w:hAnsiTheme="minorHAnsi" w:cstheme="minorHAnsi"/>
          <w:sz w:val="26"/>
          <w:szCs w:val="26"/>
        </w:rPr>
      </w:pPr>
      <w:r w:rsidRPr="00B41651">
        <w:rPr>
          <w:rFonts w:asciiTheme="minorHAnsi" w:hAnsiTheme="minorHAnsi" w:cstheme="minorHAnsi"/>
          <w:sz w:val="26"/>
          <w:szCs w:val="26"/>
        </w:rPr>
        <w:t xml:space="preserve">În ceea ce privește lucrările referitoare la datele cu caracter personal (G.D.P.R.), acestea au fost în număr de </w:t>
      </w:r>
      <w:r w:rsidR="000A154C" w:rsidRPr="00B41651">
        <w:rPr>
          <w:rFonts w:asciiTheme="minorHAnsi" w:hAnsiTheme="minorHAnsi" w:cstheme="minorHAnsi"/>
          <w:sz w:val="26"/>
          <w:szCs w:val="26"/>
        </w:rPr>
        <w:t>24</w:t>
      </w:r>
      <w:r w:rsidRPr="00B41651">
        <w:rPr>
          <w:rFonts w:asciiTheme="minorHAnsi" w:hAnsiTheme="minorHAnsi" w:cstheme="minorHAnsi"/>
          <w:sz w:val="26"/>
          <w:szCs w:val="26"/>
        </w:rPr>
        <w:t xml:space="preserve">, dintre care 2 solicitări privind ștergerea datelor de pe site-ul C.S.M. și </w:t>
      </w:r>
      <w:r w:rsidR="000A154C" w:rsidRPr="00B41651">
        <w:rPr>
          <w:rFonts w:asciiTheme="minorHAnsi" w:hAnsiTheme="minorHAnsi" w:cstheme="minorHAnsi"/>
          <w:sz w:val="26"/>
          <w:szCs w:val="26"/>
        </w:rPr>
        <w:t>22</w:t>
      </w:r>
      <w:r w:rsidRPr="00B41651">
        <w:rPr>
          <w:rFonts w:asciiTheme="minorHAnsi" w:hAnsiTheme="minorHAnsi" w:cstheme="minorHAnsi"/>
          <w:sz w:val="26"/>
          <w:szCs w:val="26"/>
        </w:rPr>
        <w:t xml:space="preserve"> de solicitări/plângeri adresate de justițiabili.</w:t>
      </w:r>
    </w:p>
    <w:p w14:paraId="165DEBF8" w14:textId="77777777" w:rsidR="009F1FEA" w:rsidRPr="003D6ACD" w:rsidRDefault="009F1FEA" w:rsidP="00281400">
      <w:pPr>
        <w:numPr>
          <w:ilvl w:val="0"/>
          <w:numId w:val="14"/>
        </w:numPr>
        <w:tabs>
          <w:tab w:val="left" w:pos="709"/>
          <w:tab w:val="left" w:pos="851"/>
          <w:tab w:val="left" w:pos="993"/>
        </w:tabs>
        <w:spacing w:line="276" w:lineRule="auto"/>
        <w:ind w:left="0" w:firstLine="709"/>
        <w:contextualSpacing/>
        <w:jc w:val="both"/>
        <w:rPr>
          <w:rFonts w:asciiTheme="minorHAnsi" w:hAnsiTheme="minorHAnsi" w:cstheme="minorHAnsi"/>
          <w:b/>
          <w:bCs/>
          <w:sz w:val="26"/>
          <w:szCs w:val="26"/>
        </w:rPr>
      </w:pPr>
      <w:r w:rsidRPr="003D6ACD">
        <w:rPr>
          <w:rFonts w:asciiTheme="minorHAnsi" w:hAnsiTheme="minorHAnsi" w:cstheme="minorHAnsi"/>
          <w:b/>
          <w:bCs/>
          <w:sz w:val="26"/>
          <w:szCs w:val="26"/>
        </w:rPr>
        <w:t>Problematica vizată prin solicitările adresate S.I.P.R.M.M.P.D.C.P.</w:t>
      </w:r>
      <w:r w:rsidRPr="003D6ACD">
        <w:rPr>
          <w:rFonts w:asciiTheme="minorHAnsi" w:hAnsiTheme="minorHAnsi" w:cstheme="minorHAnsi"/>
          <w:sz w:val="26"/>
          <w:szCs w:val="26"/>
        </w:rPr>
        <w:t xml:space="preserve"> </w:t>
      </w:r>
      <w:r w:rsidRPr="003D6ACD">
        <w:rPr>
          <w:rFonts w:asciiTheme="minorHAnsi" w:hAnsiTheme="minorHAnsi" w:cstheme="minorHAnsi"/>
          <w:b/>
          <w:bCs/>
          <w:sz w:val="26"/>
          <w:szCs w:val="26"/>
        </w:rPr>
        <w:t>în temeiul Legii nr. 544/2001 privind liberul acces la informații de interes public</w:t>
      </w:r>
    </w:p>
    <w:p w14:paraId="2C3251C7" w14:textId="77777777" w:rsidR="009F1FEA" w:rsidRPr="003D6ACD" w:rsidRDefault="009F1FEA" w:rsidP="009F1FEA">
      <w:pPr>
        <w:spacing w:line="276" w:lineRule="auto"/>
        <w:ind w:firstLine="709"/>
        <w:jc w:val="both"/>
        <w:rPr>
          <w:rFonts w:asciiTheme="minorHAnsi" w:hAnsiTheme="minorHAnsi" w:cstheme="minorHAnsi"/>
          <w:sz w:val="26"/>
          <w:szCs w:val="26"/>
        </w:rPr>
      </w:pPr>
      <w:r w:rsidRPr="003D6ACD">
        <w:rPr>
          <w:rFonts w:asciiTheme="minorHAnsi" w:hAnsiTheme="minorHAnsi" w:cstheme="minorHAnsi"/>
          <w:sz w:val="26"/>
          <w:szCs w:val="26"/>
        </w:rPr>
        <w:t xml:space="preserve">Problematica vizată de solicitanți prin cererile formulate în scris în temeiul Legii </w:t>
      </w:r>
      <w:r w:rsidRPr="003D6ACD">
        <w:rPr>
          <w:rFonts w:asciiTheme="minorHAnsi" w:hAnsiTheme="minorHAnsi" w:cstheme="minorHAnsi"/>
          <w:sz w:val="26"/>
          <w:szCs w:val="26"/>
        </w:rPr>
        <w:br/>
        <w:t xml:space="preserve">nr. 544/2001 privind liberul acces la informații de interes public </w:t>
      </w:r>
      <w:bookmarkStart w:id="172" w:name="_Hlk180573746"/>
      <w:r w:rsidRPr="003D6ACD">
        <w:rPr>
          <w:rFonts w:asciiTheme="minorHAnsi" w:hAnsiTheme="minorHAnsi" w:cstheme="minorHAnsi"/>
          <w:sz w:val="26"/>
          <w:szCs w:val="26"/>
        </w:rPr>
        <w:t xml:space="preserve">a avut în vedere, în principal, </w:t>
      </w:r>
      <w:bookmarkEnd w:id="172"/>
      <w:r w:rsidRPr="003D6ACD">
        <w:rPr>
          <w:rFonts w:asciiTheme="minorHAnsi" w:hAnsiTheme="minorHAnsi" w:cstheme="minorHAnsi"/>
          <w:sz w:val="26"/>
          <w:szCs w:val="26"/>
        </w:rPr>
        <w:t xml:space="preserve">furnizarea de informații din următoarele domenii: statistică judiciară, puncte de vedere emise de compartimentele de specialitate ale Consiliului, aspecte ale evoluției în carieră a unor judecători şi procurori (în cea mai mare măsură traseul profesional public), aspecte vizând depunerea jurământului, declarații de avere, interese, rudenie sau neapartenență ale magistraților, date referitoare la activitatea membrilor Consiliului Superior al Magistraturii, aspecte vizând răspunderea disciplinară a magistraților sau verificările efectuate de Inspecția Judiciară; regulamentele de concurs sau de funcționare a Consiliului, lucrări înaintate de Consiliul Superior al Magistraturii către Inspecția Judiciară; participarea membrilor de drept la ședințele Secțiilor și ale Plenului, modul de soluționare a ordinii de zi alocate fiecărei ședințe - solicitări formulate înainte de publicarea pe site-ul oficial; utilizarea fondurilor bugetare sau cele alocate din finanțare externă în cadrul proiectelor derulate din fonduri europene de către Consiliu; salarizarea magistraților, date privind pensionarea magistraților, concursurile organizate de Consiliul Superior al Magistraturii, participarea magistraților la diverse forme de pregătire profesională; hotărâri adoptate de Plenul sau secţiile Consiliului, solicitări privind modul de comunicare a jurnaliștilor cu purtătorii de cuvânt </w:t>
      </w:r>
      <w:r w:rsidRPr="003D6ACD">
        <w:rPr>
          <w:rFonts w:asciiTheme="minorHAnsi" w:hAnsiTheme="minorHAnsi" w:cstheme="minorHAnsi"/>
          <w:sz w:val="26"/>
          <w:szCs w:val="26"/>
        </w:rPr>
        <w:lastRenderedPageBreak/>
        <w:t>ai instanțelor şi parchetelor, rapoarte ale Inspecției Judiciare discutate în ședințele Plenului Consiliul Superior al Magistraturii, proiecte derulate de Consiliul Superior al Magistraturii.</w:t>
      </w:r>
    </w:p>
    <w:p w14:paraId="2177FA1D" w14:textId="77777777" w:rsidR="009F1FEA" w:rsidRPr="003D6ACD" w:rsidRDefault="009F1FEA" w:rsidP="009F1FEA">
      <w:pPr>
        <w:spacing w:line="276" w:lineRule="auto"/>
        <w:ind w:firstLine="709"/>
        <w:jc w:val="both"/>
        <w:rPr>
          <w:rFonts w:asciiTheme="minorHAnsi" w:hAnsiTheme="minorHAnsi" w:cstheme="minorHAnsi"/>
          <w:sz w:val="26"/>
          <w:szCs w:val="26"/>
        </w:rPr>
      </w:pPr>
      <w:r w:rsidRPr="003D6ACD">
        <w:rPr>
          <w:rFonts w:asciiTheme="minorHAnsi" w:hAnsiTheme="minorHAnsi" w:cstheme="minorHAnsi"/>
          <w:sz w:val="26"/>
          <w:szCs w:val="26"/>
        </w:rPr>
        <w:t>Persoanele care au manifestat un interes major față de activitatea Consiliului au fost jurnaliștii, persoanele fizice, iar uneori asociațiile profesionale ale magistraților și diverse asociații reprezentând societatea civilă.</w:t>
      </w:r>
    </w:p>
    <w:p w14:paraId="12C2F491" w14:textId="77777777" w:rsidR="009F1FEA" w:rsidRPr="003D6ACD" w:rsidRDefault="009F1FEA" w:rsidP="009F1FEA">
      <w:pPr>
        <w:shd w:val="clear" w:color="auto" w:fill="FFFFFF"/>
        <w:spacing w:line="276" w:lineRule="auto"/>
        <w:ind w:firstLine="709"/>
        <w:jc w:val="both"/>
        <w:rPr>
          <w:rFonts w:asciiTheme="minorHAnsi" w:hAnsiTheme="minorHAnsi" w:cstheme="minorHAnsi"/>
          <w:sz w:val="26"/>
          <w:szCs w:val="26"/>
        </w:rPr>
      </w:pPr>
      <w:r w:rsidRPr="003D6ACD">
        <w:rPr>
          <w:rFonts w:asciiTheme="minorHAnsi" w:hAnsiTheme="minorHAnsi" w:cstheme="minorHAnsi"/>
          <w:sz w:val="26"/>
          <w:szCs w:val="26"/>
        </w:rPr>
        <w:t>În solicitările telefonice, jurnaliștii au manifestat interes pentru deciziile luate în plen şi secții referitoare la avize legislative şi propuneri de modificări legislative în diverse domenii, apărarea reputației judecătorilor şi procurorilor, sancțiunile disciplinare aplicate şi detalierea situației de fapt reținute de secții în soluționarea acțiunilor disciplinare, precum și soluții dispuse în urma derulării unor proceduri penale față de magistrați. În activitatea de comunicare verbală, purtătorul de cuvânt a urmărit realizarea unei informări prompte a jurnaliștilor prin furnizarea în cel mai scurt timp a datelor solicitate şi a descrierii ample a modului de funcționare şi organizare a Consiliul Superior al Magistraturii şi, respectiv, al instanțelor şi parchetelor.</w:t>
      </w:r>
    </w:p>
    <w:p w14:paraId="5C2D23D5" w14:textId="77777777" w:rsidR="009F1FEA" w:rsidRPr="003D6ACD" w:rsidRDefault="009F1FEA" w:rsidP="00281400">
      <w:pPr>
        <w:keepNext/>
        <w:numPr>
          <w:ilvl w:val="0"/>
          <w:numId w:val="14"/>
        </w:numPr>
        <w:tabs>
          <w:tab w:val="left" w:pos="993"/>
        </w:tabs>
        <w:spacing w:line="276" w:lineRule="auto"/>
        <w:ind w:left="0" w:firstLine="709"/>
        <w:contextualSpacing/>
        <w:jc w:val="both"/>
        <w:rPr>
          <w:rFonts w:asciiTheme="minorHAnsi" w:hAnsiTheme="minorHAnsi" w:cstheme="minorHAnsi"/>
          <w:b/>
          <w:bCs/>
          <w:sz w:val="26"/>
          <w:szCs w:val="26"/>
        </w:rPr>
      </w:pPr>
      <w:r w:rsidRPr="003D6ACD">
        <w:rPr>
          <w:rFonts w:asciiTheme="minorHAnsi" w:hAnsiTheme="minorHAnsi" w:cstheme="minorHAnsi"/>
          <w:b/>
          <w:bCs/>
          <w:sz w:val="26"/>
          <w:szCs w:val="26"/>
        </w:rPr>
        <w:t>Coordonarea rețelei purtătorilor de cuvânt şi de formare profesională în domeniul comunicării publice</w:t>
      </w:r>
    </w:p>
    <w:p w14:paraId="4AC49552" w14:textId="77777777" w:rsidR="009F1FEA" w:rsidRPr="003D6ACD" w:rsidRDefault="009F1FEA" w:rsidP="009F1FEA">
      <w:pPr>
        <w:keepNext/>
        <w:spacing w:line="276" w:lineRule="auto"/>
        <w:ind w:firstLine="709"/>
        <w:jc w:val="both"/>
        <w:rPr>
          <w:rFonts w:asciiTheme="minorHAnsi" w:hAnsiTheme="minorHAnsi" w:cstheme="minorHAnsi"/>
          <w:sz w:val="26"/>
          <w:szCs w:val="26"/>
        </w:rPr>
      </w:pPr>
      <w:r w:rsidRPr="003D6ACD">
        <w:rPr>
          <w:rFonts w:asciiTheme="minorHAnsi" w:hAnsiTheme="minorHAnsi" w:cstheme="minorHAnsi"/>
          <w:sz w:val="26"/>
          <w:szCs w:val="26"/>
        </w:rPr>
        <w:t>Referitor la coordonarea rețelei purtătorilor de cuvânt şi a personalului auxiliar de la nivelul instanțelor judecătorești şi parchetelor, în virtutea atribuțiilor de coordonare şi îndrumare, purtătorul de cuvânt a acordat consultanță acestora și recomandări pentru unificarea procedurii administrative în domeniu ori de câte ori s-a solicitat ori s-a apreciat necesar.</w:t>
      </w:r>
    </w:p>
    <w:p w14:paraId="72A136B0" w14:textId="77777777" w:rsidR="009F1FEA" w:rsidRPr="003D6ACD" w:rsidRDefault="009F1FEA" w:rsidP="00281400">
      <w:pPr>
        <w:numPr>
          <w:ilvl w:val="0"/>
          <w:numId w:val="14"/>
        </w:numPr>
        <w:tabs>
          <w:tab w:val="left" w:pos="709"/>
          <w:tab w:val="left" w:pos="851"/>
          <w:tab w:val="left" w:pos="1134"/>
          <w:tab w:val="left" w:pos="1276"/>
        </w:tabs>
        <w:spacing w:line="276" w:lineRule="auto"/>
        <w:ind w:left="0" w:firstLine="709"/>
        <w:contextualSpacing/>
        <w:jc w:val="both"/>
        <w:rPr>
          <w:rFonts w:asciiTheme="minorHAnsi" w:hAnsiTheme="minorHAnsi" w:cstheme="minorHAnsi"/>
          <w:b/>
          <w:bCs/>
          <w:sz w:val="26"/>
          <w:szCs w:val="26"/>
        </w:rPr>
      </w:pPr>
      <w:r w:rsidRPr="003D6ACD">
        <w:rPr>
          <w:rFonts w:asciiTheme="minorHAnsi" w:hAnsiTheme="minorHAnsi" w:cstheme="minorHAnsi"/>
          <w:b/>
          <w:bCs/>
          <w:sz w:val="26"/>
          <w:szCs w:val="26"/>
        </w:rPr>
        <w:t>Problematica vizată prin solicitările adresate S.I.P.R.M.M.P.D.C.P. referitoare la datele cu caracter personal în aplicarea G.D.P.R.</w:t>
      </w:r>
    </w:p>
    <w:p w14:paraId="2DBBFE37" w14:textId="7F968E02" w:rsidR="009F1FEA" w:rsidRPr="003D6ACD" w:rsidRDefault="009F1FEA" w:rsidP="009F1FEA">
      <w:pPr>
        <w:spacing w:line="276" w:lineRule="auto"/>
        <w:ind w:firstLine="709"/>
        <w:jc w:val="both"/>
        <w:rPr>
          <w:rFonts w:asciiTheme="minorHAnsi" w:hAnsiTheme="minorHAnsi" w:cstheme="minorHAnsi"/>
          <w:sz w:val="26"/>
          <w:szCs w:val="26"/>
        </w:rPr>
      </w:pPr>
      <w:r w:rsidRPr="003D6ACD">
        <w:rPr>
          <w:rFonts w:asciiTheme="minorHAnsi" w:hAnsiTheme="minorHAnsi" w:cstheme="minorHAnsi"/>
          <w:sz w:val="26"/>
          <w:szCs w:val="26"/>
        </w:rPr>
        <w:t>Problematica vizată de solicitanți prin cererile formulate în temeiul Regulamentului nr. 679/2016 privind protecția persoanelor fizice în ceea ce privește prelucrarea datelor cu caracter personal şi privind libera circulație a acestor date şi de abrogare a Directivei 95/46/CE, adoptat de către Parlamentul European şi Consiliul Uniunii Europene la data de 25 mai 2018 (G.D.P.R.) a avut în vedere, în principal, anonimizarea datelor pe portalul just.ro, soluționarea plângerilor întemeiate pe prevederile art. 77 din Regulamentul G</w:t>
      </w:r>
      <w:r w:rsidR="00D16E05">
        <w:rPr>
          <w:rFonts w:asciiTheme="minorHAnsi" w:hAnsiTheme="minorHAnsi" w:cstheme="minorHAnsi"/>
          <w:sz w:val="26"/>
          <w:szCs w:val="26"/>
        </w:rPr>
        <w:t>.</w:t>
      </w:r>
      <w:r w:rsidRPr="003D6ACD">
        <w:rPr>
          <w:rFonts w:asciiTheme="minorHAnsi" w:hAnsiTheme="minorHAnsi" w:cstheme="minorHAnsi"/>
          <w:sz w:val="26"/>
          <w:szCs w:val="26"/>
        </w:rPr>
        <w:t>D</w:t>
      </w:r>
      <w:r w:rsidR="00D16E05">
        <w:rPr>
          <w:rFonts w:asciiTheme="minorHAnsi" w:hAnsiTheme="minorHAnsi" w:cstheme="minorHAnsi"/>
          <w:sz w:val="26"/>
          <w:szCs w:val="26"/>
        </w:rPr>
        <w:t>.</w:t>
      </w:r>
      <w:r w:rsidRPr="003D6ACD">
        <w:rPr>
          <w:rFonts w:asciiTheme="minorHAnsi" w:hAnsiTheme="minorHAnsi" w:cstheme="minorHAnsi"/>
          <w:sz w:val="26"/>
          <w:szCs w:val="26"/>
        </w:rPr>
        <w:t>P</w:t>
      </w:r>
      <w:r w:rsidR="00D16E05">
        <w:rPr>
          <w:rFonts w:asciiTheme="minorHAnsi" w:hAnsiTheme="minorHAnsi" w:cstheme="minorHAnsi"/>
          <w:sz w:val="26"/>
          <w:szCs w:val="26"/>
        </w:rPr>
        <w:t>.</w:t>
      </w:r>
      <w:r w:rsidRPr="003D6ACD">
        <w:rPr>
          <w:rFonts w:asciiTheme="minorHAnsi" w:hAnsiTheme="minorHAnsi" w:cstheme="minorHAnsi"/>
          <w:sz w:val="26"/>
          <w:szCs w:val="26"/>
        </w:rPr>
        <w:t>R</w:t>
      </w:r>
      <w:r w:rsidR="00D16E05">
        <w:rPr>
          <w:rFonts w:asciiTheme="minorHAnsi" w:hAnsiTheme="minorHAnsi" w:cstheme="minorHAnsi"/>
          <w:sz w:val="26"/>
          <w:szCs w:val="26"/>
        </w:rPr>
        <w:t>.</w:t>
      </w:r>
      <w:r w:rsidRPr="003D6ACD">
        <w:rPr>
          <w:rFonts w:asciiTheme="minorHAnsi" w:hAnsiTheme="minorHAnsi" w:cstheme="minorHAnsi"/>
          <w:sz w:val="26"/>
          <w:szCs w:val="26"/>
        </w:rPr>
        <w:t>, dar și ștergerea datelor cu caracter personal de pe site-ul C.S.M.</w:t>
      </w:r>
    </w:p>
    <w:p w14:paraId="20145C9F" w14:textId="77777777" w:rsidR="009F1FEA" w:rsidRPr="003D6ACD" w:rsidRDefault="009F1FEA" w:rsidP="009F1FEA">
      <w:pPr>
        <w:spacing w:line="276" w:lineRule="auto"/>
        <w:ind w:firstLine="709"/>
        <w:jc w:val="both"/>
        <w:rPr>
          <w:rFonts w:asciiTheme="minorHAnsi" w:hAnsiTheme="minorHAnsi" w:cstheme="minorHAnsi"/>
          <w:sz w:val="26"/>
          <w:szCs w:val="26"/>
        </w:rPr>
      </w:pPr>
      <w:r w:rsidRPr="003D6ACD">
        <w:rPr>
          <w:rFonts w:asciiTheme="minorHAnsi" w:hAnsiTheme="minorHAnsi" w:cstheme="minorHAnsi"/>
          <w:sz w:val="26"/>
          <w:szCs w:val="26"/>
        </w:rPr>
        <w:t>De asemenea, unele solicitări adresate Consiliului au vizat:</w:t>
      </w:r>
    </w:p>
    <w:p w14:paraId="48321508" w14:textId="77777777" w:rsidR="009F1FEA" w:rsidRPr="003D6ACD" w:rsidRDefault="009F1FEA" w:rsidP="00281400">
      <w:pPr>
        <w:numPr>
          <w:ilvl w:val="0"/>
          <w:numId w:val="42"/>
        </w:numPr>
        <w:tabs>
          <w:tab w:val="left" w:pos="851"/>
        </w:tabs>
        <w:spacing w:line="276" w:lineRule="auto"/>
        <w:ind w:left="0" w:firstLine="709"/>
        <w:contextualSpacing/>
        <w:jc w:val="both"/>
        <w:rPr>
          <w:rFonts w:asciiTheme="minorHAnsi" w:hAnsiTheme="minorHAnsi" w:cstheme="minorHAnsi"/>
          <w:sz w:val="26"/>
          <w:szCs w:val="26"/>
        </w:rPr>
      </w:pPr>
      <w:r w:rsidRPr="003D6ACD">
        <w:rPr>
          <w:rFonts w:asciiTheme="minorHAnsi" w:hAnsiTheme="minorHAnsi" w:cstheme="minorHAnsi"/>
          <w:sz w:val="26"/>
          <w:szCs w:val="26"/>
        </w:rPr>
        <w:t>modul de aplicare la nivelul instanțelor judecătorești a prevederilor art. 28 din Regulamentul privind protecția datelor cu caracter personal nr. 679/2016;</w:t>
      </w:r>
    </w:p>
    <w:p w14:paraId="445DA282" w14:textId="77777777" w:rsidR="009F1FEA" w:rsidRPr="003D6ACD" w:rsidRDefault="009F1FEA" w:rsidP="00281400">
      <w:pPr>
        <w:numPr>
          <w:ilvl w:val="0"/>
          <w:numId w:val="42"/>
        </w:numPr>
        <w:tabs>
          <w:tab w:val="left" w:pos="851"/>
        </w:tabs>
        <w:spacing w:line="276" w:lineRule="auto"/>
        <w:ind w:left="0" w:firstLine="709"/>
        <w:contextualSpacing/>
        <w:jc w:val="both"/>
        <w:rPr>
          <w:rFonts w:asciiTheme="minorHAnsi" w:hAnsiTheme="minorHAnsi" w:cstheme="minorHAnsi"/>
          <w:sz w:val="26"/>
          <w:szCs w:val="26"/>
        </w:rPr>
      </w:pPr>
      <w:r w:rsidRPr="003D6ACD">
        <w:rPr>
          <w:rFonts w:asciiTheme="minorHAnsi" w:hAnsiTheme="minorHAnsi" w:cstheme="minorHAnsi"/>
          <w:sz w:val="26"/>
          <w:szCs w:val="26"/>
        </w:rPr>
        <w:t>procedura de anonimizare a numelui şi prenumelui părților pe portalul instanțelor de judecată ori a obiectului sau chiar a întregului dosar, precum și anonimizarea datelor pe portalul Rejust.ro;</w:t>
      </w:r>
    </w:p>
    <w:p w14:paraId="57301D75" w14:textId="77777777" w:rsidR="009F1FEA" w:rsidRPr="003D6ACD" w:rsidRDefault="009F1FEA" w:rsidP="00281400">
      <w:pPr>
        <w:numPr>
          <w:ilvl w:val="0"/>
          <w:numId w:val="42"/>
        </w:numPr>
        <w:tabs>
          <w:tab w:val="left" w:pos="851"/>
        </w:tabs>
        <w:spacing w:line="276" w:lineRule="auto"/>
        <w:ind w:left="0" w:firstLine="709"/>
        <w:contextualSpacing/>
        <w:jc w:val="both"/>
        <w:rPr>
          <w:rFonts w:asciiTheme="minorHAnsi" w:hAnsiTheme="minorHAnsi" w:cstheme="minorHAnsi"/>
          <w:sz w:val="26"/>
          <w:szCs w:val="26"/>
        </w:rPr>
      </w:pPr>
      <w:r w:rsidRPr="003D6ACD">
        <w:rPr>
          <w:rFonts w:asciiTheme="minorHAnsi" w:hAnsiTheme="minorHAnsi" w:cstheme="minorHAnsi"/>
          <w:sz w:val="26"/>
          <w:szCs w:val="26"/>
        </w:rPr>
        <w:t>aplicarea legislației în vigoare privitoare la protecția datelor cu caracter personal asupra procedurii de comunicare a citațiilor și a altor documente din dosare.</w:t>
      </w:r>
    </w:p>
    <w:p w14:paraId="6BE6EF3D" w14:textId="77777777" w:rsidR="009F1FEA" w:rsidRPr="003D6ACD" w:rsidRDefault="009F1FEA" w:rsidP="009F1FEA">
      <w:pPr>
        <w:spacing w:line="276" w:lineRule="auto"/>
        <w:ind w:firstLine="709"/>
        <w:jc w:val="both"/>
        <w:rPr>
          <w:rFonts w:asciiTheme="minorHAnsi" w:hAnsiTheme="minorHAnsi" w:cstheme="minorHAnsi"/>
          <w:sz w:val="26"/>
          <w:szCs w:val="26"/>
          <w14:shadow w14:blurRad="63500" w14:dist="50800" w14:dir="13500000" w14:sx="0" w14:sy="0" w14:kx="0" w14:ky="0" w14:algn="none">
            <w14:srgbClr w14:val="000000">
              <w14:alpha w14:val="50000"/>
            </w14:srgbClr>
          </w14:shadow>
        </w:rPr>
      </w:pPr>
      <w:r w:rsidRPr="003D6ACD">
        <w:rPr>
          <w:rFonts w:asciiTheme="minorHAnsi" w:hAnsiTheme="minorHAnsi" w:cstheme="minorHAnsi"/>
          <w:sz w:val="26"/>
          <w:szCs w:val="26"/>
          <w14:shadow w14:blurRad="63500" w14:dist="50800" w14:dir="13500000" w14:sx="0" w14:sy="0" w14:kx="0" w14:ky="0" w14:algn="none">
            <w14:srgbClr w14:val="000000">
              <w14:alpha w14:val="50000"/>
            </w14:srgbClr>
          </w14:shadow>
        </w:rPr>
        <w:t>Potrivit art. 34 alin. (2) din Legea nr. 305/2022 privind Consiliul Superior al Magistraturii, Consiliul este autoritate competentă pentru supravegherea operaţiunilor de prelucrare a datelor cu caracter personal de către instanţele judecătoreşti în exercitarea atribuţiilor lor judiciare.</w:t>
      </w:r>
    </w:p>
    <w:p w14:paraId="1574D9EB" w14:textId="15C8B1FE" w:rsidR="009F1FEA" w:rsidRPr="003D6ACD" w:rsidRDefault="009F1FEA" w:rsidP="009F1FEA">
      <w:pPr>
        <w:spacing w:line="276" w:lineRule="auto"/>
        <w:ind w:firstLine="709"/>
        <w:jc w:val="both"/>
        <w:rPr>
          <w:rFonts w:asciiTheme="minorHAnsi" w:hAnsiTheme="minorHAnsi" w:cstheme="minorHAnsi"/>
          <w:sz w:val="26"/>
          <w:szCs w:val="26"/>
        </w:rPr>
      </w:pPr>
      <w:r w:rsidRPr="003D6ACD">
        <w:rPr>
          <w:rFonts w:asciiTheme="minorHAnsi" w:hAnsiTheme="minorHAnsi" w:cstheme="minorHAnsi"/>
          <w:sz w:val="26"/>
          <w:szCs w:val="26"/>
        </w:rPr>
        <w:t xml:space="preserve">În contextul Strategiei de dezvoltare a sistemului judiciar 2022-2025, prin Hotărârea Secţiei pentru </w:t>
      </w:r>
      <w:r w:rsidR="00D16E05">
        <w:rPr>
          <w:rFonts w:asciiTheme="minorHAnsi" w:hAnsiTheme="minorHAnsi" w:cstheme="minorHAnsi"/>
          <w:sz w:val="26"/>
          <w:szCs w:val="26"/>
        </w:rPr>
        <w:t>j</w:t>
      </w:r>
      <w:r w:rsidRPr="003D6ACD">
        <w:rPr>
          <w:rFonts w:asciiTheme="minorHAnsi" w:hAnsiTheme="minorHAnsi" w:cstheme="minorHAnsi"/>
          <w:sz w:val="26"/>
          <w:szCs w:val="26"/>
        </w:rPr>
        <w:t>udecători</w:t>
      </w:r>
      <w:r w:rsidR="00D16E05">
        <w:rPr>
          <w:rFonts w:asciiTheme="minorHAnsi" w:hAnsiTheme="minorHAnsi" w:cstheme="minorHAnsi"/>
          <w:sz w:val="26"/>
          <w:szCs w:val="26"/>
        </w:rPr>
        <w:t xml:space="preserve"> </w:t>
      </w:r>
      <w:r w:rsidRPr="003D6ACD">
        <w:rPr>
          <w:rFonts w:asciiTheme="minorHAnsi" w:hAnsiTheme="minorHAnsi" w:cstheme="minorHAnsi"/>
          <w:sz w:val="26"/>
          <w:szCs w:val="26"/>
        </w:rPr>
        <w:t xml:space="preserve">nr. 2646/16.11.2023 a fost adoptat </w:t>
      </w:r>
      <w:r w:rsidRPr="003D6ACD">
        <w:rPr>
          <w:rFonts w:asciiTheme="minorHAnsi" w:hAnsiTheme="minorHAnsi"/>
          <w:sz w:val="26"/>
          <w:szCs w:val="26"/>
        </w:rPr>
        <w:t xml:space="preserve">chestionarul </w:t>
      </w:r>
      <w:bookmarkStart w:id="173" w:name="_Hlk212469707"/>
      <w:r w:rsidRPr="003D6ACD">
        <w:rPr>
          <w:rFonts w:asciiTheme="minorHAnsi" w:hAnsiTheme="minorHAnsi"/>
          <w:sz w:val="26"/>
          <w:szCs w:val="26"/>
        </w:rPr>
        <w:t>propus ca modalitate de evaluare a gradului de satisfacţiei a părților interesate la nivelul instanţelor de judecat</w:t>
      </w:r>
      <w:bookmarkEnd w:id="173"/>
      <w:r w:rsidRPr="003D6ACD">
        <w:rPr>
          <w:rFonts w:asciiTheme="minorHAnsi" w:hAnsiTheme="minorHAnsi"/>
          <w:sz w:val="26"/>
          <w:szCs w:val="26"/>
        </w:rPr>
        <w:t>ă.</w:t>
      </w:r>
    </w:p>
    <w:p w14:paraId="3ED8CF6F" w14:textId="72AAFCDF" w:rsidR="009F1FEA" w:rsidRPr="003D6ACD" w:rsidRDefault="009F1FEA" w:rsidP="009F1FEA">
      <w:pPr>
        <w:spacing w:line="276" w:lineRule="auto"/>
        <w:jc w:val="both"/>
        <w:rPr>
          <w:rFonts w:asciiTheme="minorHAnsi" w:hAnsiTheme="minorHAnsi" w:cstheme="minorHAnsi"/>
          <w:sz w:val="26"/>
          <w:szCs w:val="26"/>
        </w:rPr>
      </w:pPr>
      <w:r w:rsidRPr="003D6ACD">
        <w:rPr>
          <w:rFonts w:asciiTheme="minorHAnsi" w:hAnsiTheme="minorHAnsi"/>
          <w:sz w:val="26"/>
          <w:szCs w:val="26"/>
        </w:rPr>
        <w:lastRenderedPageBreak/>
        <w:t xml:space="preserve">           Chestionarul, în vederea implementării, a fost transmis curților de apel pentru a fi diseminat instanțelor din circumscripție. Astfel, în perioada ianuarie</w:t>
      </w:r>
      <w:r w:rsidR="00D16E05">
        <w:rPr>
          <w:rFonts w:asciiTheme="minorHAnsi" w:hAnsiTheme="minorHAnsi"/>
          <w:sz w:val="26"/>
          <w:szCs w:val="26"/>
        </w:rPr>
        <w:t xml:space="preserve"> - </w:t>
      </w:r>
      <w:r w:rsidRPr="003D6ACD">
        <w:rPr>
          <w:rFonts w:asciiTheme="minorHAnsi" w:hAnsiTheme="minorHAnsi"/>
          <w:sz w:val="26"/>
          <w:szCs w:val="26"/>
        </w:rPr>
        <w:t>decembrie 202</w:t>
      </w:r>
      <w:r w:rsidR="004E5E2B">
        <w:rPr>
          <w:rFonts w:asciiTheme="minorHAnsi" w:hAnsiTheme="minorHAnsi"/>
          <w:sz w:val="26"/>
          <w:szCs w:val="26"/>
        </w:rPr>
        <w:t>4</w:t>
      </w:r>
      <w:r w:rsidRPr="003D6ACD">
        <w:rPr>
          <w:rFonts w:asciiTheme="minorHAnsi" w:hAnsiTheme="minorHAnsi"/>
          <w:sz w:val="26"/>
          <w:szCs w:val="26"/>
        </w:rPr>
        <w:t>, chestionarul a fost completat de către părţile interesate (ex. cetăţeni/justiţiabili/avocaţi etc.) la nivelul curților de apel, precum și la nivelul instanțelor din circumscripție.</w:t>
      </w:r>
      <w:r w:rsidRPr="003D6ACD">
        <w:rPr>
          <w:rFonts w:asciiTheme="minorHAnsi" w:hAnsiTheme="minorHAnsi" w:cstheme="minorHAnsi"/>
          <w:sz w:val="26"/>
          <w:szCs w:val="26"/>
        </w:rPr>
        <w:t xml:space="preserve"> </w:t>
      </w:r>
    </w:p>
    <w:p w14:paraId="1E9A9E9B" w14:textId="77777777" w:rsidR="009F1FEA" w:rsidRPr="003D6ACD" w:rsidRDefault="009F1FEA" w:rsidP="009F1FEA">
      <w:pPr>
        <w:spacing w:line="276" w:lineRule="auto"/>
        <w:jc w:val="both"/>
        <w:rPr>
          <w:rFonts w:asciiTheme="minorHAnsi" w:hAnsiTheme="minorHAnsi" w:cstheme="minorHAnsi"/>
          <w:sz w:val="26"/>
          <w:szCs w:val="26"/>
        </w:rPr>
      </w:pPr>
      <w:r w:rsidRPr="003D6ACD">
        <w:rPr>
          <w:rFonts w:asciiTheme="minorHAnsi" w:hAnsiTheme="minorHAnsi" w:cstheme="minorHAnsi"/>
          <w:bCs/>
          <w:sz w:val="26"/>
          <w:szCs w:val="26"/>
        </w:rPr>
        <w:t xml:space="preserve">           Răspunsurile transmise de toate curțile de apel referitoare la implementarea chestionarului la nivelul curțiilor, precum și la nivelul instanțelor arondate, au fost centralizate de către Serviciul de informare publică, relaţii cu mass media și protecția datelor cu caracter personal. La nivelul curților de apel și a instanțelor din circumscripție au fost completate 3174 de chestionare.</w:t>
      </w:r>
    </w:p>
    <w:p w14:paraId="2CC36C83" w14:textId="6E63E30E" w:rsidR="009F1FEA" w:rsidRPr="003D6ACD" w:rsidRDefault="009F1FEA" w:rsidP="009F1FEA">
      <w:pPr>
        <w:spacing w:line="276" w:lineRule="auto"/>
        <w:ind w:firstLine="720"/>
        <w:jc w:val="both"/>
        <w:rPr>
          <w:rFonts w:asciiTheme="minorHAnsi" w:hAnsiTheme="minorHAnsi" w:cstheme="minorHAnsi"/>
          <w:sz w:val="26"/>
          <w:szCs w:val="26"/>
        </w:rPr>
      </w:pPr>
      <w:r w:rsidRPr="003D6ACD">
        <w:rPr>
          <w:rFonts w:asciiTheme="minorHAnsi" w:hAnsiTheme="minorHAnsi" w:cstheme="minorHAnsi"/>
          <w:sz w:val="26"/>
          <w:szCs w:val="26"/>
        </w:rPr>
        <w:t>În ședința din data de 04</w:t>
      </w:r>
      <w:r w:rsidR="004E5E2B">
        <w:rPr>
          <w:rFonts w:asciiTheme="minorHAnsi" w:hAnsiTheme="minorHAnsi" w:cstheme="minorHAnsi"/>
          <w:sz w:val="26"/>
          <w:szCs w:val="26"/>
        </w:rPr>
        <w:t xml:space="preserve"> septembrie </w:t>
      </w:r>
      <w:r w:rsidRPr="003D6ACD">
        <w:rPr>
          <w:rFonts w:asciiTheme="minorHAnsi" w:hAnsiTheme="minorHAnsi" w:cstheme="minorHAnsi"/>
          <w:sz w:val="26"/>
          <w:szCs w:val="26"/>
        </w:rPr>
        <w:t>2025, Comisia nr. 2 judecători -  „Resurse umane și organizare” a luat act de materialul centralizator elaborat de Serviciul de informare publică, relaţii cu mass media și protecția datelor cu caracter personal.</w:t>
      </w:r>
    </w:p>
    <w:p w14:paraId="428504D1" w14:textId="77777777" w:rsidR="004E5E2B" w:rsidRDefault="009F1FEA" w:rsidP="004E5E2B">
      <w:pPr>
        <w:spacing w:line="276" w:lineRule="auto"/>
        <w:ind w:firstLine="720"/>
        <w:jc w:val="both"/>
        <w:rPr>
          <w:rFonts w:asciiTheme="minorHAnsi" w:hAnsiTheme="minorHAnsi" w:cstheme="minorHAnsi"/>
          <w:sz w:val="26"/>
          <w:szCs w:val="26"/>
        </w:rPr>
      </w:pPr>
      <w:r w:rsidRPr="003D6ACD">
        <w:rPr>
          <w:rFonts w:asciiTheme="minorHAnsi" w:hAnsiTheme="minorHAnsi"/>
          <w:sz w:val="26"/>
          <w:szCs w:val="26"/>
        </w:rPr>
        <w:t>Statistica materialelor centralizatoare cu relevanță asupra evaluării satisfacției părților interesate și a percepției privind accesul la justiție a fost dată publicității.</w:t>
      </w:r>
    </w:p>
    <w:p w14:paraId="46C83A9C" w14:textId="74D91E67" w:rsidR="009F1FEA" w:rsidRPr="004E5E2B" w:rsidRDefault="009F1FEA" w:rsidP="004E5E2B">
      <w:pPr>
        <w:spacing w:line="276" w:lineRule="auto"/>
        <w:ind w:firstLine="720"/>
        <w:jc w:val="both"/>
        <w:rPr>
          <w:rFonts w:asciiTheme="minorHAnsi" w:hAnsiTheme="minorHAnsi" w:cstheme="minorHAnsi"/>
          <w:sz w:val="26"/>
          <w:szCs w:val="26"/>
        </w:rPr>
      </w:pPr>
      <w:r w:rsidRPr="003D6ACD">
        <w:rPr>
          <w:rFonts w:asciiTheme="minorHAnsi" w:hAnsiTheme="minorHAnsi"/>
          <w:sz w:val="26"/>
          <w:szCs w:val="26"/>
        </w:rPr>
        <w:t xml:space="preserve">De asemenea, în cadrul </w:t>
      </w:r>
      <w:r w:rsidRPr="003D6ACD">
        <w:rPr>
          <w:rFonts w:ascii="Calibri" w:hAnsi="Calibri" w:cs="Calibri"/>
          <w:bCs/>
          <w:sz w:val="26"/>
          <w:szCs w:val="26"/>
        </w:rPr>
        <w:t>Strategiei de dezvoltare a sistemului judiciar şi a justiţiei ca serviciu public 2025</w:t>
      </w:r>
      <w:r w:rsidR="004E5E2B">
        <w:rPr>
          <w:rFonts w:ascii="Calibri" w:hAnsi="Calibri" w:cs="Calibri"/>
          <w:bCs/>
          <w:sz w:val="26"/>
          <w:szCs w:val="26"/>
        </w:rPr>
        <w:t xml:space="preserve"> </w:t>
      </w:r>
      <w:r w:rsidRPr="003D6ACD">
        <w:rPr>
          <w:rFonts w:ascii="Calibri" w:hAnsi="Calibri" w:cs="Calibri"/>
          <w:bCs/>
          <w:sz w:val="26"/>
          <w:szCs w:val="26"/>
        </w:rPr>
        <w:t>-</w:t>
      </w:r>
      <w:r w:rsidR="004E5E2B">
        <w:rPr>
          <w:rFonts w:ascii="Calibri" w:hAnsi="Calibri" w:cs="Calibri"/>
          <w:bCs/>
          <w:sz w:val="26"/>
          <w:szCs w:val="26"/>
        </w:rPr>
        <w:t xml:space="preserve"> </w:t>
      </w:r>
      <w:r w:rsidRPr="003D6ACD">
        <w:rPr>
          <w:rFonts w:ascii="Calibri" w:hAnsi="Calibri" w:cs="Calibri"/>
          <w:bCs/>
          <w:sz w:val="26"/>
          <w:szCs w:val="26"/>
        </w:rPr>
        <w:t>2029</w:t>
      </w:r>
      <w:r w:rsidRPr="003D6ACD">
        <w:t>,</w:t>
      </w:r>
      <w:r w:rsidRPr="003D6ACD">
        <w:rPr>
          <w:rFonts w:asciiTheme="minorHAnsi" w:hAnsiTheme="minorHAnsi" w:cstheme="minorHAnsi"/>
          <w:bCs/>
          <w:sz w:val="26"/>
          <w:szCs w:val="26"/>
        </w:rPr>
        <w:t xml:space="preserve"> prin Serviciul de informare publică, relaţii cu mass media și protecția datelor cu caracter personal</w:t>
      </w:r>
      <w:r w:rsidRPr="003D6ACD">
        <w:t xml:space="preserve"> </w:t>
      </w:r>
      <w:r w:rsidRPr="003D6ACD">
        <w:rPr>
          <w:rFonts w:asciiTheme="minorHAnsi" w:hAnsiTheme="minorHAnsi" w:cstheme="minorHAnsi"/>
          <w:sz w:val="26"/>
          <w:szCs w:val="26"/>
        </w:rPr>
        <w:t xml:space="preserve">se </w:t>
      </w:r>
      <w:r w:rsidRPr="003D6ACD">
        <w:rPr>
          <w:rFonts w:ascii="Calibri" w:hAnsi="Calibri" w:cs="Calibri"/>
          <w:bCs/>
          <w:sz w:val="26"/>
          <w:szCs w:val="26"/>
        </w:rPr>
        <w:t>efectuează o analiză a procesului de comunicare și a resurselor existente (personal de specialitate) la nivelul instanțelor.</w:t>
      </w:r>
    </w:p>
    <w:p w14:paraId="0A7D4971" w14:textId="77777777" w:rsidR="009F1FEA" w:rsidRPr="003D6ACD" w:rsidRDefault="009F1FEA" w:rsidP="009F1FEA">
      <w:pPr>
        <w:widowControl w:val="0"/>
        <w:tabs>
          <w:tab w:val="left" w:pos="915"/>
        </w:tabs>
        <w:spacing w:line="276" w:lineRule="auto"/>
        <w:ind w:firstLine="720"/>
        <w:jc w:val="both"/>
        <w:rPr>
          <w:rFonts w:ascii="Calibri" w:hAnsi="Calibri" w:cs="Calibri"/>
          <w:bCs/>
          <w:sz w:val="26"/>
          <w:szCs w:val="26"/>
        </w:rPr>
      </w:pPr>
      <w:r w:rsidRPr="003D6ACD">
        <w:rPr>
          <w:rFonts w:ascii="Calibri" w:hAnsi="Calibri" w:cs="Calibri"/>
          <w:bCs/>
          <w:sz w:val="26"/>
          <w:szCs w:val="26"/>
        </w:rPr>
        <w:t xml:space="preserve"> În vederea efectuării analizei, au fost solicitate și primite informații de la toate curțile de apel și instanțele din circumscripție.</w:t>
      </w:r>
    </w:p>
    <w:p w14:paraId="03773491" w14:textId="77777777" w:rsidR="009F1FEA" w:rsidRPr="003D6ACD" w:rsidRDefault="009F1FEA" w:rsidP="009F1FEA">
      <w:pPr>
        <w:tabs>
          <w:tab w:val="left" w:pos="915"/>
        </w:tabs>
        <w:spacing w:line="276" w:lineRule="auto"/>
        <w:ind w:firstLine="720"/>
        <w:jc w:val="both"/>
        <w:rPr>
          <w:rFonts w:ascii="Calibri" w:hAnsi="Calibri" w:cs="Calibri"/>
          <w:bCs/>
          <w:sz w:val="26"/>
          <w:szCs w:val="26"/>
        </w:rPr>
      </w:pPr>
      <w:r w:rsidRPr="003D6ACD">
        <w:rPr>
          <w:rFonts w:ascii="Calibri" w:hAnsi="Calibri" w:cs="Calibri"/>
          <w:bCs/>
          <w:i/>
          <w:iCs/>
          <w:sz w:val="26"/>
          <w:szCs w:val="26"/>
        </w:rPr>
        <w:t xml:space="preserve"> </w:t>
      </w:r>
      <w:r w:rsidRPr="003D6ACD">
        <w:rPr>
          <w:rFonts w:ascii="Calibri" w:hAnsi="Calibri" w:cs="Calibri"/>
          <w:bCs/>
          <w:sz w:val="26"/>
          <w:szCs w:val="26"/>
        </w:rPr>
        <w:t>Răspunsurile transmise de toate instanțele au fost centralizate și analizate în cadrul S.I.P.R.M.M.P.D.C.P, urmând ca asupra concluziilor care rezultă în urma analizei efectuate la nivelul fiecărei curţi de apel să aprecieze comisia de specialitate.</w:t>
      </w:r>
    </w:p>
    <w:p w14:paraId="0F286137" w14:textId="77777777" w:rsidR="009F1FEA" w:rsidRPr="003D6ACD" w:rsidRDefault="009F1FEA" w:rsidP="009F1FEA">
      <w:pPr>
        <w:keepNext/>
        <w:spacing w:line="276" w:lineRule="auto"/>
        <w:ind w:firstLine="709"/>
        <w:jc w:val="both"/>
        <w:rPr>
          <w:rFonts w:asciiTheme="minorHAnsi" w:hAnsiTheme="minorHAnsi" w:cstheme="minorHAnsi"/>
          <w:sz w:val="26"/>
          <w:szCs w:val="26"/>
        </w:rPr>
      </w:pPr>
      <w:r w:rsidRPr="003D6ACD">
        <w:rPr>
          <w:rFonts w:asciiTheme="minorHAnsi" w:hAnsiTheme="minorHAnsi" w:cstheme="minorHAnsi"/>
          <w:sz w:val="26"/>
          <w:szCs w:val="26"/>
        </w:rPr>
        <w:t>Prin întreaga sa activitate, Serviciul de informare publică, relaţii cu mass-media și protecția datelor cu caracter personal a reafirmat și în acest an deschiderea instituției spre dialog şi colaborare cu reprezentanții mass-media şi cu alte instituții sau persoane interesate de activitatea justiției, comunicând atât proactiv, cât și cu celeritate.</w:t>
      </w:r>
    </w:p>
    <w:p w14:paraId="424DF519" w14:textId="4BB8B41D" w:rsidR="009F1FEA" w:rsidRPr="003D6ACD" w:rsidRDefault="009F1FEA" w:rsidP="009F1FEA">
      <w:pPr>
        <w:spacing w:line="276" w:lineRule="auto"/>
        <w:ind w:firstLine="709"/>
        <w:jc w:val="both"/>
        <w:rPr>
          <w:rFonts w:asciiTheme="minorHAnsi" w:hAnsiTheme="minorHAnsi" w:cstheme="minorHAnsi"/>
          <w:sz w:val="26"/>
          <w:szCs w:val="26"/>
        </w:rPr>
      </w:pPr>
      <w:r w:rsidRPr="003D6ACD">
        <w:rPr>
          <w:rFonts w:asciiTheme="minorHAnsi" w:hAnsiTheme="minorHAnsi" w:cstheme="minorHAnsi"/>
          <w:sz w:val="26"/>
          <w:szCs w:val="26"/>
        </w:rPr>
        <w:t>În concluzie, se poate afirma că, în ansamblu, deși activitatea de comunicare publică este întotdeauna perfectibilă, comunicarea dintre reprezentanții mass-media şi reprezentanții S.I.P.R.M.M.P.D.C.P.</w:t>
      </w:r>
      <w:r w:rsidR="004E5E2B">
        <w:rPr>
          <w:rFonts w:asciiTheme="minorHAnsi" w:hAnsiTheme="minorHAnsi" w:cstheme="minorHAnsi"/>
          <w:sz w:val="26"/>
          <w:szCs w:val="26"/>
        </w:rPr>
        <w:t xml:space="preserve"> a fost una bună în linii generale</w:t>
      </w:r>
      <w:r w:rsidRPr="003D6ACD">
        <w:rPr>
          <w:rFonts w:asciiTheme="minorHAnsi" w:hAnsiTheme="minorHAnsi" w:cstheme="minorHAnsi"/>
          <w:sz w:val="26"/>
          <w:szCs w:val="26"/>
        </w:rPr>
        <w:t xml:space="preserve">, această activitate fiind derulată </w:t>
      </w:r>
      <w:r w:rsidR="004E5E2B">
        <w:rPr>
          <w:rFonts w:asciiTheme="minorHAnsi" w:hAnsiTheme="minorHAnsi" w:cstheme="minorHAnsi"/>
          <w:sz w:val="26"/>
          <w:szCs w:val="26"/>
        </w:rPr>
        <w:t xml:space="preserve">cu aplicarea </w:t>
      </w:r>
      <w:r w:rsidRPr="003D6ACD">
        <w:rPr>
          <w:rFonts w:asciiTheme="minorHAnsi" w:hAnsiTheme="minorHAnsi" w:cstheme="minorHAnsi"/>
          <w:sz w:val="26"/>
          <w:szCs w:val="26"/>
        </w:rPr>
        <w:t>dispozițiilor legale incidente,</w:t>
      </w:r>
      <w:r w:rsidR="004E5E2B">
        <w:rPr>
          <w:rFonts w:asciiTheme="minorHAnsi" w:hAnsiTheme="minorHAnsi" w:cstheme="minorHAnsi"/>
          <w:sz w:val="26"/>
          <w:szCs w:val="26"/>
        </w:rPr>
        <w:t xml:space="preserve"> în contextul conturat de nevoia unei comunicări mai prezente din partea Consiliului în spaţiul public în raport de campania mediatică de denigrare a corpului profesional al magistraţilor derulată în acest an în spaţiul public, pe fondul propunerilor de modificare legislativă a statutului magistraţilor. </w:t>
      </w:r>
    </w:p>
    <w:p w14:paraId="109F8BFF" w14:textId="6495F962" w:rsidR="006C1588" w:rsidRPr="000F0D8B" w:rsidRDefault="006C1588" w:rsidP="009E3AD8">
      <w:pPr>
        <w:pStyle w:val="Heading2"/>
        <w:keepNext w:val="0"/>
        <w:keepLines w:val="0"/>
        <w:suppressLineNumbers/>
        <w:suppressAutoHyphens/>
        <w:rPr>
          <w:rFonts w:cstheme="minorHAnsi"/>
          <w:color w:val="auto"/>
          <w:lang w:val="ro-RO"/>
        </w:rPr>
      </w:pPr>
      <w:bookmarkStart w:id="174" w:name="_Toc219287987"/>
      <w:r w:rsidRPr="000F0D8B">
        <w:rPr>
          <w:rFonts w:cstheme="minorHAnsi"/>
          <w:color w:val="auto"/>
          <w:lang w:val="ro-RO"/>
        </w:rPr>
        <w:t xml:space="preserve">VI.8. Activitatea </w:t>
      </w:r>
      <w:r w:rsidR="00B15CE7" w:rsidRPr="000F0D8B">
        <w:rPr>
          <w:rFonts w:cstheme="minorHAnsi"/>
          <w:color w:val="auto"/>
          <w:lang w:val="ro-RO"/>
        </w:rPr>
        <w:t>Serviciului</w:t>
      </w:r>
      <w:r w:rsidRPr="000F0D8B">
        <w:rPr>
          <w:rFonts w:cstheme="minorHAnsi"/>
          <w:color w:val="auto"/>
          <w:lang w:val="ro-RO"/>
        </w:rPr>
        <w:t xml:space="preserve"> achiziţii publice</w:t>
      </w:r>
      <w:bookmarkEnd w:id="167"/>
      <w:r w:rsidR="00B15CE7" w:rsidRPr="000F0D8B">
        <w:rPr>
          <w:rFonts w:cstheme="minorHAnsi"/>
          <w:color w:val="auto"/>
          <w:lang w:val="ro-RO"/>
        </w:rPr>
        <w:t>,</w:t>
      </w:r>
      <w:r w:rsidRPr="000F0D8B">
        <w:rPr>
          <w:rFonts w:cstheme="minorHAnsi"/>
          <w:color w:val="auto"/>
          <w:lang w:val="ro-RO"/>
        </w:rPr>
        <w:t xml:space="preserve"> protocol</w:t>
      </w:r>
      <w:r w:rsidR="00B15CE7" w:rsidRPr="000F0D8B">
        <w:rPr>
          <w:rFonts w:cstheme="minorHAnsi"/>
          <w:color w:val="auto"/>
          <w:lang w:val="ro-RO"/>
        </w:rPr>
        <w:t xml:space="preserve"> și secretariat</w:t>
      </w:r>
      <w:bookmarkEnd w:id="174"/>
    </w:p>
    <w:p w14:paraId="47D3DE5B" w14:textId="35863384" w:rsidR="00AB06FF" w:rsidRDefault="00AB06FF" w:rsidP="009E3AD8">
      <w:pPr>
        <w:spacing w:line="276" w:lineRule="auto"/>
        <w:ind w:firstLine="720"/>
        <w:jc w:val="both"/>
        <w:rPr>
          <w:rFonts w:asciiTheme="minorHAnsi" w:hAnsiTheme="minorHAnsi" w:cstheme="minorHAnsi"/>
          <w:sz w:val="26"/>
          <w:szCs w:val="26"/>
        </w:rPr>
      </w:pPr>
      <w:bookmarkStart w:id="175" w:name="_Toc430867140"/>
      <w:r>
        <w:rPr>
          <w:rFonts w:asciiTheme="minorHAnsi" w:hAnsiTheme="minorHAnsi" w:cstheme="minorHAnsi"/>
          <w:sz w:val="26"/>
          <w:szCs w:val="26"/>
        </w:rPr>
        <w:t>Biroul de achiziţii publice a fost înfiinţat prin</w:t>
      </w:r>
      <w:bookmarkStart w:id="176" w:name="1720848"/>
      <w:bookmarkEnd w:id="176"/>
      <w:r>
        <w:rPr>
          <w:rFonts w:asciiTheme="minorHAnsi" w:hAnsiTheme="minorHAnsi" w:cstheme="minorHAnsi"/>
          <w:sz w:val="26"/>
          <w:szCs w:val="26"/>
        </w:rPr>
        <w:t xml:space="preserve"> Hotărârea Plenului C</w:t>
      </w:r>
      <w:r w:rsidR="00D16E05">
        <w:rPr>
          <w:rFonts w:asciiTheme="minorHAnsi" w:hAnsiTheme="minorHAnsi" w:cstheme="minorHAnsi"/>
          <w:sz w:val="26"/>
          <w:szCs w:val="26"/>
        </w:rPr>
        <w:t xml:space="preserve">.S.M. </w:t>
      </w:r>
      <w:r>
        <w:rPr>
          <w:rFonts w:asciiTheme="minorHAnsi" w:hAnsiTheme="minorHAnsi" w:cstheme="minorHAnsi"/>
          <w:sz w:val="26"/>
          <w:szCs w:val="26"/>
        </w:rPr>
        <w:t>nr. 399/2007 privind modificarea şi completarea Regulamentului de organizare şi funcţionare a Consiliului Superior al Magistraturii</w:t>
      </w:r>
      <w:r w:rsidR="00D16E05">
        <w:rPr>
          <w:rFonts w:asciiTheme="minorHAnsi" w:hAnsiTheme="minorHAnsi" w:cstheme="minorHAnsi"/>
          <w:sz w:val="26"/>
          <w:szCs w:val="26"/>
        </w:rPr>
        <w:t xml:space="preserve">, </w:t>
      </w:r>
      <w:r>
        <w:rPr>
          <w:rFonts w:asciiTheme="minorHAnsi" w:hAnsiTheme="minorHAnsi" w:cstheme="minorHAnsi"/>
          <w:sz w:val="26"/>
          <w:szCs w:val="26"/>
        </w:rPr>
        <w:t>publicată în Monitorul Oficial nr. 450 din 3 iulie 2007</w:t>
      </w:r>
      <w:r w:rsidR="00D16E05">
        <w:rPr>
          <w:rFonts w:asciiTheme="minorHAnsi" w:hAnsiTheme="minorHAnsi" w:cstheme="minorHAnsi"/>
          <w:sz w:val="26"/>
          <w:szCs w:val="26"/>
        </w:rPr>
        <w:t xml:space="preserve">, </w:t>
      </w:r>
      <w:r>
        <w:rPr>
          <w:rFonts w:asciiTheme="minorHAnsi" w:hAnsiTheme="minorHAnsi" w:cstheme="minorHAnsi"/>
          <w:sz w:val="26"/>
          <w:szCs w:val="26"/>
        </w:rPr>
        <w:t>şi constituie compartimentul specializat în atribuirea contractelor de achiziţii publice.</w:t>
      </w:r>
    </w:p>
    <w:p w14:paraId="26061197" w14:textId="611842A9" w:rsidR="00AB06FF" w:rsidRDefault="00AB06FF" w:rsidP="009E3AD8">
      <w:pPr>
        <w:spacing w:line="276" w:lineRule="auto"/>
        <w:ind w:firstLine="810"/>
        <w:jc w:val="both"/>
        <w:rPr>
          <w:rFonts w:asciiTheme="minorHAnsi" w:hAnsiTheme="minorHAnsi" w:cstheme="minorHAnsi"/>
          <w:sz w:val="26"/>
          <w:szCs w:val="26"/>
        </w:rPr>
      </w:pPr>
      <w:r>
        <w:rPr>
          <w:rFonts w:asciiTheme="minorHAnsi" w:hAnsiTheme="minorHAnsi" w:cstheme="minorHAnsi"/>
          <w:sz w:val="26"/>
          <w:szCs w:val="26"/>
        </w:rPr>
        <w:t>Atribuțiile și competențele Biroului de Achiziţii Publice și Protocol</w:t>
      </w:r>
      <w:r>
        <w:rPr>
          <w:rFonts w:asciiTheme="minorHAnsi" w:hAnsiTheme="minorHAnsi" w:cstheme="minorHAnsi"/>
          <w:color w:val="FF0000"/>
          <w:sz w:val="26"/>
          <w:szCs w:val="26"/>
        </w:rPr>
        <w:t xml:space="preserve"> </w:t>
      </w:r>
      <w:r>
        <w:rPr>
          <w:rFonts w:asciiTheme="minorHAnsi" w:hAnsiTheme="minorHAnsi" w:cstheme="minorHAnsi"/>
          <w:sz w:val="26"/>
          <w:szCs w:val="26"/>
        </w:rPr>
        <w:t>au fost prevăzute inițial în Regulamentul de organizare și functionare a Consiliului Superior al Magistraturii aprobat prin Hotararea Plenului C</w:t>
      </w:r>
      <w:r w:rsidR="00D16E05">
        <w:rPr>
          <w:rFonts w:asciiTheme="minorHAnsi" w:hAnsiTheme="minorHAnsi" w:cstheme="minorHAnsi"/>
          <w:sz w:val="26"/>
          <w:szCs w:val="26"/>
        </w:rPr>
        <w:t xml:space="preserve">.S.M. </w:t>
      </w:r>
      <w:r>
        <w:rPr>
          <w:rFonts w:asciiTheme="minorHAnsi" w:hAnsiTheme="minorHAnsi" w:cstheme="minorHAnsi"/>
          <w:sz w:val="26"/>
          <w:szCs w:val="26"/>
        </w:rPr>
        <w:t xml:space="preserve">nr. 326/2005 și, ulterior, în Regulamentul de organizare și funcționare a </w:t>
      </w:r>
      <w:r>
        <w:rPr>
          <w:rFonts w:asciiTheme="minorHAnsi" w:hAnsiTheme="minorHAnsi" w:cstheme="minorHAnsi"/>
          <w:sz w:val="26"/>
          <w:szCs w:val="26"/>
        </w:rPr>
        <w:lastRenderedPageBreak/>
        <w:t>Consiliului Superior al Magistraturii aprobat prin Hot</w:t>
      </w:r>
      <w:r w:rsidR="00663172">
        <w:rPr>
          <w:rFonts w:asciiTheme="minorHAnsi" w:hAnsiTheme="minorHAnsi" w:cstheme="minorHAnsi"/>
          <w:sz w:val="26"/>
          <w:szCs w:val="26"/>
        </w:rPr>
        <w:t>ă</w:t>
      </w:r>
      <w:r>
        <w:rPr>
          <w:rFonts w:asciiTheme="minorHAnsi" w:hAnsiTheme="minorHAnsi" w:cstheme="minorHAnsi"/>
          <w:sz w:val="26"/>
          <w:szCs w:val="26"/>
        </w:rPr>
        <w:t>r</w:t>
      </w:r>
      <w:r w:rsidR="00663172">
        <w:rPr>
          <w:rFonts w:asciiTheme="minorHAnsi" w:hAnsiTheme="minorHAnsi" w:cstheme="minorHAnsi"/>
          <w:sz w:val="26"/>
          <w:szCs w:val="26"/>
        </w:rPr>
        <w:t>â</w:t>
      </w:r>
      <w:r>
        <w:rPr>
          <w:rFonts w:asciiTheme="minorHAnsi" w:hAnsiTheme="minorHAnsi" w:cstheme="minorHAnsi"/>
          <w:sz w:val="26"/>
          <w:szCs w:val="26"/>
        </w:rPr>
        <w:t xml:space="preserve">rea Plenului </w:t>
      </w:r>
      <w:r w:rsidR="00977B59">
        <w:rPr>
          <w:rFonts w:asciiTheme="minorHAnsi" w:hAnsiTheme="minorHAnsi" w:cstheme="minorHAnsi"/>
          <w:sz w:val="26"/>
          <w:szCs w:val="26"/>
        </w:rPr>
        <w:t>C</w:t>
      </w:r>
      <w:r w:rsidR="00D16E05">
        <w:rPr>
          <w:rFonts w:asciiTheme="minorHAnsi" w:hAnsiTheme="minorHAnsi" w:cstheme="minorHAnsi"/>
          <w:sz w:val="26"/>
          <w:szCs w:val="26"/>
        </w:rPr>
        <w:t xml:space="preserve">.S.M. </w:t>
      </w:r>
      <w:r>
        <w:rPr>
          <w:rFonts w:asciiTheme="minorHAnsi" w:hAnsiTheme="minorHAnsi" w:cstheme="minorHAnsi"/>
          <w:sz w:val="26"/>
          <w:szCs w:val="26"/>
        </w:rPr>
        <w:t>nr. 1073/03.12.2018, prin care a fost abrogată Hot</w:t>
      </w:r>
      <w:r w:rsidR="00663172">
        <w:rPr>
          <w:rFonts w:asciiTheme="minorHAnsi" w:hAnsiTheme="minorHAnsi" w:cstheme="minorHAnsi"/>
          <w:sz w:val="26"/>
          <w:szCs w:val="26"/>
        </w:rPr>
        <w:t>ă</w:t>
      </w:r>
      <w:r>
        <w:rPr>
          <w:rFonts w:asciiTheme="minorHAnsi" w:hAnsiTheme="minorHAnsi" w:cstheme="minorHAnsi"/>
          <w:sz w:val="26"/>
          <w:szCs w:val="26"/>
        </w:rPr>
        <w:t>r</w:t>
      </w:r>
      <w:r w:rsidR="00663172">
        <w:rPr>
          <w:rFonts w:asciiTheme="minorHAnsi" w:hAnsiTheme="minorHAnsi" w:cstheme="minorHAnsi"/>
          <w:sz w:val="26"/>
          <w:szCs w:val="26"/>
        </w:rPr>
        <w:t>â</w:t>
      </w:r>
      <w:r>
        <w:rPr>
          <w:rFonts w:asciiTheme="minorHAnsi" w:hAnsiTheme="minorHAnsi" w:cstheme="minorHAnsi"/>
          <w:sz w:val="26"/>
          <w:szCs w:val="26"/>
        </w:rPr>
        <w:t xml:space="preserve">rea Plenului </w:t>
      </w:r>
      <w:r w:rsidR="00977B59">
        <w:rPr>
          <w:rFonts w:asciiTheme="minorHAnsi" w:hAnsiTheme="minorHAnsi" w:cstheme="minorHAnsi"/>
          <w:sz w:val="26"/>
          <w:szCs w:val="26"/>
        </w:rPr>
        <w:t>C</w:t>
      </w:r>
      <w:r w:rsidR="00D16E05">
        <w:rPr>
          <w:rFonts w:asciiTheme="minorHAnsi" w:hAnsiTheme="minorHAnsi" w:cstheme="minorHAnsi"/>
          <w:sz w:val="26"/>
          <w:szCs w:val="26"/>
        </w:rPr>
        <w:t>.S.M. n</w:t>
      </w:r>
      <w:r>
        <w:rPr>
          <w:rFonts w:asciiTheme="minorHAnsi" w:hAnsiTheme="minorHAnsi" w:cstheme="minorHAnsi"/>
          <w:sz w:val="26"/>
          <w:szCs w:val="26"/>
        </w:rPr>
        <w:t>r. 326/2005.</w:t>
      </w:r>
    </w:p>
    <w:p w14:paraId="51DDA11A" w14:textId="489CCE40" w:rsidR="00AB06FF" w:rsidRDefault="00AB06FF" w:rsidP="009E3AD8">
      <w:pPr>
        <w:spacing w:line="276" w:lineRule="auto"/>
        <w:ind w:firstLine="720"/>
        <w:jc w:val="both"/>
        <w:rPr>
          <w:rFonts w:asciiTheme="minorHAnsi" w:hAnsiTheme="minorHAnsi" w:cstheme="minorHAnsi"/>
          <w:sz w:val="26"/>
          <w:szCs w:val="26"/>
        </w:rPr>
      </w:pPr>
      <w:r>
        <w:rPr>
          <w:rFonts w:asciiTheme="minorHAnsi" w:hAnsiTheme="minorHAnsi" w:cstheme="minorHAnsi"/>
          <w:sz w:val="26"/>
          <w:szCs w:val="26"/>
        </w:rPr>
        <w:t>Prin Hotărârea Plenului C</w:t>
      </w:r>
      <w:r w:rsidR="00D16E05">
        <w:rPr>
          <w:rFonts w:asciiTheme="minorHAnsi" w:hAnsiTheme="minorHAnsi" w:cstheme="minorHAnsi"/>
          <w:sz w:val="26"/>
          <w:szCs w:val="26"/>
        </w:rPr>
        <w:t xml:space="preserve">.S.M. </w:t>
      </w:r>
      <w:r>
        <w:rPr>
          <w:rFonts w:asciiTheme="minorHAnsi" w:hAnsiTheme="minorHAnsi" w:cstheme="minorHAnsi"/>
          <w:sz w:val="26"/>
          <w:szCs w:val="26"/>
        </w:rPr>
        <w:t xml:space="preserve">nr. 1108/2013, Biroul de achiziţii publice a fost transformat în Compartiment de achiziţii publice, iar </w:t>
      </w:r>
      <w:r w:rsidR="00663172">
        <w:rPr>
          <w:rFonts w:asciiTheme="minorHAnsi" w:hAnsiTheme="minorHAnsi" w:cstheme="minorHAnsi"/>
          <w:sz w:val="26"/>
          <w:szCs w:val="26"/>
        </w:rPr>
        <w:t>î</w:t>
      </w:r>
      <w:r>
        <w:rPr>
          <w:rFonts w:asciiTheme="minorHAnsi" w:hAnsiTheme="minorHAnsi" w:cstheme="minorHAnsi"/>
          <w:sz w:val="26"/>
          <w:szCs w:val="26"/>
        </w:rPr>
        <w:t>ncep</w:t>
      </w:r>
      <w:r w:rsidR="00663172">
        <w:rPr>
          <w:rFonts w:asciiTheme="minorHAnsi" w:hAnsiTheme="minorHAnsi" w:cstheme="minorHAnsi"/>
          <w:sz w:val="26"/>
          <w:szCs w:val="26"/>
        </w:rPr>
        <w:t>â</w:t>
      </w:r>
      <w:r>
        <w:rPr>
          <w:rFonts w:asciiTheme="minorHAnsi" w:hAnsiTheme="minorHAnsi" w:cstheme="minorHAnsi"/>
          <w:sz w:val="26"/>
          <w:szCs w:val="26"/>
        </w:rPr>
        <w:t>nd cu luna iulie 2015 a redevenit Birou. Prin Hotărârea Plenului C</w:t>
      </w:r>
      <w:r w:rsidR="00D16E05">
        <w:rPr>
          <w:rFonts w:asciiTheme="minorHAnsi" w:hAnsiTheme="minorHAnsi" w:cstheme="minorHAnsi"/>
          <w:sz w:val="26"/>
          <w:szCs w:val="26"/>
        </w:rPr>
        <w:t xml:space="preserve">.S.M. </w:t>
      </w:r>
      <w:r>
        <w:rPr>
          <w:rFonts w:asciiTheme="minorHAnsi" w:hAnsiTheme="minorHAnsi" w:cstheme="minorHAnsi"/>
          <w:sz w:val="26"/>
          <w:szCs w:val="26"/>
        </w:rPr>
        <w:t xml:space="preserve">nr. 136/18.06.2024, Biroul de achiziţii publice și protocol a fost transformat în Serviciu și a primit atribuții de asigurare a </w:t>
      </w:r>
      <w:r w:rsidR="000E6BA9">
        <w:rPr>
          <w:rFonts w:asciiTheme="minorHAnsi" w:hAnsiTheme="minorHAnsi" w:cstheme="minorHAnsi"/>
          <w:sz w:val="26"/>
          <w:szCs w:val="26"/>
        </w:rPr>
        <w:t>secretariatului</w:t>
      </w:r>
      <w:r>
        <w:rPr>
          <w:rFonts w:asciiTheme="minorHAnsi" w:hAnsiTheme="minorHAnsi" w:cstheme="minorHAnsi"/>
          <w:sz w:val="26"/>
          <w:szCs w:val="26"/>
        </w:rPr>
        <w:t xml:space="preserve"> la nivelul instituției.</w:t>
      </w:r>
    </w:p>
    <w:p w14:paraId="3E7A34B8" w14:textId="77777777" w:rsidR="00AB06FF" w:rsidRDefault="00AB06FF" w:rsidP="009E3AD8">
      <w:pPr>
        <w:spacing w:line="276" w:lineRule="auto"/>
        <w:ind w:firstLine="720"/>
        <w:jc w:val="both"/>
        <w:rPr>
          <w:rFonts w:asciiTheme="minorHAnsi" w:hAnsiTheme="minorHAnsi" w:cstheme="minorHAnsi"/>
          <w:sz w:val="26"/>
          <w:szCs w:val="26"/>
        </w:rPr>
      </w:pPr>
      <w:r>
        <w:rPr>
          <w:rFonts w:asciiTheme="minorHAnsi" w:hAnsiTheme="minorHAnsi" w:cstheme="minorHAnsi"/>
          <w:sz w:val="26"/>
          <w:szCs w:val="26"/>
        </w:rPr>
        <w:t xml:space="preserve">Serviciul funcţionează în subordinea ordonatorului principal de credite, derulând procedurile de achiziţie publică reglementate de actele normative în domeniu. </w:t>
      </w:r>
    </w:p>
    <w:p w14:paraId="71453B40" w14:textId="6DC21510" w:rsidR="00AB06FF" w:rsidRDefault="00AB06FF" w:rsidP="009E3AD8">
      <w:pPr>
        <w:spacing w:line="276" w:lineRule="auto"/>
        <w:ind w:firstLine="720"/>
        <w:jc w:val="both"/>
        <w:rPr>
          <w:rFonts w:asciiTheme="minorHAnsi" w:hAnsiTheme="minorHAnsi" w:cstheme="minorHAnsi"/>
          <w:sz w:val="26"/>
          <w:szCs w:val="26"/>
        </w:rPr>
      </w:pPr>
      <w:r>
        <w:rPr>
          <w:rFonts w:asciiTheme="minorHAnsi" w:hAnsiTheme="minorHAnsi" w:cstheme="minorHAnsi"/>
          <w:sz w:val="26"/>
          <w:szCs w:val="26"/>
        </w:rPr>
        <w:t>Prin activitatea Serviciului s-au asigurat toate condiţiile în vederea bunei derulări a contractelor în vigoare şi</w:t>
      </w:r>
      <w:r w:rsidR="00AB194B">
        <w:rPr>
          <w:rFonts w:asciiTheme="minorHAnsi" w:hAnsiTheme="minorHAnsi" w:cstheme="minorHAnsi"/>
          <w:sz w:val="26"/>
          <w:szCs w:val="26"/>
        </w:rPr>
        <w:t xml:space="preserve"> </w:t>
      </w:r>
      <w:r>
        <w:rPr>
          <w:rFonts w:asciiTheme="minorHAnsi" w:hAnsiTheme="minorHAnsi" w:cstheme="minorHAnsi"/>
          <w:sz w:val="26"/>
          <w:szCs w:val="26"/>
        </w:rPr>
        <w:t>pentru încheierea unor noi contracte în conformitate cu solicitările compartimentelor ce funcţionează la nivelul instituţiei.</w:t>
      </w:r>
    </w:p>
    <w:p w14:paraId="07FF003D" w14:textId="7E99DA08" w:rsidR="00AB06FF" w:rsidRDefault="00AB06FF" w:rsidP="009E3AD8">
      <w:pPr>
        <w:pStyle w:val="rvps1"/>
        <w:spacing w:line="276" w:lineRule="auto"/>
        <w:ind w:firstLine="720"/>
        <w:jc w:val="both"/>
        <w:rPr>
          <w:rFonts w:asciiTheme="minorHAnsi" w:hAnsiTheme="minorHAnsi" w:cstheme="minorHAnsi"/>
          <w:sz w:val="26"/>
          <w:szCs w:val="26"/>
          <w:lang w:val="ro-RO"/>
        </w:rPr>
      </w:pPr>
      <w:r>
        <w:rPr>
          <w:rFonts w:asciiTheme="minorHAnsi" w:hAnsiTheme="minorHAnsi" w:cstheme="minorHAnsi"/>
          <w:sz w:val="26"/>
          <w:szCs w:val="26"/>
          <w:lang w:val="ro-RO"/>
        </w:rPr>
        <w:t xml:space="preserve">Serviciul de achiziţii publice, protocol și secretariat desfăşoară o activitate de sinteză şi previziune în ceea ce priveşte solicitările compartimentelor de specialitate, întocmind Programul Anual al Achizițiilor Publice pe anul 2025, în condiţiile impuse de Legea nr. 98/2016 </w:t>
      </w:r>
      <w:r>
        <w:rPr>
          <w:rFonts w:asciiTheme="minorHAnsi" w:hAnsiTheme="minorHAnsi" w:cstheme="minorHAnsi"/>
          <w:sz w:val="26"/>
          <w:szCs w:val="26"/>
          <w:lang w:val="ro-RO" w:eastAsia="ro-RO"/>
        </w:rPr>
        <w:t>privind achizi</w:t>
      </w:r>
      <w:r w:rsidR="00A16DAA">
        <w:rPr>
          <w:rFonts w:asciiTheme="minorHAnsi" w:hAnsiTheme="minorHAnsi" w:cstheme="minorHAnsi"/>
          <w:sz w:val="26"/>
          <w:szCs w:val="26"/>
          <w:lang w:val="ro-RO" w:eastAsia="ro-RO"/>
        </w:rPr>
        <w:t>ț</w:t>
      </w:r>
      <w:r>
        <w:rPr>
          <w:rFonts w:asciiTheme="minorHAnsi" w:hAnsiTheme="minorHAnsi" w:cstheme="minorHAnsi"/>
          <w:sz w:val="26"/>
          <w:szCs w:val="26"/>
          <w:lang w:val="ro-RO" w:eastAsia="ro-RO"/>
        </w:rPr>
        <w:t>iile publice modificat</w:t>
      </w:r>
      <w:r w:rsidR="00A16DAA">
        <w:rPr>
          <w:rFonts w:asciiTheme="minorHAnsi" w:hAnsiTheme="minorHAnsi" w:cstheme="minorHAnsi"/>
          <w:sz w:val="26"/>
          <w:szCs w:val="26"/>
          <w:lang w:val="ro-RO" w:eastAsia="ro-RO"/>
        </w:rPr>
        <w:t>ă</w:t>
      </w:r>
      <w:r>
        <w:rPr>
          <w:rFonts w:asciiTheme="minorHAnsi" w:hAnsiTheme="minorHAnsi" w:cstheme="minorHAnsi"/>
          <w:sz w:val="26"/>
          <w:szCs w:val="26"/>
          <w:lang w:val="ro-RO" w:eastAsia="ro-RO"/>
        </w:rPr>
        <w:t xml:space="preserve"> și Legea bugetului de stat</w:t>
      </w:r>
      <w:r>
        <w:rPr>
          <w:rFonts w:asciiTheme="minorHAnsi" w:hAnsiTheme="minorHAnsi" w:cstheme="minorHAnsi"/>
          <w:sz w:val="26"/>
          <w:szCs w:val="26"/>
          <w:lang w:val="ro-RO"/>
        </w:rPr>
        <w:t>.</w:t>
      </w:r>
    </w:p>
    <w:p w14:paraId="5CB8CC8C" w14:textId="6703D3FC" w:rsidR="00AB06FF" w:rsidRDefault="00AB06FF" w:rsidP="009E3AD8">
      <w:pPr>
        <w:pStyle w:val="rvps1"/>
        <w:shd w:val="clear" w:color="auto" w:fill="FFFFFF"/>
        <w:spacing w:line="276" w:lineRule="auto"/>
        <w:ind w:firstLine="810"/>
        <w:jc w:val="both"/>
        <w:rPr>
          <w:rFonts w:asciiTheme="minorHAnsi" w:hAnsiTheme="minorHAnsi" w:cstheme="minorHAnsi"/>
          <w:sz w:val="26"/>
          <w:szCs w:val="26"/>
          <w:lang w:val="ro-RO" w:eastAsia="ro-RO"/>
        </w:rPr>
      </w:pPr>
      <w:r>
        <w:rPr>
          <w:rFonts w:asciiTheme="minorHAnsi" w:hAnsiTheme="minorHAnsi" w:cstheme="minorHAnsi"/>
          <w:sz w:val="26"/>
          <w:szCs w:val="26"/>
          <w:lang w:val="ro-RO" w:eastAsia="ro-RO"/>
        </w:rPr>
        <w:t>În mod concret, în anul 2025, Serviciul de achiziţii publice, protocol și secretariat a soluționat un num</w:t>
      </w:r>
      <w:r w:rsidR="00A16DAA">
        <w:rPr>
          <w:rFonts w:asciiTheme="minorHAnsi" w:hAnsiTheme="minorHAnsi" w:cstheme="minorHAnsi"/>
          <w:sz w:val="26"/>
          <w:szCs w:val="26"/>
          <w:lang w:val="ro-RO" w:eastAsia="ro-RO"/>
        </w:rPr>
        <w:t>ă</w:t>
      </w:r>
      <w:r>
        <w:rPr>
          <w:rFonts w:asciiTheme="minorHAnsi" w:hAnsiTheme="minorHAnsi" w:cstheme="minorHAnsi"/>
          <w:sz w:val="26"/>
          <w:szCs w:val="26"/>
          <w:lang w:val="ro-RO" w:eastAsia="ro-RO"/>
        </w:rPr>
        <w:t xml:space="preserve">r de peste 250 de solicitări (referate de necesitate pentru achiziții directe și proceduri de atribuire, precum și alte tipuri de solicitări) de la departamentele din cadrul Consiliului, fiind încheiate un număr de peste </w:t>
      </w:r>
      <w:r w:rsidR="00E41F5F">
        <w:rPr>
          <w:rFonts w:asciiTheme="minorHAnsi" w:hAnsiTheme="minorHAnsi" w:cstheme="minorHAnsi"/>
          <w:sz w:val="26"/>
          <w:szCs w:val="26"/>
          <w:lang w:val="ro-RO" w:eastAsia="ro-RO"/>
        </w:rPr>
        <w:t xml:space="preserve">221 </w:t>
      </w:r>
      <w:r>
        <w:rPr>
          <w:rFonts w:asciiTheme="minorHAnsi" w:hAnsiTheme="minorHAnsi" w:cstheme="minorHAnsi"/>
          <w:sz w:val="26"/>
          <w:szCs w:val="26"/>
          <w:lang w:val="ro-RO" w:eastAsia="ro-RO"/>
        </w:rPr>
        <w:t>de contracte și acte adiționale, având ca obiect prestarea de servicii şi furnizarea de bunuri necesare bunei funcţionări a activităţii C</w:t>
      </w:r>
      <w:r w:rsidR="00AB194B">
        <w:rPr>
          <w:rFonts w:asciiTheme="minorHAnsi" w:hAnsiTheme="minorHAnsi" w:cstheme="minorHAnsi"/>
          <w:sz w:val="26"/>
          <w:szCs w:val="26"/>
          <w:lang w:val="ro-RO" w:eastAsia="ro-RO"/>
        </w:rPr>
        <w:t>.S.M..</w:t>
      </w:r>
      <w:r>
        <w:rPr>
          <w:rFonts w:asciiTheme="minorHAnsi" w:hAnsiTheme="minorHAnsi" w:cstheme="minorHAnsi"/>
          <w:sz w:val="26"/>
          <w:szCs w:val="26"/>
          <w:lang w:val="ro-RO" w:eastAsia="ro-RO"/>
        </w:rPr>
        <w:t xml:space="preserve"> </w:t>
      </w:r>
    </w:p>
    <w:p w14:paraId="388BED07" w14:textId="6513BD1D" w:rsidR="00AB06FF" w:rsidRDefault="00AB06FF" w:rsidP="009E3AD8">
      <w:pPr>
        <w:pStyle w:val="rvps1"/>
        <w:tabs>
          <w:tab w:val="left" w:pos="6597"/>
        </w:tabs>
        <w:spacing w:line="276" w:lineRule="auto"/>
        <w:ind w:firstLine="810"/>
        <w:jc w:val="both"/>
        <w:rPr>
          <w:rFonts w:asciiTheme="minorHAnsi" w:hAnsiTheme="minorHAnsi" w:cstheme="minorHAnsi"/>
          <w:sz w:val="26"/>
          <w:szCs w:val="26"/>
          <w:lang w:val="ro-RO"/>
        </w:rPr>
      </w:pPr>
      <w:r>
        <w:rPr>
          <w:rFonts w:asciiTheme="minorHAnsi" w:hAnsiTheme="minorHAnsi" w:cstheme="minorHAnsi"/>
          <w:sz w:val="26"/>
          <w:szCs w:val="26"/>
          <w:lang w:val="ro-RO"/>
        </w:rPr>
        <w:t xml:space="preserve">În cadrul derulării procedurilor de achiziţii publice, în conformitate cu prevederile Legii nr. 98/2016 </w:t>
      </w:r>
      <w:r>
        <w:rPr>
          <w:rFonts w:asciiTheme="minorHAnsi" w:hAnsiTheme="minorHAnsi" w:cstheme="minorHAnsi"/>
          <w:sz w:val="26"/>
          <w:szCs w:val="26"/>
          <w:lang w:val="ro-RO" w:eastAsia="ro-RO"/>
        </w:rPr>
        <w:t>privind achiziţiile publice modificată,</w:t>
      </w:r>
      <w:r>
        <w:rPr>
          <w:rFonts w:asciiTheme="minorHAnsi" w:hAnsiTheme="minorHAnsi" w:cstheme="minorHAnsi"/>
          <w:sz w:val="26"/>
          <w:szCs w:val="26"/>
          <w:lang w:val="ro-RO"/>
        </w:rPr>
        <w:t xml:space="preserve"> s-a recurs atât la achiziționarea directă din catalogul SICAP/off line a bunurilor și serviciilor necesare funcționării instituției, cât și la procedurile de atribuire prevăzute de art. 68 din Legea nr. 98/2016 privind achizi</w:t>
      </w:r>
      <w:r w:rsidR="00A16DAA">
        <w:rPr>
          <w:rFonts w:asciiTheme="minorHAnsi" w:hAnsiTheme="minorHAnsi" w:cstheme="minorHAnsi"/>
          <w:sz w:val="26"/>
          <w:szCs w:val="26"/>
          <w:lang w:val="ro-RO"/>
        </w:rPr>
        <w:t>ț</w:t>
      </w:r>
      <w:r>
        <w:rPr>
          <w:rFonts w:asciiTheme="minorHAnsi" w:hAnsiTheme="minorHAnsi" w:cstheme="minorHAnsi"/>
          <w:sz w:val="26"/>
          <w:szCs w:val="26"/>
          <w:lang w:val="ro-RO"/>
        </w:rPr>
        <w:t>iile publice, cu modificările și completările ulterioare.</w:t>
      </w:r>
    </w:p>
    <w:p w14:paraId="6B10FB09" w14:textId="6C6AB159" w:rsidR="00AB06FF" w:rsidRDefault="00AB06FF" w:rsidP="009E3AD8">
      <w:pPr>
        <w:spacing w:line="276" w:lineRule="auto"/>
        <w:ind w:firstLine="720"/>
        <w:jc w:val="both"/>
        <w:rPr>
          <w:rFonts w:asciiTheme="minorHAnsi" w:hAnsiTheme="minorHAnsi" w:cstheme="minorHAnsi"/>
          <w:bCs/>
          <w:sz w:val="26"/>
          <w:szCs w:val="26"/>
        </w:rPr>
      </w:pPr>
      <w:r>
        <w:rPr>
          <w:rFonts w:asciiTheme="minorHAnsi" w:hAnsiTheme="minorHAnsi" w:cstheme="minorHAnsi"/>
          <w:sz w:val="26"/>
          <w:szCs w:val="26"/>
        </w:rPr>
        <w:t xml:space="preserve">Astfel, Serviciul de achiziţii publice, protocol si secretariat a realizat în anul 2025  un număr de peste </w:t>
      </w:r>
      <w:r w:rsidR="00ED0343">
        <w:rPr>
          <w:rFonts w:asciiTheme="minorHAnsi" w:hAnsiTheme="minorHAnsi" w:cstheme="minorHAnsi"/>
          <w:sz w:val="26"/>
          <w:szCs w:val="26"/>
        </w:rPr>
        <w:t>105</w:t>
      </w:r>
      <w:r w:rsidR="00A16DAA">
        <w:rPr>
          <w:rFonts w:asciiTheme="minorHAnsi" w:hAnsiTheme="minorHAnsi" w:cstheme="minorHAnsi"/>
          <w:sz w:val="26"/>
          <w:szCs w:val="26"/>
        </w:rPr>
        <w:t xml:space="preserve"> de</w:t>
      </w:r>
      <w:r>
        <w:rPr>
          <w:rFonts w:asciiTheme="minorHAnsi" w:hAnsiTheme="minorHAnsi" w:cstheme="minorHAnsi"/>
          <w:sz w:val="26"/>
          <w:szCs w:val="26"/>
        </w:rPr>
        <w:t xml:space="preserve"> achiziţii directe de bunuri și servicii prin cumpărare directă, din catalogul electronic SICAP/off line.</w:t>
      </w:r>
    </w:p>
    <w:p w14:paraId="643D765C" w14:textId="77777777" w:rsidR="00055F63" w:rsidRDefault="00AB06FF" w:rsidP="00055F63">
      <w:pPr>
        <w:spacing w:line="276" w:lineRule="auto"/>
        <w:ind w:firstLine="720"/>
        <w:jc w:val="both"/>
        <w:rPr>
          <w:rFonts w:asciiTheme="minorHAnsi" w:hAnsiTheme="minorHAnsi" w:cstheme="minorHAnsi"/>
          <w:sz w:val="26"/>
          <w:szCs w:val="26"/>
        </w:rPr>
      </w:pPr>
      <w:r>
        <w:rPr>
          <w:rFonts w:asciiTheme="minorHAnsi" w:hAnsiTheme="minorHAnsi" w:cstheme="minorHAnsi"/>
          <w:sz w:val="26"/>
          <w:szCs w:val="26"/>
        </w:rPr>
        <w:t>Totodată, au fost derulate proceduri de achiziţie (proceduri simplificate, proceduri realizate dup</w:t>
      </w:r>
      <w:r w:rsidR="00A16DAA">
        <w:rPr>
          <w:rFonts w:asciiTheme="minorHAnsi" w:hAnsiTheme="minorHAnsi" w:cstheme="minorHAnsi"/>
          <w:sz w:val="26"/>
          <w:szCs w:val="26"/>
        </w:rPr>
        <w:t>ă</w:t>
      </w:r>
      <w:r>
        <w:rPr>
          <w:rFonts w:asciiTheme="minorHAnsi" w:hAnsiTheme="minorHAnsi" w:cstheme="minorHAnsi"/>
          <w:sz w:val="26"/>
          <w:szCs w:val="26"/>
        </w:rPr>
        <w:t xml:space="preserve"> norme proprii, proceduri de licitație deschisă)</w:t>
      </w:r>
      <w:r w:rsidR="00AB194B">
        <w:rPr>
          <w:rFonts w:asciiTheme="minorHAnsi" w:hAnsiTheme="minorHAnsi" w:cstheme="minorHAnsi"/>
          <w:sz w:val="26"/>
          <w:szCs w:val="26"/>
        </w:rPr>
        <w:t xml:space="preserve"> </w:t>
      </w:r>
      <w:r>
        <w:rPr>
          <w:rFonts w:asciiTheme="minorHAnsi" w:hAnsiTheme="minorHAnsi" w:cstheme="minorHAnsi"/>
          <w:sz w:val="26"/>
          <w:szCs w:val="26"/>
        </w:rPr>
        <w:t>finalizate cu încheierea unor contracte, acorduri cadru și contracte subsecvente cu operatorii economici specializați în domeniu.</w:t>
      </w:r>
    </w:p>
    <w:p w14:paraId="6AE26D29" w14:textId="59C48C0B" w:rsidR="00AB06FF" w:rsidRPr="00055F63" w:rsidRDefault="00AB06FF" w:rsidP="00055F63">
      <w:pPr>
        <w:spacing w:line="276" w:lineRule="auto"/>
        <w:ind w:firstLine="720"/>
        <w:jc w:val="both"/>
        <w:rPr>
          <w:rFonts w:asciiTheme="minorHAnsi" w:hAnsiTheme="minorHAnsi" w:cstheme="minorHAnsi"/>
          <w:bCs/>
          <w:sz w:val="26"/>
          <w:szCs w:val="26"/>
        </w:rPr>
      </w:pPr>
      <w:r>
        <w:rPr>
          <w:rFonts w:asciiTheme="minorHAnsi" w:hAnsiTheme="minorHAnsi" w:cstheme="minorHAnsi"/>
          <w:sz w:val="26"/>
          <w:szCs w:val="26"/>
          <w:lang w:eastAsia="ro-RO"/>
        </w:rPr>
        <w:t xml:space="preserve">Informațiile privind obiectul contractelor, sumele, procedurile de achiziție publică folosite, numele/denumirea câștigătorilor, procedurile anulate, se regăsesc pe site-ul </w:t>
      </w:r>
      <w:r>
        <w:fldChar w:fldCharType="begin"/>
      </w:r>
      <w:r>
        <w:instrText>HYPERLINK "http://www.e-licitatie.ro"</w:instrText>
      </w:r>
      <w:r>
        <w:fldChar w:fldCharType="separate"/>
      </w:r>
      <w:r>
        <w:rPr>
          <w:rStyle w:val="Hyperlink"/>
          <w:rFonts w:asciiTheme="minorHAnsi" w:hAnsiTheme="minorHAnsi" w:cstheme="minorHAnsi"/>
          <w:sz w:val="26"/>
          <w:szCs w:val="26"/>
          <w:lang w:eastAsia="ro-RO"/>
        </w:rPr>
        <w:t>www.e-licitatie.ro</w:t>
      </w:r>
      <w:r>
        <w:fldChar w:fldCharType="end"/>
      </w:r>
      <w:r>
        <w:rPr>
          <w:rFonts w:asciiTheme="minorHAnsi" w:hAnsiTheme="minorHAnsi" w:cstheme="minorHAnsi"/>
          <w:sz w:val="26"/>
          <w:szCs w:val="26"/>
          <w:lang w:eastAsia="ro-RO"/>
        </w:rPr>
        <w:t xml:space="preserve">, la secţiunea autoritate contractantă - Consiliul Superior al Magistraturii și pe site-ul instituției la secțiunea „Achiziții publice”. </w:t>
      </w:r>
    </w:p>
    <w:p w14:paraId="0B829CC2" w14:textId="46984759" w:rsidR="00AB06FF" w:rsidRDefault="00AB06FF" w:rsidP="009E3AD8">
      <w:pPr>
        <w:pStyle w:val="rvps1"/>
        <w:tabs>
          <w:tab w:val="left" w:pos="6597"/>
        </w:tabs>
        <w:spacing w:line="276" w:lineRule="auto"/>
        <w:ind w:firstLine="810"/>
        <w:jc w:val="both"/>
        <w:rPr>
          <w:rFonts w:asciiTheme="minorHAnsi" w:hAnsiTheme="minorHAnsi" w:cstheme="minorHAnsi"/>
          <w:sz w:val="26"/>
          <w:szCs w:val="26"/>
          <w:lang w:val="ro-RO"/>
        </w:rPr>
      </w:pPr>
      <w:r>
        <w:rPr>
          <w:rFonts w:asciiTheme="minorHAnsi" w:hAnsiTheme="minorHAnsi" w:cstheme="minorHAnsi"/>
          <w:sz w:val="26"/>
          <w:szCs w:val="26"/>
          <w:lang w:val="ro-RO"/>
        </w:rPr>
        <w:t>O preocupare importantă a Serviciului de achiziţii publice, protocol și secretariat a constat în selecţia riguroasă a ofertanţilor, astfel încât să se asigure instituţiei servicii şi produse eficiente şi de calitate, în măsura posibilităţilor rezultate din derularea ulterioară a contractelor și constr</w:t>
      </w:r>
      <w:r w:rsidR="00A16DAA">
        <w:rPr>
          <w:rFonts w:asciiTheme="minorHAnsi" w:hAnsiTheme="minorHAnsi" w:cstheme="minorHAnsi"/>
          <w:sz w:val="26"/>
          <w:szCs w:val="26"/>
          <w:lang w:val="ro-RO"/>
        </w:rPr>
        <w:t>â</w:t>
      </w:r>
      <w:r>
        <w:rPr>
          <w:rFonts w:asciiTheme="minorHAnsi" w:hAnsiTheme="minorHAnsi" w:cstheme="minorHAnsi"/>
          <w:sz w:val="26"/>
          <w:szCs w:val="26"/>
          <w:lang w:val="ro-RO"/>
        </w:rPr>
        <w:t>ngerilor bugetare pe care a fost nevoit s</w:t>
      </w:r>
      <w:r w:rsidR="001E267A">
        <w:rPr>
          <w:rFonts w:asciiTheme="minorHAnsi" w:hAnsiTheme="minorHAnsi" w:cstheme="minorHAnsi"/>
          <w:sz w:val="26"/>
          <w:szCs w:val="26"/>
          <w:lang w:val="ro-RO"/>
        </w:rPr>
        <w:t>ă</w:t>
      </w:r>
      <w:r>
        <w:rPr>
          <w:rFonts w:asciiTheme="minorHAnsi" w:hAnsiTheme="minorHAnsi" w:cstheme="minorHAnsi"/>
          <w:sz w:val="26"/>
          <w:szCs w:val="26"/>
          <w:lang w:val="ro-RO"/>
        </w:rPr>
        <w:t xml:space="preserve"> le respecte prin rectificările bugetare aprobate.</w:t>
      </w:r>
    </w:p>
    <w:p w14:paraId="2CC47075" w14:textId="2C6C193B" w:rsidR="00AB06FF" w:rsidRPr="00BE6FF5" w:rsidRDefault="00AB06FF" w:rsidP="009E3AD8">
      <w:pPr>
        <w:spacing w:line="276" w:lineRule="auto"/>
        <w:ind w:firstLine="720"/>
        <w:jc w:val="both"/>
        <w:rPr>
          <w:rFonts w:asciiTheme="minorHAnsi" w:hAnsiTheme="minorHAnsi" w:cstheme="minorHAnsi"/>
          <w:sz w:val="26"/>
          <w:szCs w:val="26"/>
        </w:rPr>
      </w:pPr>
      <w:r>
        <w:rPr>
          <w:rFonts w:asciiTheme="minorHAnsi" w:hAnsiTheme="minorHAnsi" w:cstheme="minorHAnsi"/>
          <w:sz w:val="26"/>
          <w:szCs w:val="26"/>
        </w:rPr>
        <w:t xml:space="preserve">În cadrul activității de protocol s-a </w:t>
      </w:r>
      <w:r w:rsidRPr="00BE6FF5">
        <w:rPr>
          <w:rFonts w:asciiTheme="minorHAnsi" w:hAnsiTheme="minorHAnsi" w:cstheme="minorHAnsi"/>
          <w:sz w:val="26"/>
          <w:szCs w:val="26"/>
        </w:rPr>
        <w:t>asigurat realizarea în bune condiţii a deplasărilor membrilor și personalului Consiliului în străinătate și în țară, prin achiziționarea serviciilor de cazare, transport, transfer și asigurare medicală, precum și desfășurarea în condi</w:t>
      </w:r>
      <w:r w:rsidR="001E267A" w:rsidRPr="00BE6FF5">
        <w:rPr>
          <w:rFonts w:asciiTheme="minorHAnsi" w:hAnsiTheme="minorHAnsi" w:cstheme="minorHAnsi"/>
          <w:sz w:val="26"/>
          <w:szCs w:val="26"/>
        </w:rPr>
        <w:t>ț</w:t>
      </w:r>
      <w:r w:rsidRPr="00BE6FF5">
        <w:rPr>
          <w:rFonts w:asciiTheme="minorHAnsi" w:hAnsiTheme="minorHAnsi" w:cstheme="minorHAnsi"/>
          <w:sz w:val="26"/>
          <w:szCs w:val="26"/>
        </w:rPr>
        <w:t>ii corespunzătoare a întâlnirilor cu delegaţiile străine şi interne, invitate de Consiliu.</w:t>
      </w:r>
    </w:p>
    <w:p w14:paraId="071AF1E7" w14:textId="367D4A37" w:rsidR="00AB06FF" w:rsidRDefault="00AB06FF" w:rsidP="009E3AD8">
      <w:pPr>
        <w:spacing w:line="276" w:lineRule="auto"/>
        <w:ind w:firstLine="720"/>
        <w:jc w:val="both"/>
        <w:rPr>
          <w:rFonts w:asciiTheme="minorHAnsi" w:hAnsiTheme="minorHAnsi" w:cstheme="minorHAnsi"/>
          <w:sz w:val="26"/>
          <w:szCs w:val="26"/>
        </w:rPr>
      </w:pPr>
      <w:r>
        <w:rPr>
          <w:rFonts w:asciiTheme="minorHAnsi" w:hAnsiTheme="minorHAnsi" w:cstheme="minorHAnsi"/>
          <w:sz w:val="26"/>
          <w:szCs w:val="26"/>
          <w:lang w:val="pt-PT"/>
        </w:rPr>
        <w:lastRenderedPageBreak/>
        <w:t>Personalul din cadrul S</w:t>
      </w:r>
      <w:r w:rsidR="00087B69">
        <w:rPr>
          <w:rFonts w:asciiTheme="minorHAnsi" w:hAnsiTheme="minorHAnsi" w:cstheme="minorHAnsi"/>
          <w:sz w:val="26"/>
          <w:szCs w:val="26"/>
          <w:lang w:val="pt-PT"/>
        </w:rPr>
        <w:t>.</w:t>
      </w:r>
      <w:r>
        <w:rPr>
          <w:rFonts w:asciiTheme="minorHAnsi" w:hAnsiTheme="minorHAnsi" w:cstheme="minorHAnsi"/>
          <w:sz w:val="26"/>
          <w:szCs w:val="26"/>
          <w:lang w:val="pt-PT"/>
        </w:rPr>
        <w:t>A</w:t>
      </w:r>
      <w:r w:rsidR="00087B69">
        <w:rPr>
          <w:rFonts w:asciiTheme="minorHAnsi" w:hAnsiTheme="minorHAnsi" w:cstheme="minorHAnsi"/>
          <w:sz w:val="26"/>
          <w:szCs w:val="26"/>
          <w:lang w:val="pt-PT"/>
        </w:rPr>
        <w:t>.</w:t>
      </w:r>
      <w:r>
        <w:rPr>
          <w:rFonts w:asciiTheme="minorHAnsi" w:hAnsiTheme="minorHAnsi" w:cstheme="minorHAnsi"/>
          <w:sz w:val="26"/>
          <w:szCs w:val="26"/>
          <w:lang w:val="pt-PT"/>
        </w:rPr>
        <w:t>P</w:t>
      </w:r>
      <w:r w:rsidR="00087B69">
        <w:rPr>
          <w:rFonts w:asciiTheme="minorHAnsi" w:hAnsiTheme="minorHAnsi" w:cstheme="minorHAnsi"/>
          <w:sz w:val="26"/>
          <w:szCs w:val="26"/>
          <w:lang w:val="pt-PT"/>
        </w:rPr>
        <w:t>.</w:t>
      </w:r>
      <w:r>
        <w:rPr>
          <w:rFonts w:asciiTheme="minorHAnsi" w:hAnsiTheme="minorHAnsi" w:cstheme="minorHAnsi"/>
          <w:sz w:val="26"/>
          <w:szCs w:val="26"/>
          <w:lang w:val="pt-PT"/>
        </w:rPr>
        <w:t>P</w:t>
      </w:r>
      <w:r w:rsidR="00087B69">
        <w:rPr>
          <w:rFonts w:asciiTheme="minorHAnsi" w:hAnsiTheme="minorHAnsi" w:cstheme="minorHAnsi"/>
          <w:sz w:val="26"/>
          <w:szCs w:val="26"/>
          <w:lang w:val="pt-PT"/>
        </w:rPr>
        <w:t>.</w:t>
      </w:r>
      <w:r>
        <w:rPr>
          <w:rFonts w:asciiTheme="minorHAnsi" w:hAnsiTheme="minorHAnsi" w:cstheme="minorHAnsi"/>
          <w:sz w:val="26"/>
          <w:szCs w:val="26"/>
          <w:lang w:val="pt-PT"/>
        </w:rPr>
        <w:t>S</w:t>
      </w:r>
      <w:r w:rsidR="00087B69">
        <w:rPr>
          <w:rFonts w:asciiTheme="minorHAnsi" w:hAnsiTheme="minorHAnsi" w:cstheme="minorHAnsi"/>
          <w:sz w:val="26"/>
          <w:szCs w:val="26"/>
          <w:lang w:val="pt-PT"/>
        </w:rPr>
        <w:t>.</w:t>
      </w:r>
      <w:r>
        <w:rPr>
          <w:rFonts w:asciiTheme="minorHAnsi" w:hAnsiTheme="minorHAnsi" w:cstheme="minorHAnsi"/>
          <w:sz w:val="26"/>
          <w:szCs w:val="26"/>
          <w:lang w:val="pt-PT"/>
        </w:rPr>
        <w:t xml:space="preserve"> s-a implicat în organizarea şi desfăşurarea activităţilor cu caracter festiv, a asigurat protocolul necesar pentru președintele instituției, cabinetele membrilor și toate întâlnirile organizate la/pentru C</w:t>
      </w:r>
      <w:r w:rsidR="007A2CDD">
        <w:rPr>
          <w:rFonts w:asciiTheme="minorHAnsi" w:hAnsiTheme="minorHAnsi" w:cstheme="minorHAnsi"/>
          <w:sz w:val="26"/>
          <w:szCs w:val="26"/>
          <w:lang w:val="pt-PT"/>
        </w:rPr>
        <w:t xml:space="preserve">onsiliul </w:t>
      </w:r>
      <w:r>
        <w:rPr>
          <w:rFonts w:asciiTheme="minorHAnsi" w:hAnsiTheme="minorHAnsi" w:cstheme="minorHAnsi"/>
          <w:sz w:val="26"/>
          <w:szCs w:val="26"/>
          <w:lang w:val="pt-PT"/>
        </w:rPr>
        <w:t>S</w:t>
      </w:r>
      <w:r w:rsidR="007A2CDD">
        <w:rPr>
          <w:rFonts w:asciiTheme="minorHAnsi" w:hAnsiTheme="minorHAnsi" w:cstheme="minorHAnsi"/>
          <w:sz w:val="26"/>
          <w:szCs w:val="26"/>
          <w:lang w:val="pt-PT"/>
        </w:rPr>
        <w:t xml:space="preserve">uperior al </w:t>
      </w:r>
      <w:r>
        <w:rPr>
          <w:rFonts w:asciiTheme="minorHAnsi" w:hAnsiTheme="minorHAnsi" w:cstheme="minorHAnsi"/>
          <w:sz w:val="26"/>
          <w:szCs w:val="26"/>
          <w:lang w:val="pt-PT"/>
        </w:rPr>
        <w:t>M</w:t>
      </w:r>
      <w:r w:rsidR="007A2CDD">
        <w:rPr>
          <w:rFonts w:asciiTheme="minorHAnsi" w:hAnsiTheme="minorHAnsi" w:cstheme="minorHAnsi"/>
          <w:sz w:val="26"/>
          <w:szCs w:val="26"/>
          <w:lang w:val="pt-PT"/>
        </w:rPr>
        <w:t>agistraturii</w:t>
      </w:r>
      <w:r>
        <w:rPr>
          <w:rFonts w:asciiTheme="minorHAnsi" w:hAnsiTheme="minorHAnsi" w:cstheme="minorHAnsi"/>
          <w:sz w:val="26"/>
          <w:szCs w:val="26"/>
          <w:lang w:val="pt-PT"/>
        </w:rPr>
        <w:t xml:space="preserve"> și a sprijinit celelalte compartimente ale aparatului Consiliului în organizarea unor evenimente internaţionale și interne.</w:t>
      </w:r>
    </w:p>
    <w:p w14:paraId="2FBEE3A4" w14:textId="77777777" w:rsidR="00AB06FF" w:rsidRPr="00A35EF2" w:rsidRDefault="00AB06FF" w:rsidP="009E3AD8">
      <w:pPr>
        <w:pStyle w:val="rvps1"/>
        <w:tabs>
          <w:tab w:val="left" w:pos="6597"/>
        </w:tabs>
        <w:spacing w:line="276" w:lineRule="auto"/>
        <w:ind w:firstLine="709"/>
        <w:jc w:val="both"/>
        <w:rPr>
          <w:rFonts w:asciiTheme="minorHAnsi" w:hAnsiTheme="minorHAnsi" w:cstheme="minorHAnsi"/>
          <w:bCs/>
          <w:sz w:val="26"/>
          <w:szCs w:val="26"/>
          <w:lang w:val="ro-RO"/>
        </w:rPr>
      </w:pPr>
      <w:r>
        <w:rPr>
          <w:rFonts w:asciiTheme="minorHAnsi" w:hAnsiTheme="minorHAnsi" w:cstheme="minorHAnsi"/>
          <w:sz w:val="26"/>
          <w:szCs w:val="26"/>
          <w:lang w:val="ro-RO" w:eastAsia="ro-RO"/>
        </w:rPr>
        <w:t>Serviciul de achiziţii publice, protocol și secretariat</w:t>
      </w:r>
      <w:r>
        <w:rPr>
          <w:rFonts w:asciiTheme="minorHAnsi" w:hAnsiTheme="minorHAnsi" w:cstheme="minorHAnsi"/>
          <w:sz w:val="26"/>
          <w:szCs w:val="26"/>
          <w:lang w:val="ro-RO"/>
        </w:rPr>
        <w:t xml:space="preserve"> a fost implicat și în derularea unor proiecte cu finanțare europeană, personalul fiind antrenat în organizarea procedurilor de achiziție și în activitatea de evaluare și selecţie a ofertanților, pentru activitățile planificate în cadrul proiectelor aprobate de autoritățile de management, astfel:</w:t>
      </w:r>
      <w:r w:rsidRPr="00A35EF2">
        <w:rPr>
          <w:rFonts w:asciiTheme="minorHAnsi" w:hAnsiTheme="minorHAnsi" w:cstheme="minorHAnsi"/>
          <w:bCs/>
          <w:sz w:val="26"/>
          <w:szCs w:val="26"/>
          <w:lang w:val="ro-RO"/>
        </w:rPr>
        <w:t xml:space="preserve"> </w:t>
      </w:r>
    </w:p>
    <w:p w14:paraId="492FD14F" w14:textId="77777777" w:rsidR="00AB06FF" w:rsidRPr="00A35EF2" w:rsidRDefault="00AB06FF" w:rsidP="009E3AD8">
      <w:pPr>
        <w:pStyle w:val="rvps1"/>
        <w:tabs>
          <w:tab w:val="left" w:pos="6597"/>
        </w:tabs>
        <w:spacing w:line="276" w:lineRule="auto"/>
        <w:jc w:val="both"/>
        <w:rPr>
          <w:rFonts w:asciiTheme="minorHAnsi" w:hAnsiTheme="minorHAnsi" w:cstheme="minorHAnsi"/>
          <w:bCs/>
          <w:sz w:val="26"/>
          <w:szCs w:val="26"/>
          <w:lang w:val="fr-FR"/>
        </w:rPr>
      </w:pPr>
      <w:r w:rsidRPr="00A35EF2">
        <w:rPr>
          <w:rFonts w:asciiTheme="minorHAnsi" w:hAnsiTheme="minorHAnsi" w:cstheme="minorHAnsi"/>
          <w:bCs/>
          <w:sz w:val="26"/>
          <w:szCs w:val="26"/>
          <w:lang w:val="fr-FR"/>
        </w:rPr>
        <w:t xml:space="preserve">- </w:t>
      </w:r>
      <w:proofErr w:type="spellStart"/>
      <w:r w:rsidRPr="00A35EF2">
        <w:rPr>
          <w:rFonts w:asciiTheme="minorHAnsi" w:hAnsiTheme="minorHAnsi" w:cstheme="minorHAnsi"/>
          <w:bCs/>
          <w:sz w:val="26"/>
          <w:szCs w:val="26"/>
          <w:lang w:val="fr-FR"/>
        </w:rPr>
        <w:t>Componenta</w:t>
      </w:r>
      <w:proofErr w:type="spellEnd"/>
      <w:r w:rsidRPr="00A35EF2">
        <w:rPr>
          <w:rFonts w:asciiTheme="minorHAnsi" w:hAnsiTheme="minorHAnsi" w:cstheme="minorHAnsi"/>
          <w:bCs/>
          <w:sz w:val="26"/>
          <w:szCs w:val="26"/>
          <w:lang w:val="fr-FR"/>
        </w:rPr>
        <w:t xml:space="preserve"> de Program 5 </w:t>
      </w:r>
      <w:proofErr w:type="spellStart"/>
      <w:r w:rsidRPr="00A35EF2">
        <w:rPr>
          <w:rFonts w:asciiTheme="minorHAnsi" w:hAnsiTheme="minorHAnsi" w:cstheme="minorHAnsi"/>
          <w:bCs/>
          <w:sz w:val="26"/>
          <w:szCs w:val="26"/>
          <w:lang w:val="fr-FR"/>
        </w:rPr>
        <w:t>Îmbunătățirea</w:t>
      </w:r>
      <w:proofErr w:type="spellEnd"/>
      <w:r w:rsidRPr="00A35EF2">
        <w:rPr>
          <w:rFonts w:asciiTheme="minorHAnsi" w:hAnsiTheme="minorHAnsi" w:cstheme="minorHAnsi"/>
          <w:bCs/>
          <w:sz w:val="26"/>
          <w:szCs w:val="26"/>
          <w:lang w:val="fr-FR"/>
        </w:rPr>
        <w:t xml:space="preserve"> </w:t>
      </w:r>
      <w:proofErr w:type="spellStart"/>
      <w:r w:rsidRPr="00A35EF2">
        <w:rPr>
          <w:rFonts w:asciiTheme="minorHAnsi" w:hAnsiTheme="minorHAnsi" w:cstheme="minorHAnsi"/>
          <w:bCs/>
          <w:sz w:val="26"/>
          <w:szCs w:val="26"/>
          <w:lang w:val="fr-FR"/>
        </w:rPr>
        <w:t>și</w:t>
      </w:r>
      <w:proofErr w:type="spellEnd"/>
      <w:r w:rsidRPr="00A35EF2">
        <w:rPr>
          <w:rFonts w:asciiTheme="minorHAnsi" w:hAnsiTheme="minorHAnsi" w:cstheme="minorHAnsi"/>
          <w:bCs/>
          <w:sz w:val="26"/>
          <w:szCs w:val="26"/>
          <w:lang w:val="fr-FR"/>
        </w:rPr>
        <w:t xml:space="preserve"> </w:t>
      </w:r>
      <w:proofErr w:type="spellStart"/>
      <w:r w:rsidRPr="00A35EF2">
        <w:rPr>
          <w:rFonts w:asciiTheme="minorHAnsi" w:hAnsiTheme="minorHAnsi" w:cstheme="minorHAnsi"/>
          <w:bCs/>
          <w:sz w:val="26"/>
          <w:szCs w:val="26"/>
          <w:lang w:val="fr-FR"/>
        </w:rPr>
        <w:t>consolidarea</w:t>
      </w:r>
      <w:proofErr w:type="spellEnd"/>
      <w:r w:rsidRPr="00A35EF2">
        <w:rPr>
          <w:rFonts w:asciiTheme="minorHAnsi" w:hAnsiTheme="minorHAnsi" w:cstheme="minorHAnsi"/>
          <w:bCs/>
          <w:sz w:val="26"/>
          <w:szCs w:val="26"/>
          <w:lang w:val="fr-FR"/>
        </w:rPr>
        <w:t xml:space="preserve"> </w:t>
      </w:r>
      <w:proofErr w:type="spellStart"/>
      <w:r w:rsidRPr="00A35EF2">
        <w:rPr>
          <w:rFonts w:asciiTheme="minorHAnsi" w:hAnsiTheme="minorHAnsi" w:cstheme="minorHAnsi"/>
          <w:bCs/>
          <w:sz w:val="26"/>
          <w:szCs w:val="26"/>
          <w:lang w:val="fr-FR"/>
        </w:rPr>
        <w:t>sistemului</w:t>
      </w:r>
      <w:proofErr w:type="spellEnd"/>
      <w:r w:rsidRPr="00A35EF2">
        <w:rPr>
          <w:rFonts w:asciiTheme="minorHAnsi" w:hAnsiTheme="minorHAnsi" w:cstheme="minorHAnsi"/>
          <w:bCs/>
          <w:sz w:val="26"/>
          <w:szCs w:val="26"/>
          <w:lang w:val="fr-FR"/>
        </w:rPr>
        <w:t xml:space="preserve"> de </w:t>
      </w:r>
      <w:proofErr w:type="spellStart"/>
      <w:r w:rsidRPr="00A35EF2">
        <w:rPr>
          <w:rFonts w:asciiTheme="minorHAnsi" w:hAnsiTheme="minorHAnsi" w:cstheme="minorHAnsi"/>
          <w:bCs/>
          <w:sz w:val="26"/>
          <w:szCs w:val="26"/>
          <w:lang w:val="fr-FR"/>
        </w:rPr>
        <w:t>justiție</w:t>
      </w:r>
      <w:proofErr w:type="spellEnd"/>
      <w:r w:rsidRPr="00A35EF2">
        <w:rPr>
          <w:rFonts w:asciiTheme="minorHAnsi" w:hAnsiTheme="minorHAnsi" w:cstheme="minorHAnsi"/>
          <w:bCs/>
          <w:sz w:val="26"/>
          <w:szCs w:val="26"/>
          <w:lang w:val="fr-FR"/>
        </w:rPr>
        <w:t xml:space="preserve"> </w:t>
      </w:r>
      <w:proofErr w:type="spellStart"/>
      <w:r w:rsidRPr="00A35EF2">
        <w:rPr>
          <w:rFonts w:asciiTheme="minorHAnsi" w:hAnsiTheme="minorHAnsi" w:cstheme="minorHAnsi"/>
          <w:bCs/>
          <w:sz w:val="26"/>
          <w:szCs w:val="26"/>
          <w:lang w:val="fr-FR"/>
        </w:rPr>
        <w:t>pentru</w:t>
      </w:r>
      <w:proofErr w:type="spellEnd"/>
      <w:r w:rsidRPr="00A35EF2">
        <w:rPr>
          <w:rFonts w:asciiTheme="minorHAnsi" w:hAnsiTheme="minorHAnsi" w:cstheme="minorHAnsi"/>
          <w:bCs/>
          <w:sz w:val="26"/>
          <w:szCs w:val="26"/>
          <w:lang w:val="fr-FR"/>
        </w:rPr>
        <w:t xml:space="preserve"> </w:t>
      </w:r>
      <w:proofErr w:type="spellStart"/>
      <w:r w:rsidRPr="00A35EF2">
        <w:rPr>
          <w:rFonts w:asciiTheme="minorHAnsi" w:hAnsiTheme="minorHAnsi" w:cstheme="minorHAnsi"/>
          <w:bCs/>
          <w:sz w:val="26"/>
          <w:szCs w:val="26"/>
          <w:lang w:val="fr-FR"/>
        </w:rPr>
        <w:t>minori</w:t>
      </w:r>
      <w:proofErr w:type="spellEnd"/>
      <w:r w:rsidRPr="00A35EF2">
        <w:rPr>
          <w:rFonts w:asciiTheme="minorHAnsi" w:hAnsiTheme="minorHAnsi" w:cstheme="minorHAnsi"/>
          <w:bCs/>
          <w:sz w:val="26"/>
          <w:szCs w:val="26"/>
          <w:lang w:val="fr-FR"/>
        </w:rPr>
        <w:t xml:space="preserve">, </w:t>
      </w:r>
      <w:proofErr w:type="spellStart"/>
      <w:r w:rsidRPr="00A35EF2">
        <w:rPr>
          <w:rFonts w:asciiTheme="minorHAnsi" w:hAnsiTheme="minorHAnsi" w:cstheme="minorHAnsi"/>
          <w:bCs/>
          <w:sz w:val="26"/>
          <w:szCs w:val="26"/>
          <w:lang w:val="fr-FR"/>
        </w:rPr>
        <w:t>finanțată</w:t>
      </w:r>
      <w:proofErr w:type="spellEnd"/>
      <w:r w:rsidRPr="00A35EF2">
        <w:rPr>
          <w:rFonts w:asciiTheme="minorHAnsi" w:hAnsiTheme="minorHAnsi" w:cstheme="minorHAnsi"/>
          <w:bCs/>
          <w:sz w:val="26"/>
          <w:szCs w:val="26"/>
          <w:lang w:val="fr-FR"/>
        </w:rPr>
        <w:t xml:space="preserve"> </w:t>
      </w:r>
      <w:proofErr w:type="spellStart"/>
      <w:r w:rsidRPr="00A35EF2">
        <w:rPr>
          <w:rFonts w:asciiTheme="minorHAnsi" w:hAnsiTheme="minorHAnsi" w:cstheme="minorHAnsi"/>
          <w:bCs/>
          <w:sz w:val="26"/>
          <w:szCs w:val="26"/>
          <w:lang w:val="fr-FR"/>
        </w:rPr>
        <w:t>în</w:t>
      </w:r>
      <w:proofErr w:type="spellEnd"/>
      <w:r w:rsidRPr="00A35EF2">
        <w:rPr>
          <w:rFonts w:asciiTheme="minorHAnsi" w:hAnsiTheme="minorHAnsi" w:cstheme="minorHAnsi"/>
          <w:bCs/>
          <w:sz w:val="26"/>
          <w:szCs w:val="26"/>
          <w:lang w:val="fr-FR"/>
        </w:rPr>
        <w:t xml:space="preserve"> </w:t>
      </w:r>
      <w:proofErr w:type="spellStart"/>
      <w:r w:rsidRPr="00A35EF2">
        <w:rPr>
          <w:rFonts w:asciiTheme="minorHAnsi" w:hAnsiTheme="minorHAnsi" w:cstheme="minorHAnsi"/>
          <w:bCs/>
          <w:sz w:val="26"/>
          <w:szCs w:val="26"/>
          <w:lang w:val="fr-FR"/>
        </w:rPr>
        <w:t>cadrul</w:t>
      </w:r>
      <w:proofErr w:type="spellEnd"/>
      <w:r w:rsidRPr="00A35EF2">
        <w:rPr>
          <w:rFonts w:asciiTheme="minorHAnsi" w:hAnsiTheme="minorHAnsi" w:cstheme="minorHAnsi"/>
          <w:bCs/>
          <w:sz w:val="26"/>
          <w:szCs w:val="26"/>
          <w:lang w:val="fr-FR"/>
        </w:rPr>
        <w:t xml:space="preserve"> </w:t>
      </w:r>
      <w:proofErr w:type="spellStart"/>
      <w:r w:rsidRPr="00A35EF2">
        <w:rPr>
          <w:rFonts w:asciiTheme="minorHAnsi" w:hAnsiTheme="minorHAnsi" w:cstheme="minorHAnsi"/>
          <w:bCs/>
          <w:sz w:val="26"/>
          <w:szCs w:val="26"/>
          <w:lang w:val="fr-FR"/>
        </w:rPr>
        <w:t>Programului</w:t>
      </w:r>
      <w:proofErr w:type="spellEnd"/>
      <w:r w:rsidRPr="00A35EF2">
        <w:rPr>
          <w:rFonts w:asciiTheme="minorHAnsi" w:hAnsiTheme="minorHAnsi" w:cstheme="minorHAnsi"/>
          <w:bCs/>
          <w:sz w:val="26"/>
          <w:szCs w:val="26"/>
          <w:lang w:val="fr-FR"/>
        </w:rPr>
        <w:t xml:space="preserve"> de </w:t>
      </w:r>
      <w:proofErr w:type="spellStart"/>
      <w:r w:rsidRPr="00A35EF2">
        <w:rPr>
          <w:rFonts w:asciiTheme="minorHAnsi" w:hAnsiTheme="minorHAnsi" w:cstheme="minorHAnsi"/>
          <w:bCs/>
          <w:sz w:val="26"/>
          <w:szCs w:val="26"/>
          <w:lang w:val="fr-FR"/>
        </w:rPr>
        <w:t>Cooperare</w:t>
      </w:r>
      <w:proofErr w:type="spellEnd"/>
      <w:r w:rsidRPr="00A35EF2">
        <w:rPr>
          <w:rFonts w:asciiTheme="minorHAnsi" w:hAnsiTheme="minorHAnsi" w:cstheme="minorHAnsi"/>
          <w:bCs/>
          <w:sz w:val="26"/>
          <w:szCs w:val="26"/>
          <w:lang w:val="fr-FR"/>
        </w:rPr>
        <w:t xml:space="preserve"> </w:t>
      </w:r>
      <w:proofErr w:type="spellStart"/>
      <w:r w:rsidRPr="00A35EF2">
        <w:rPr>
          <w:rFonts w:asciiTheme="minorHAnsi" w:hAnsiTheme="minorHAnsi" w:cstheme="minorHAnsi"/>
          <w:bCs/>
          <w:sz w:val="26"/>
          <w:szCs w:val="26"/>
          <w:lang w:val="fr-FR"/>
        </w:rPr>
        <w:t>Elvețiano-Român</w:t>
      </w:r>
      <w:proofErr w:type="spellEnd"/>
      <w:r w:rsidRPr="00A35EF2">
        <w:rPr>
          <w:rFonts w:asciiTheme="minorHAnsi" w:hAnsiTheme="minorHAnsi" w:cstheme="minorHAnsi"/>
          <w:bCs/>
          <w:sz w:val="26"/>
          <w:szCs w:val="26"/>
          <w:lang w:val="fr-FR"/>
        </w:rPr>
        <w:t xml:space="preserve"> (</w:t>
      </w:r>
      <w:proofErr w:type="spellStart"/>
      <w:r w:rsidRPr="00A35EF2">
        <w:rPr>
          <w:rFonts w:asciiTheme="minorHAnsi" w:hAnsiTheme="minorHAnsi" w:cstheme="minorHAnsi"/>
          <w:bCs/>
          <w:sz w:val="26"/>
          <w:szCs w:val="26"/>
          <w:lang w:val="fr-FR"/>
        </w:rPr>
        <w:t>a</w:t>
      </w:r>
      <w:proofErr w:type="spellEnd"/>
      <w:r w:rsidRPr="00A35EF2">
        <w:rPr>
          <w:rFonts w:asciiTheme="minorHAnsi" w:hAnsiTheme="minorHAnsi" w:cstheme="minorHAnsi"/>
          <w:bCs/>
          <w:sz w:val="26"/>
          <w:szCs w:val="26"/>
          <w:lang w:val="fr-FR"/>
        </w:rPr>
        <w:t xml:space="preserve"> </w:t>
      </w:r>
      <w:proofErr w:type="spellStart"/>
      <w:r w:rsidRPr="00A35EF2">
        <w:rPr>
          <w:rFonts w:asciiTheme="minorHAnsi" w:hAnsiTheme="minorHAnsi" w:cstheme="minorHAnsi"/>
          <w:bCs/>
          <w:sz w:val="26"/>
          <w:szCs w:val="26"/>
          <w:lang w:val="fr-FR"/>
        </w:rPr>
        <w:t>doua</w:t>
      </w:r>
      <w:proofErr w:type="spellEnd"/>
      <w:r w:rsidRPr="00A35EF2">
        <w:rPr>
          <w:rFonts w:asciiTheme="minorHAnsi" w:hAnsiTheme="minorHAnsi" w:cstheme="minorHAnsi"/>
          <w:bCs/>
          <w:sz w:val="26"/>
          <w:szCs w:val="26"/>
          <w:lang w:val="fr-FR"/>
        </w:rPr>
        <w:t xml:space="preserve"> </w:t>
      </w:r>
      <w:proofErr w:type="spellStart"/>
      <w:r w:rsidRPr="00A35EF2">
        <w:rPr>
          <w:rFonts w:asciiTheme="minorHAnsi" w:hAnsiTheme="minorHAnsi" w:cstheme="minorHAnsi"/>
          <w:bCs/>
          <w:sz w:val="26"/>
          <w:szCs w:val="26"/>
          <w:lang w:val="fr-FR"/>
        </w:rPr>
        <w:t>contribuție</w:t>
      </w:r>
      <w:proofErr w:type="spellEnd"/>
      <w:r w:rsidRPr="00A35EF2">
        <w:rPr>
          <w:rFonts w:asciiTheme="minorHAnsi" w:hAnsiTheme="minorHAnsi" w:cstheme="minorHAnsi"/>
          <w:bCs/>
          <w:sz w:val="26"/>
          <w:szCs w:val="26"/>
          <w:lang w:val="fr-FR"/>
        </w:rPr>
        <w:t>);</w:t>
      </w:r>
    </w:p>
    <w:p w14:paraId="5E37F11B" w14:textId="3301F65F" w:rsidR="00BC5C16" w:rsidRDefault="00AB06FF" w:rsidP="009E3AD8">
      <w:pPr>
        <w:spacing w:line="276" w:lineRule="auto"/>
        <w:jc w:val="both"/>
        <w:rPr>
          <w:rFonts w:asciiTheme="minorHAnsi" w:hAnsiTheme="minorHAnsi" w:cstheme="minorHAnsi"/>
          <w:bCs/>
          <w:sz w:val="26"/>
          <w:szCs w:val="26"/>
        </w:rPr>
      </w:pPr>
      <w:r>
        <w:rPr>
          <w:rFonts w:asciiTheme="minorHAnsi" w:hAnsiTheme="minorHAnsi" w:cstheme="minorHAnsi"/>
          <w:bCs/>
          <w:sz w:val="26"/>
          <w:szCs w:val="26"/>
        </w:rPr>
        <w:t xml:space="preserve">- </w:t>
      </w:r>
      <w:r w:rsidR="007A2CDD">
        <w:rPr>
          <w:rFonts w:asciiTheme="minorHAnsi" w:hAnsiTheme="minorHAnsi" w:cstheme="minorHAnsi"/>
          <w:bCs/>
          <w:sz w:val="26"/>
          <w:szCs w:val="26"/>
        </w:rPr>
        <w:t>„</w:t>
      </w:r>
      <w:r>
        <w:rPr>
          <w:rFonts w:asciiTheme="minorHAnsi" w:hAnsiTheme="minorHAnsi" w:cstheme="minorHAnsi"/>
          <w:bCs/>
          <w:sz w:val="26"/>
          <w:szCs w:val="26"/>
        </w:rPr>
        <w:t xml:space="preserve">Îmbunătățirea digitalizării la nivelul Consiliului Superior al Magistraturii” </w:t>
      </w:r>
      <w:r w:rsidR="001E267A">
        <w:rPr>
          <w:rFonts w:asciiTheme="minorHAnsi" w:hAnsiTheme="minorHAnsi" w:cstheme="minorHAnsi"/>
          <w:bCs/>
          <w:sz w:val="26"/>
          <w:szCs w:val="26"/>
        </w:rPr>
        <w:t>î</w:t>
      </w:r>
      <w:r>
        <w:rPr>
          <w:rFonts w:asciiTheme="minorHAnsi" w:hAnsiTheme="minorHAnsi" w:cstheme="minorHAnsi"/>
          <w:bCs/>
          <w:sz w:val="26"/>
          <w:szCs w:val="26"/>
        </w:rPr>
        <w:t xml:space="preserve">n cadrul Mecanismului de Redresare și Reziliență, în cadrul Componentei 7 – </w:t>
      </w:r>
      <w:r w:rsidR="007A2CDD">
        <w:rPr>
          <w:rFonts w:asciiTheme="minorHAnsi" w:hAnsiTheme="minorHAnsi" w:cstheme="minorHAnsi"/>
          <w:bCs/>
          <w:sz w:val="26"/>
          <w:szCs w:val="26"/>
        </w:rPr>
        <w:t>„</w:t>
      </w:r>
      <w:r>
        <w:rPr>
          <w:rFonts w:asciiTheme="minorHAnsi" w:hAnsiTheme="minorHAnsi" w:cstheme="minorHAnsi"/>
          <w:bCs/>
          <w:sz w:val="26"/>
          <w:szCs w:val="26"/>
        </w:rPr>
        <w:t xml:space="preserve">Transformare digitală”, Investiția 4 </w:t>
      </w:r>
      <w:r w:rsidR="007A2CDD">
        <w:rPr>
          <w:rFonts w:asciiTheme="minorHAnsi" w:hAnsiTheme="minorHAnsi" w:cstheme="minorHAnsi"/>
          <w:bCs/>
          <w:sz w:val="26"/>
          <w:szCs w:val="26"/>
        </w:rPr>
        <w:t>„</w:t>
      </w:r>
      <w:r>
        <w:rPr>
          <w:rFonts w:asciiTheme="minorHAnsi" w:hAnsiTheme="minorHAnsi" w:cstheme="minorHAnsi"/>
          <w:bCs/>
          <w:sz w:val="26"/>
          <w:szCs w:val="26"/>
        </w:rPr>
        <w:t>Digitalizarea sistemului judiciar” din Planul Național de Redresare și Reziliență.</w:t>
      </w:r>
    </w:p>
    <w:p w14:paraId="4AC1FE14" w14:textId="13A4C40E" w:rsidR="005C7EB9" w:rsidRPr="005C7EB9" w:rsidRDefault="000B639A" w:rsidP="005C7EB9">
      <w:pPr>
        <w:pStyle w:val="Heading2"/>
        <w:keepNext w:val="0"/>
        <w:keepLines w:val="0"/>
        <w:suppressLineNumbers/>
        <w:suppressAutoHyphens/>
        <w:rPr>
          <w:rFonts w:cstheme="minorHAnsi"/>
          <w:color w:val="auto"/>
          <w:lang w:val="ro-RO"/>
        </w:rPr>
      </w:pPr>
      <w:bookmarkStart w:id="177" w:name="_Toc219287988"/>
      <w:r w:rsidRPr="001C2FDA">
        <w:rPr>
          <w:rFonts w:cstheme="minorHAnsi"/>
          <w:color w:val="auto"/>
          <w:lang w:val="ro-RO"/>
        </w:rPr>
        <w:t xml:space="preserve">VI.9. </w:t>
      </w:r>
      <w:r w:rsidR="006C1588" w:rsidRPr="001C2FDA">
        <w:rPr>
          <w:rFonts w:cstheme="minorHAnsi"/>
          <w:color w:val="auto"/>
          <w:lang w:val="ro-RO"/>
        </w:rPr>
        <w:t>Activitatea Serviciului informatică</w:t>
      </w:r>
      <w:bookmarkEnd w:id="175"/>
      <w:r w:rsidR="006C1588" w:rsidRPr="001C2FDA">
        <w:rPr>
          <w:rFonts w:cstheme="minorHAnsi"/>
          <w:color w:val="auto"/>
          <w:lang w:val="ro-RO"/>
        </w:rPr>
        <w:t xml:space="preserve"> şi statistică judiciară</w:t>
      </w:r>
      <w:bookmarkEnd w:id="177"/>
    </w:p>
    <w:p w14:paraId="6BA72476" w14:textId="5345EC3C" w:rsidR="005C7EB9" w:rsidRDefault="005C7EB9" w:rsidP="005C7EB9">
      <w:pPr>
        <w:pStyle w:val="Heading3"/>
        <w:keepNext w:val="0"/>
        <w:keepLines w:val="0"/>
        <w:suppressLineNumbers/>
        <w:suppressAutoHyphens/>
        <w:rPr>
          <w:rFonts w:cstheme="minorHAnsi"/>
          <w:color w:val="auto"/>
          <w:szCs w:val="26"/>
        </w:rPr>
      </w:pPr>
      <w:bookmarkStart w:id="178" w:name="_Toc219287989"/>
      <w:r w:rsidRPr="000F0D8B">
        <w:rPr>
          <w:rFonts w:cstheme="minorHAnsi"/>
          <w:color w:val="auto"/>
          <w:szCs w:val="26"/>
        </w:rPr>
        <w:t>VI.9.1. Activitatea Compartimentului statistică judiciară</w:t>
      </w:r>
      <w:bookmarkEnd w:id="178"/>
    </w:p>
    <w:p w14:paraId="3DA062B5" w14:textId="6E6111EA" w:rsidR="00954952" w:rsidRPr="00B41651" w:rsidRDefault="005F0015" w:rsidP="005C7EB9">
      <w:pPr>
        <w:spacing w:line="276" w:lineRule="auto"/>
        <w:ind w:firstLine="720"/>
        <w:jc w:val="both"/>
        <w:rPr>
          <w:rFonts w:asciiTheme="minorHAnsi" w:hAnsiTheme="minorHAnsi" w:cstheme="minorHAnsi"/>
          <w:sz w:val="26"/>
          <w:szCs w:val="26"/>
          <w:lang w:val="pt-PT"/>
        </w:rPr>
      </w:pPr>
      <w:r w:rsidRPr="00B41651">
        <w:rPr>
          <w:rFonts w:asciiTheme="minorHAnsi" w:hAnsiTheme="minorHAnsi" w:cstheme="minorHAnsi"/>
          <w:sz w:val="26"/>
          <w:szCs w:val="26"/>
          <w:lang w:val="pt-PT"/>
        </w:rPr>
        <w:t xml:space="preserve">În anul 2025, la nivelul Compartimentului de Statistică Judiciară au fost consemnate un număr de </w:t>
      </w:r>
      <w:r w:rsidR="000170EF" w:rsidRPr="00B41651">
        <w:rPr>
          <w:rFonts w:asciiTheme="minorHAnsi" w:hAnsiTheme="minorHAnsi" w:cstheme="minorHAnsi"/>
          <w:sz w:val="26"/>
          <w:szCs w:val="26"/>
          <w:lang w:val="pt-PT"/>
        </w:rPr>
        <w:t>30</w:t>
      </w:r>
      <w:r w:rsidRPr="00B41651">
        <w:rPr>
          <w:rFonts w:asciiTheme="minorHAnsi" w:hAnsiTheme="minorHAnsi" w:cstheme="minorHAnsi"/>
          <w:sz w:val="26"/>
          <w:szCs w:val="26"/>
          <w:lang w:val="pt-PT"/>
        </w:rPr>
        <w:t xml:space="preserve"> de lucrări cu număr propriu de Compartiment și </w:t>
      </w:r>
      <w:r w:rsidR="000170EF" w:rsidRPr="00B41651">
        <w:rPr>
          <w:rFonts w:asciiTheme="minorHAnsi" w:hAnsiTheme="minorHAnsi" w:cstheme="minorHAnsi"/>
          <w:sz w:val="26"/>
          <w:szCs w:val="26"/>
          <w:lang w:val="pt-PT"/>
        </w:rPr>
        <w:t>357</w:t>
      </w:r>
      <w:r w:rsidRPr="00B41651">
        <w:rPr>
          <w:rFonts w:asciiTheme="minorHAnsi" w:hAnsiTheme="minorHAnsi" w:cstheme="minorHAnsi"/>
          <w:sz w:val="26"/>
          <w:szCs w:val="26"/>
          <w:lang w:val="pt-PT"/>
        </w:rPr>
        <w:t xml:space="preserve"> de lucrări cu număr comun de Serviciu în EMAP – Registry, fiind acordat totodată sprijin compartimentelor din cadrul aparatului propriu pentru furnizarea datelor statistice necesare în lucrările acestora. </w:t>
      </w:r>
    </w:p>
    <w:p w14:paraId="597FA33F" w14:textId="1A8D6675" w:rsidR="005F0015" w:rsidRPr="001C2FDA" w:rsidRDefault="005F0015" w:rsidP="005C7EB9">
      <w:pPr>
        <w:spacing w:line="276" w:lineRule="auto"/>
        <w:ind w:firstLine="720"/>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Au fost desfășurate activități de statistică judiciară vizând în principal următoarele direcții:</w:t>
      </w:r>
    </w:p>
    <w:p w14:paraId="10A699A2" w14:textId="3E2A5163" w:rsidR="005F0015" w:rsidRPr="001C2FDA" w:rsidRDefault="005F0015" w:rsidP="005C7EB9">
      <w:pPr>
        <w:tabs>
          <w:tab w:val="left" w:pos="270"/>
        </w:tabs>
        <w:spacing w:line="276" w:lineRule="auto"/>
        <w:ind w:firstLine="540"/>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w:t>
      </w:r>
      <w:r w:rsidRPr="001C2FDA">
        <w:rPr>
          <w:rFonts w:asciiTheme="minorHAnsi" w:hAnsiTheme="minorHAnsi" w:cstheme="minorHAnsi"/>
          <w:sz w:val="26"/>
          <w:szCs w:val="26"/>
          <w:lang w:val="pt-PT"/>
        </w:rPr>
        <w:tab/>
        <w:t>coordonarea mentenanței și funcționalității aplicației de statistică judiciară Statis - Central, inclusiv pentru rapoartele privind aspectele calitative ale muncii judecătorilor (încărcătura pe judecător sau grefier, agregarea atributelor statistice</w:t>
      </w:r>
      <w:r w:rsidR="00954952">
        <w:rPr>
          <w:rFonts w:asciiTheme="minorHAnsi" w:hAnsiTheme="minorHAnsi" w:cstheme="minorHAnsi"/>
          <w:sz w:val="26"/>
          <w:szCs w:val="26"/>
          <w:lang w:val="pt-PT"/>
        </w:rPr>
        <w:t xml:space="preserve"> </w:t>
      </w:r>
      <w:r w:rsidRPr="001C2FDA">
        <w:rPr>
          <w:rFonts w:asciiTheme="minorHAnsi" w:hAnsiTheme="minorHAnsi" w:cstheme="minorHAnsi"/>
          <w:sz w:val="26"/>
          <w:szCs w:val="26"/>
          <w:lang w:val="pt-PT"/>
        </w:rPr>
        <w:t>etc);</w:t>
      </w:r>
    </w:p>
    <w:p w14:paraId="626084FC" w14:textId="08BCE4BB" w:rsidR="005F0015" w:rsidRPr="001C2FDA" w:rsidRDefault="005F0015" w:rsidP="005C7EB9">
      <w:pPr>
        <w:tabs>
          <w:tab w:val="left" w:pos="270"/>
        </w:tabs>
        <w:spacing w:line="276" w:lineRule="auto"/>
        <w:ind w:firstLine="540"/>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w:t>
      </w:r>
      <w:r w:rsidRPr="001C2FDA">
        <w:rPr>
          <w:rFonts w:asciiTheme="minorHAnsi" w:hAnsiTheme="minorHAnsi" w:cstheme="minorHAnsi"/>
          <w:sz w:val="26"/>
          <w:szCs w:val="26"/>
          <w:lang w:val="pt-PT"/>
        </w:rPr>
        <w:tab/>
        <w:t>coordonarea mentenanței modulului Executări penale din Statis astfel încât să ofere date dezagregate pe sexe, vârstă (majori/minori) și cetățenie (rom</w:t>
      </w:r>
      <w:r w:rsidR="00954952">
        <w:rPr>
          <w:rFonts w:asciiTheme="minorHAnsi" w:hAnsiTheme="minorHAnsi" w:cstheme="minorHAnsi"/>
          <w:sz w:val="26"/>
          <w:szCs w:val="26"/>
          <w:lang w:val="pt-PT"/>
        </w:rPr>
        <w:t>â</w:t>
      </w:r>
      <w:r w:rsidRPr="001C2FDA">
        <w:rPr>
          <w:rFonts w:asciiTheme="minorHAnsi" w:hAnsiTheme="minorHAnsi" w:cstheme="minorHAnsi"/>
          <w:sz w:val="26"/>
          <w:szCs w:val="26"/>
          <w:lang w:val="pt-PT"/>
        </w:rPr>
        <w:t>nă/străină) şi alte criterii secundare cum ar fi recidiva, antecedentele penale etc.;</w:t>
      </w:r>
    </w:p>
    <w:p w14:paraId="2BDAAD09" w14:textId="2F1FF017" w:rsidR="005F0015" w:rsidRPr="001C2FDA" w:rsidRDefault="005F0015" w:rsidP="005C7EB9">
      <w:pPr>
        <w:tabs>
          <w:tab w:val="left" w:pos="270"/>
        </w:tabs>
        <w:spacing w:line="276" w:lineRule="auto"/>
        <w:ind w:firstLine="540"/>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w:t>
      </w:r>
      <w:r w:rsidRPr="001C2FDA">
        <w:rPr>
          <w:rFonts w:asciiTheme="minorHAnsi" w:hAnsiTheme="minorHAnsi" w:cstheme="minorHAnsi"/>
          <w:sz w:val="26"/>
          <w:szCs w:val="26"/>
          <w:lang w:val="pt-PT"/>
        </w:rPr>
        <w:tab/>
        <w:t>coordonarea mentenanței funcționalității</w:t>
      </w:r>
      <w:r w:rsidR="00954952">
        <w:rPr>
          <w:rFonts w:asciiTheme="minorHAnsi" w:hAnsiTheme="minorHAnsi" w:cstheme="minorHAnsi"/>
          <w:sz w:val="26"/>
          <w:szCs w:val="26"/>
          <w:lang w:val="pt-PT"/>
        </w:rPr>
        <w:t xml:space="preserve"> </w:t>
      </w:r>
      <w:r w:rsidRPr="001C2FDA">
        <w:rPr>
          <w:rFonts w:asciiTheme="minorHAnsi" w:hAnsiTheme="minorHAnsi" w:cstheme="minorHAnsi"/>
          <w:sz w:val="26"/>
          <w:szCs w:val="26"/>
          <w:lang w:val="pt-PT"/>
        </w:rPr>
        <w:t>aplicațiilor</w:t>
      </w:r>
      <w:r w:rsidR="00954952">
        <w:rPr>
          <w:rFonts w:asciiTheme="minorHAnsi" w:hAnsiTheme="minorHAnsi" w:cstheme="minorHAnsi"/>
          <w:sz w:val="26"/>
          <w:szCs w:val="26"/>
          <w:lang w:val="pt-PT"/>
        </w:rPr>
        <w:t xml:space="preserve"> </w:t>
      </w:r>
      <w:r w:rsidRPr="001C2FDA">
        <w:rPr>
          <w:rFonts w:asciiTheme="minorHAnsi" w:hAnsiTheme="minorHAnsi" w:cstheme="minorHAnsi"/>
          <w:sz w:val="26"/>
          <w:szCs w:val="26"/>
          <w:lang w:val="pt-PT"/>
        </w:rPr>
        <w:t>Statis Semicentral pentru curțile de apel și instanțele arondate, precum și a celei pentru Înalta Curte de Casație și Justiție, de așa natură încât, pe lângă pilonul Statis - Central, fiecare curte de apel (pentru sine și pentru instanțele din subordine) să poată să își actualizeze datele statistice săptămânal, rămânând ca Statis - Central să centralizeze</w:t>
      </w:r>
      <w:r w:rsidR="008169D7">
        <w:rPr>
          <w:rFonts w:asciiTheme="minorHAnsi" w:hAnsiTheme="minorHAnsi" w:cstheme="minorHAnsi"/>
          <w:sz w:val="26"/>
          <w:szCs w:val="26"/>
          <w:lang w:val="pt-PT"/>
        </w:rPr>
        <w:t xml:space="preserve"> trimestrial</w:t>
      </w:r>
      <w:r w:rsidRPr="001C2FDA">
        <w:rPr>
          <w:rFonts w:asciiTheme="minorHAnsi" w:hAnsiTheme="minorHAnsi" w:cstheme="minorHAnsi"/>
          <w:sz w:val="26"/>
          <w:szCs w:val="26"/>
          <w:lang w:val="pt-PT"/>
        </w:rPr>
        <w:t xml:space="preserve"> datele naționale;</w:t>
      </w:r>
    </w:p>
    <w:p w14:paraId="7F2D04E9" w14:textId="77777777" w:rsidR="005F0015" w:rsidRPr="001C2FDA" w:rsidRDefault="005F0015" w:rsidP="005C7EB9">
      <w:pPr>
        <w:tabs>
          <w:tab w:val="left" w:pos="270"/>
        </w:tabs>
        <w:spacing w:line="276" w:lineRule="auto"/>
        <w:ind w:firstLine="540"/>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w:t>
      </w:r>
      <w:r w:rsidRPr="001C2FDA">
        <w:rPr>
          <w:rFonts w:asciiTheme="minorHAnsi" w:hAnsiTheme="minorHAnsi" w:cstheme="minorHAnsi"/>
          <w:sz w:val="26"/>
          <w:szCs w:val="26"/>
          <w:lang w:val="pt-PT"/>
        </w:rPr>
        <w:tab/>
        <w:t xml:space="preserve">testarea rapoartelor statistice și generarea de date statistice din noua aplicație statistică (Statis.Rejust.ro) dezvoltată la nivelul Consiliului și construită pe o arhitectură modernizată și inovatoare, menită să optimizeze procesele de colectare, analiză și raportare a datelor statistice judiciare; </w:t>
      </w:r>
    </w:p>
    <w:p w14:paraId="7D226C41" w14:textId="63EB084D" w:rsidR="005F0015" w:rsidRPr="001C2FDA" w:rsidRDefault="005F0015" w:rsidP="005C7EB9">
      <w:pPr>
        <w:tabs>
          <w:tab w:val="left" w:pos="270"/>
        </w:tabs>
        <w:spacing w:line="276" w:lineRule="auto"/>
        <w:ind w:firstLine="540"/>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w:t>
      </w:r>
      <w:r w:rsidRPr="001C2FDA">
        <w:rPr>
          <w:rFonts w:asciiTheme="minorHAnsi" w:hAnsiTheme="minorHAnsi" w:cstheme="minorHAnsi"/>
          <w:sz w:val="26"/>
          <w:szCs w:val="26"/>
          <w:lang w:val="pt-PT"/>
        </w:rPr>
        <w:tab/>
        <w:t>generarea, analiza, verificarea şi centralizarea datelor statistice care au servit la fundamentarea deciziilor luate de C</w:t>
      </w:r>
      <w:r w:rsidR="008973D3">
        <w:rPr>
          <w:rFonts w:asciiTheme="minorHAnsi" w:hAnsiTheme="minorHAnsi" w:cstheme="minorHAnsi"/>
          <w:sz w:val="26"/>
          <w:szCs w:val="26"/>
          <w:lang w:val="pt-PT"/>
        </w:rPr>
        <w:t xml:space="preserve">.S.M. </w:t>
      </w:r>
      <w:r w:rsidRPr="001C2FDA">
        <w:rPr>
          <w:rFonts w:asciiTheme="minorHAnsi" w:hAnsiTheme="minorHAnsi" w:cstheme="minorHAnsi"/>
          <w:sz w:val="26"/>
          <w:szCs w:val="26"/>
          <w:lang w:val="pt-PT"/>
        </w:rPr>
        <w:t>în demersuri ca acelea privind raționalizarea unor instanțe şi parchete, echilibrarea schemelor de personal, transferuri sau detașări, organizarea de concursuri de admitere la I</w:t>
      </w:r>
      <w:r w:rsidR="008973D3">
        <w:rPr>
          <w:rFonts w:asciiTheme="minorHAnsi" w:hAnsiTheme="minorHAnsi" w:cstheme="minorHAnsi"/>
          <w:sz w:val="26"/>
          <w:szCs w:val="26"/>
          <w:lang w:val="pt-PT"/>
        </w:rPr>
        <w:t xml:space="preserve">.N.M. </w:t>
      </w:r>
      <w:r w:rsidRPr="001C2FDA">
        <w:rPr>
          <w:rFonts w:asciiTheme="minorHAnsi" w:hAnsiTheme="minorHAnsi" w:cstheme="minorHAnsi"/>
          <w:sz w:val="26"/>
          <w:szCs w:val="26"/>
          <w:lang w:val="pt-PT"/>
        </w:rPr>
        <w:t>sau în magistratură etc.;</w:t>
      </w:r>
    </w:p>
    <w:p w14:paraId="2CA00582" w14:textId="1628FC20" w:rsidR="005F0015" w:rsidRPr="001C2FDA" w:rsidRDefault="005F0015" w:rsidP="005C7EB9">
      <w:pPr>
        <w:tabs>
          <w:tab w:val="left" w:pos="270"/>
        </w:tabs>
        <w:spacing w:line="276" w:lineRule="auto"/>
        <w:ind w:firstLine="540"/>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w:t>
      </w:r>
      <w:r w:rsidRPr="001C2FDA">
        <w:rPr>
          <w:rFonts w:asciiTheme="minorHAnsi" w:hAnsiTheme="minorHAnsi" w:cstheme="minorHAnsi"/>
          <w:sz w:val="26"/>
          <w:szCs w:val="26"/>
          <w:lang w:val="pt-PT"/>
        </w:rPr>
        <w:tab/>
        <w:t>întocmire</w:t>
      </w:r>
      <w:r w:rsidR="00D11B19">
        <w:rPr>
          <w:rFonts w:asciiTheme="minorHAnsi" w:hAnsiTheme="minorHAnsi" w:cstheme="minorHAnsi"/>
          <w:sz w:val="26"/>
          <w:szCs w:val="26"/>
          <w:lang w:val="pt-PT"/>
        </w:rPr>
        <w:t>a</w:t>
      </w:r>
      <w:r w:rsidRPr="001C2FDA">
        <w:rPr>
          <w:rFonts w:asciiTheme="minorHAnsi" w:hAnsiTheme="minorHAnsi" w:cstheme="minorHAnsi"/>
          <w:sz w:val="26"/>
          <w:szCs w:val="26"/>
          <w:lang w:val="pt-PT"/>
        </w:rPr>
        <w:t xml:space="preserve"> raport</w:t>
      </w:r>
      <w:r w:rsidR="00D11B19">
        <w:rPr>
          <w:rFonts w:asciiTheme="minorHAnsi" w:hAnsiTheme="minorHAnsi" w:cstheme="minorHAnsi"/>
          <w:sz w:val="26"/>
          <w:szCs w:val="26"/>
          <w:lang w:val="pt-PT"/>
        </w:rPr>
        <w:t>ului</w:t>
      </w:r>
      <w:r w:rsidRPr="001C2FDA">
        <w:rPr>
          <w:rFonts w:asciiTheme="minorHAnsi" w:hAnsiTheme="minorHAnsi" w:cstheme="minorHAnsi"/>
          <w:sz w:val="26"/>
          <w:szCs w:val="26"/>
          <w:lang w:val="pt-PT"/>
        </w:rPr>
        <w:t xml:space="preserve"> anual de activitate pentru instanțe şi parchete, ca parte integrantă a Raportului privind Starea Justiţiei;</w:t>
      </w:r>
    </w:p>
    <w:p w14:paraId="12000480" w14:textId="77777777" w:rsidR="005F0015" w:rsidRPr="001C2FDA" w:rsidRDefault="005F0015" w:rsidP="005C7EB9">
      <w:pPr>
        <w:tabs>
          <w:tab w:val="left" w:pos="270"/>
        </w:tabs>
        <w:spacing w:line="276" w:lineRule="auto"/>
        <w:ind w:firstLine="540"/>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lastRenderedPageBreak/>
        <w:t>-</w:t>
      </w:r>
      <w:r w:rsidRPr="001C2FDA">
        <w:rPr>
          <w:rFonts w:asciiTheme="minorHAnsi" w:hAnsiTheme="minorHAnsi" w:cstheme="minorHAnsi"/>
          <w:sz w:val="26"/>
          <w:szCs w:val="26"/>
          <w:lang w:val="pt-PT"/>
        </w:rPr>
        <w:tab/>
        <w:t>furnizarea de date statistice către Direcţia Afaceri Europene, Relaţii Internaţionale şi Programe în vederea întocmirii raportării statistice anuale pentru C.E.P.E.J.;</w:t>
      </w:r>
    </w:p>
    <w:p w14:paraId="25B965CA" w14:textId="6EA91002" w:rsidR="005F0015" w:rsidRPr="001C2FDA" w:rsidRDefault="005F0015" w:rsidP="005C7EB9">
      <w:pPr>
        <w:tabs>
          <w:tab w:val="left" w:pos="270"/>
        </w:tabs>
        <w:spacing w:line="276" w:lineRule="auto"/>
        <w:ind w:firstLine="540"/>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w:t>
      </w:r>
      <w:r w:rsidRPr="001C2FDA">
        <w:rPr>
          <w:rFonts w:asciiTheme="minorHAnsi" w:hAnsiTheme="minorHAnsi" w:cstheme="minorHAnsi"/>
          <w:sz w:val="26"/>
          <w:szCs w:val="26"/>
          <w:lang w:val="pt-PT"/>
        </w:rPr>
        <w:tab/>
        <w:t>participarea la reuniunile internaționale de lucru ale corespondenților naționali C.E.P.E.J. din statele membre ale Consiliului Europei, observatoare sau în colaborare cu Co</w:t>
      </w:r>
      <w:r w:rsidR="00AF3072">
        <w:rPr>
          <w:rFonts w:asciiTheme="minorHAnsi" w:hAnsiTheme="minorHAnsi" w:cstheme="minorHAnsi"/>
          <w:sz w:val="26"/>
          <w:szCs w:val="26"/>
          <w:lang w:val="pt-PT"/>
        </w:rPr>
        <w:t>.</w:t>
      </w:r>
      <w:r w:rsidRPr="001C2FDA">
        <w:rPr>
          <w:rFonts w:asciiTheme="minorHAnsi" w:hAnsiTheme="minorHAnsi" w:cstheme="minorHAnsi"/>
          <w:sz w:val="26"/>
          <w:szCs w:val="26"/>
          <w:lang w:val="pt-PT"/>
        </w:rPr>
        <w:t>E</w:t>
      </w:r>
      <w:r w:rsidR="00AF3072">
        <w:rPr>
          <w:rFonts w:asciiTheme="minorHAnsi" w:hAnsiTheme="minorHAnsi" w:cstheme="minorHAnsi"/>
          <w:sz w:val="26"/>
          <w:szCs w:val="26"/>
          <w:lang w:val="pt-PT"/>
        </w:rPr>
        <w:t>.</w:t>
      </w:r>
      <w:r w:rsidRPr="001C2FDA">
        <w:rPr>
          <w:rFonts w:asciiTheme="minorHAnsi" w:hAnsiTheme="minorHAnsi" w:cstheme="minorHAnsi"/>
          <w:sz w:val="26"/>
          <w:szCs w:val="26"/>
          <w:lang w:val="pt-PT"/>
        </w:rPr>
        <w:t>, în vederea unificării metodologiei de raportare statistică și a armonizării conceptelor de statistică judiciară cu cele din metodologia C.E.P.E.J. de colectare a datelor statistice naționale;</w:t>
      </w:r>
    </w:p>
    <w:p w14:paraId="5482AE34" w14:textId="5965C839" w:rsidR="005F0015" w:rsidRPr="001C2FDA" w:rsidRDefault="005F0015" w:rsidP="005C7EB9">
      <w:pPr>
        <w:tabs>
          <w:tab w:val="left" w:pos="270"/>
        </w:tabs>
        <w:spacing w:line="276" w:lineRule="auto"/>
        <w:ind w:firstLine="540"/>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w:t>
      </w:r>
      <w:r w:rsidRPr="001C2FDA">
        <w:rPr>
          <w:rFonts w:asciiTheme="minorHAnsi" w:hAnsiTheme="minorHAnsi" w:cstheme="minorHAnsi"/>
          <w:sz w:val="26"/>
          <w:szCs w:val="26"/>
          <w:lang w:val="pt-PT"/>
        </w:rPr>
        <w:tab/>
        <w:t>furnizare</w:t>
      </w:r>
      <w:r w:rsidR="007F19AD">
        <w:rPr>
          <w:rFonts w:asciiTheme="minorHAnsi" w:hAnsiTheme="minorHAnsi" w:cstheme="minorHAnsi"/>
          <w:sz w:val="26"/>
          <w:szCs w:val="26"/>
          <w:lang w:val="pt-PT"/>
        </w:rPr>
        <w:t>a</w:t>
      </w:r>
      <w:r w:rsidRPr="001C2FDA">
        <w:rPr>
          <w:rFonts w:asciiTheme="minorHAnsi" w:hAnsiTheme="minorHAnsi" w:cstheme="minorHAnsi"/>
          <w:sz w:val="26"/>
          <w:szCs w:val="26"/>
          <w:lang w:val="pt-PT"/>
        </w:rPr>
        <w:t xml:space="preserve"> de date statistice compartimentelor din cadrul C</w:t>
      </w:r>
      <w:r w:rsidR="008973D3">
        <w:rPr>
          <w:rFonts w:asciiTheme="minorHAnsi" w:hAnsiTheme="minorHAnsi" w:cstheme="minorHAnsi"/>
          <w:sz w:val="26"/>
          <w:szCs w:val="26"/>
          <w:lang w:val="pt-PT"/>
        </w:rPr>
        <w:t xml:space="preserve">.S.M. </w:t>
      </w:r>
      <w:r w:rsidRPr="001C2FDA">
        <w:rPr>
          <w:rFonts w:asciiTheme="minorHAnsi" w:hAnsiTheme="minorHAnsi" w:cstheme="minorHAnsi"/>
          <w:sz w:val="26"/>
          <w:szCs w:val="26"/>
          <w:lang w:val="pt-PT"/>
        </w:rPr>
        <w:t>pentru fundamentarea punctelor de vedere și a notelor proprii întocmite;</w:t>
      </w:r>
    </w:p>
    <w:p w14:paraId="3461E718" w14:textId="77777777" w:rsidR="005F0015" w:rsidRPr="001C2FDA" w:rsidRDefault="005F0015" w:rsidP="005C7EB9">
      <w:pPr>
        <w:tabs>
          <w:tab w:val="left" w:pos="270"/>
        </w:tabs>
        <w:spacing w:line="276" w:lineRule="auto"/>
        <w:ind w:firstLine="540"/>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w:t>
      </w:r>
      <w:r w:rsidRPr="001C2FDA">
        <w:rPr>
          <w:rFonts w:asciiTheme="minorHAnsi" w:hAnsiTheme="minorHAnsi" w:cstheme="minorHAnsi"/>
          <w:sz w:val="26"/>
          <w:szCs w:val="26"/>
          <w:lang w:val="pt-PT"/>
        </w:rPr>
        <w:tab/>
        <w:t>diverse circulare către instanțele naționale cu referire la funcționarea modulelor aplicației de statistică judicară Statis - Ecris și la actualizările ori aspectele de noutate apărute în exploatarea aplicației;</w:t>
      </w:r>
    </w:p>
    <w:p w14:paraId="2AEB5445" w14:textId="48BC1651" w:rsidR="005F0015" w:rsidRPr="001C2FDA" w:rsidRDefault="005F0015" w:rsidP="005C7EB9">
      <w:pPr>
        <w:tabs>
          <w:tab w:val="left" w:pos="270"/>
        </w:tabs>
        <w:spacing w:line="276" w:lineRule="auto"/>
        <w:ind w:firstLine="540"/>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w:t>
      </w:r>
      <w:r w:rsidRPr="001C2FDA">
        <w:rPr>
          <w:rFonts w:asciiTheme="minorHAnsi" w:hAnsiTheme="minorHAnsi" w:cstheme="minorHAnsi"/>
          <w:sz w:val="26"/>
          <w:szCs w:val="26"/>
          <w:lang w:val="pt-PT"/>
        </w:rPr>
        <w:tab/>
        <w:t>diverse analize şi sesizări transmise Direcției Tehnologia Informației din cadrul M</w:t>
      </w:r>
      <w:r w:rsidR="00230DF5">
        <w:rPr>
          <w:rFonts w:asciiTheme="minorHAnsi" w:hAnsiTheme="minorHAnsi" w:cstheme="minorHAnsi"/>
          <w:sz w:val="26"/>
          <w:szCs w:val="26"/>
          <w:lang w:val="pt-PT"/>
        </w:rPr>
        <w:t>inisterului Justiției</w:t>
      </w:r>
      <w:r w:rsidRPr="001C2FDA">
        <w:rPr>
          <w:rFonts w:asciiTheme="minorHAnsi" w:hAnsiTheme="minorHAnsi" w:cstheme="minorHAnsi"/>
          <w:sz w:val="26"/>
          <w:szCs w:val="26"/>
          <w:lang w:val="pt-PT"/>
        </w:rPr>
        <w:t>;</w:t>
      </w:r>
    </w:p>
    <w:p w14:paraId="210C98A9" w14:textId="3BC0F5B7" w:rsidR="005F0015" w:rsidRPr="001C2FDA" w:rsidRDefault="005F0015" w:rsidP="005C7EB9">
      <w:pPr>
        <w:tabs>
          <w:tab w:val="left" w:pos="270"/>
        </w:tabs>
        <w:spacing w:line="276" w:lineRule="auto"/>
        <w:ind w:firstLine="540"/>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w:t>
      </w:r>
      <w:r w:rsidRPr="001C2FDA">
        <w:rPr>
          <w:rFonts w:asciiTheme="minorHAnsi" w:hAnsiTheme="minorHAnsi" w:cstheme="minorHAnsi"/>
          <w:sz w:val="26"/>
          <w:szCs w:val="26"/>
          <w:lang w:val="pt-PT"/>
        </w:rPr>
        <w:tab/>
        <w:t xml:space="preserve">diverse analize şi date statistice transmise la solicitarea cabinetelor membrilor </w:t>
      </w:r>
      <w:r w:rsidR="00DB5238" w:rsidRPr="001C2FDA">
        <w:rPr>
          <w:rFonts w:asciiTheme="minorHAnsi" w:hAnsiTheme="minorHAnsi" w:cstheme="minorHAnsi"/>
          <w:sz w:val="26"/>
          <w:szCs w:val="26"/>
          <w:lang w:val="pt-PT"/>
        </w:rPr>
        <w:t>C</w:t>
      </w:r>
      <w:r w:rsidR="008973D3">
        <w:rPr>
          <w:rFonts w:asciiTheme="minorHAnsi" w:hAnsiTheme="minorHAnsi" w:cstheme="minorHAnsi"/>
          <w:sz w:val="26"/>
          <w:szCs w:val="26"/>
          <w:lang w:val="pt-PT"/>
        </w:rPr>
        <w:t>.S.M.</w:t>
      </w:r>
      <w:r w:rsidRPr="001C2FDA">
        <w:rPr>
          <w:rFonts w:asciiTheme="minorHAnsi" w:hAnsiTheme="minorHAnsi" w:cstheme="minorHAnsi"/>
          <w:sz w:val="26"/>
          <w:szCs w:val="26"/>
          <w:lang w:val="pt-PT"/>
        </w:rPr>
        <w:t>;</w:t>
      </w:r>
    </w:p>
    <w:p w14:paraId="7B494AB5" w14:textId="6B68EEF7" w:rsidR="005F0015" w:rsidRPr="001C2FDA" w:rsidRDefault="005F0015" w:rsidP="005C7EB9">
      <w:pPr>
        <w:tabs>
          <w:tab w:val="left" w:pos="270"/>
        </w:tabs>
        <w:spacing w:line="276" w:lineRule="auto"/>
        <w:ind w:firstLine="540"/>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w:t>
      </w:r>
      <w:r w:rsidRPr="001C2FDA">
        <w:rPr>
          <w:rFonts w:asciiTheme="minorHAnsi" w:hAnsiTheme="minorHAnsi" w:cstheme="minorHAnsi"/>
          <w:sz w:val="26"/>
          <w:szCs w:val="26"/>
          <w:lang w:val="pt-PT"/>
        </w:rPr>
        <w:tab/>
        <w:t>furnizare</w:t>
      </w:r>
      <w:r w:rsidR="007F19AD">
        <w:rPr>
          <w:rFonts w:asciiTheme="minorHAnsi" w:hAnsiTheme="minorHAnsi" w:cstheme="minorHAnsi"/>
          <w:sz w:val="26"/>
          <w:szCs w:val="26"/>
          <w:lang w:val="pt-PT"/>
        </w:rPr>
        <w:t>a</w:t>
      </w:r>
      <w:r w:rsidRPr="001C2FDA">
        <w:rPr>
          <w:rFonts w:asciiTheme="minorHAnsi" w:hAnsiTheme="minorHAnsi" w:cstheme="minorHAnsi"/>
          <w:sz w:val="26"/>
          <w:szCs w:val="26"/>
          <w:lang w:val="pt-PT"/>
        </w:rPr>
        <w:t xml:space="preserve"> de date statistice pentru D.A.E.R.I.P. şi alte compartimente din </w:t>
      </w:r>
      <w:r w:rsidR="00DB5238">
        <w:rPr>
          <w:rFonts w:asciiTheme="minorHAnsi" w:hAnsiTheme="minorHAnsi" w:cstheme="minorHAnsi"/>
          <w:sz w:val="26"/>
          <w:szCs w:val="26"/>
          <w:lang w:val="pt-PT"/>
        </w:rPr>
        <w:t xml:space="preserve">cadrul </w:t>
      </w:r>
      <w:r w:rsidR="00DB5238" w:rsidRPr="001C2FDA">
        <w:rPr>
          <w:rFonts w:asciiTheme="minorHAnsi" w:hAnsiTheme="minorHAnsi" w:cstheme="minorHAnsi"/>
          <w:sz w:val="26"/>
          <w:szCs w:val="26"/>
          <w:lang w:val="pt-PT"/>
        </w:rPr>
        <w:t>C</w:t>
      </w:r>
      <w:r w:rsidR="008973D3">
        <w:rPr>
          <w:rFonts w:asciiTheme="minorHAnsi" w:hAnsiTheme="minorHAnsi" w:cstheme="minorHAnsi"/>
          <w:sz w:val="26"/>
          <w:szCs w:val="26"/>
          <w:lang w:val="pt-PT"/>
        </w:rPr>
        <w:t xml:space="preserve">.S.M. </w:t>
      </w:r>
      <w:r w:rsidRPr="001C2FDA">
        <w:rPr>
          <w:rFonts w:asciiTheme="minorHAnsi" w:hAnsiTheme="minorHAnsi" w:cstheme="minorHAnsi"/>
          <w:sz w:val="26"/>
          <w:szCs w:val="26"/>
          <w:lang w:val="pt-PT"/>
        </w:rPr>
        <w:t>implicate în derulare</w:t>
      </w:r>
      <w:r w:rsidR="008973D3">
        <w:rPr>
          <w:rFonts w:asciiTheme="minorHAnsi" w:hAnsiTheme="minorHAnsi" w:cstheme="minorHAnsi"/>
          <w:sz w:val="26"/>
          <w:szCs w:val="26"/>
          <w:lang w:val="pt-PT"/>
        </w:rPr>
        <w:t>a</w:t>
      </w:r>
      <w:r w:rsidRPr="001C2FDA">
        <w:rPr>
          <w:rFonts w:asciiTheme="minorHAnsi" w:hAnsiTheme="minorHAnsi" w:cstheme="minorHAnsi"/>
          <w:sz w:val="26"/>
          <w:szCs w:val="26"/>
          <w:lang w:val="pt-PT"/>
        </w:rPr>
        <w:t xml:space="preserve"> de programe de dezvoltare instituţională cu finanţare din fonduri şi granturi europene nerambursabile sau parţial rambursabile;</w:t>
      </w:r>
    </w:p>
    <w:p w14:paraId="45C3EE40" w14:textId="77777777" w:rsidR="005F0015" w:rsidRPr="001C2FDA" w:rsidRDefault="005F0015" w:rsidP="005C7EB9">
      <w:pPr>
        <w:tabs>
          <w:tab w:val="left" w:pos="270"/>
        </w:tabs>
        <w:spacing w:line="276" w:lineRule="auto"/>
        <w:ind w:firstLine="540"/>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w:t>
      </w:r>
      <w:r w:rsidRPr="001C2FDA">
        <w:rPr>
          <w:rFonts w:asciiTheme="minorHAnsi" w:hAnsiTheme="minorHAnsi" w:cstheme="minorHAnsi"/>
          <w:sz w:val="26"/>
          <w:szCs w:val="26"/>
          <w:lang w:val="pt-PT"/>
        </w:rPr>
        <w:tab/>
        <w:t>asigurarea lucrărilor de secretariat și participarea la ședințele Comisiei de aprobare a modificărilor aduse aplicației ECRIS și a celorlalte aplicații din sistemul judiciar;</w:t>
      </w:r>
    </w:p>
    <w:p w14:paraId="0897E7B1" w14:textId="7F064FD9" w:rsidR="005F0015" w:rsidRPr="001C2FDA" w:rsidRDefault="005F0015" w:rsidP="005C7EB9">
      <w:pPr>
        <w:tabs>
          <w:tab w:val="left" w:pos="270"/>
        </w:tabs>
        <w:spacing w:line="276" w:lineRule="auto"/>
        <w:ind w:firstLine="540"/>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w:t>
      </w:r>
      <w:r w:rsidRPr="001C2FDA">
        <w:rPr>
          <w:rFonts w:asciiTheme="minorHAnsi" w:hAnsiTheme="minorHAnsi" w:cstheme="minorHAnsi"/>
          <w:sz w:val="26"/>
          <w:szCs w:val="26"/>
          <w:lang w:val="pt-PT"/>
        </w:rPr>
        <w:tab/>
        <w:t>transmitere</w:t>
      </w:r>
      <w:r w:rsidR="007F19AD">
        <w:rPr>
          <w:rFonts w:asciiTheme="minorHAnsi" w:hAnsiTheme="minorHAnsi" w:cstheme="minorHAnsi"/>
          <w:sz w:val="26"/>
          <w:szCs w:val="26"/>
          <w:lang w:val="pt-PT"/>
        </w:rPr>
        <w:t>a</w:t>
      </w:r>
      <w:r w:rsidRPr="001C2FDA">
        <w:rPr>
          <w:rFonts w:asciiTheme="minorHAnsi" w:hAnsiTheme="minorHAnsi" w:cstheme="minorHAnsi"/>
          <w:sz w:val="26"/>
          <w:szCs w:val="26"/>
          <w:lang w:val="pt-PT"/>
        </w:rPr>
        <w:t xml:space="preserve"> de date statistice la solicitarea diverselor direcții şi departamente din Ministerul Justiției sau Ministerul Afacerilor Externe;</w:t>
      </w:r>
    </w:p>
    <w:p w14:paraId="46A02DFE" w14:textId="30322E25" w:rsidR="005F0015" w:rsidRPr="001C2FDA" w:rsidRDefault="005F0015" w:rsidP="005C7EB9">
      <w:pPr>
        <w:tabs>
          <w:tab w:val="left" w:pos="270"/>
        </w:tabs>
        <w:spacing w:line="276" w:lineRule="auto"/>
        <w:ind w:firstLine="540"/>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w:t>
      </w:r>
      <w:r w:rsidRPr="001C2FDA">
        <w:rPr>
          <w:rFonts w:asciiTheme="minorHAnsi" w:hAnsiTheme="minorHAnsi" w:cstheme="minorHAnsi"/>
          <w:sz w:val="26"/>
          <w:szCs w:val="26"/>
          <w:lang w:val="pt-PT"/>
        </w:rPr>
        <w:tab/>
        <w:t>transmitere</w:t>
      </w:r>
      <w:r w:rsidR="007F19AD">
        <w:rPr>
          <w:rFonts w:asciiTheme="minorHAnsi" w:hAnsiTheme="minorHAnsi" w:cstheme="minorHAnsi"/>
          <w:sz w:val="26"/>
          <w:szCs w:val="26"/>
          <w:lang w:val="pt-PT"/>
        </w:rPr>
        <w:t>a</w:t>
      </w:r>
      <w:r w:rsidRPr="001C2FDA">
        <w:rPr>
          <w:rFonts w:asciiTheme="minorHAnsi" w:hAnsiTheme="minorHAnsi" w:cstheme="minorHAnsi"/>
          <w:sz w:val="26"/>
          <w:szCs w:val="26"/>
          <w:lang w:val="pt-PT"/>
        </w:rPr>
        <w:t xml:space="preserve"> de date statistice către beneficiari externi, persoane fizice și juridice, prin intermediul S.I.P.R.P.M.M.P.D.C.P. sau S.R.P.R.S.A. din cadrul Consiliului;</w:t>
      </w:r>
    </w:p>
    <w:p w14:paraId="0A114810" w14:textId="5A56B2ED" w:rsidR="005F0015" w:rsidRPr="001C2FDA" w:rsidRDefault="005F0015" w:rsidP="005C7EB9">
      <w:pPr>
        <w:tabs>
          <w:tab w:val="left" w:pos="270"/>
        </w:tabs>
        <w:spacing w:line="276" w:lineRule="auto"/>
        <w:ind w:firstLine="540"/>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w:t>
      </w:r>
      <w:r w:rsidRPr="001C2FDA">
        <w:rPr>
          <w:rFonts w:asciiTheme="minorHAnsi" w:hAnsiTheme="minorHAnsi" w:cstheme="minorHAnsi"/>
          <w:sz w:val="26"/>
          <w:szCs w:val="26"/>
          <w:lang w:val="pt-PT"/>
        </w:rPr>
        <w:tab/>
        <w:t>completarea de machete statistice transmise de I</w:t>
      </w:r>
      <w:r w:rsidR="004E6665">
        <w:rPr>
          <w:rFonts w:asciiTheme="minorHAnsi" w:hAnsiTheme="minorHAnsi" w:cstheme="minorHAnsi"/>
          <w:sz w:val="26"/>
          <w:szCs w:val="26"/>
          <w:lang w:val="pt-PT"/>
        </w:rPr>
        <w:t xml:space="preserve">nstitutul </w:t>
      </w:r>
      <w:r w:rsidRPr="001C2FDA">
        <w:rPr>
          <w:rFonts w:asciiTheme="minorHAnsi" w:hAnsiTheme="minorHAnsi" w:cstheme="minorHAnsi"/>
          <w:sz w:val="26"/>
          <w:szCs w:val="26"/>
          <w:lang w:val="pt-PT"/>
        </w:rPr>
        <w:t>N</w:t>
      </w:r>
      <w:r w:rsidR="004E6665">
        <w:rPr>
          <w:rFonts w:asciiTheme="minorHAnsi" w:hAnsiTheme="minorHAnsi" w:cstheme="minorHAnsi"/>
          <w:sz w:val="26"/>
          <w:szCs w:val="26"/>
          <w:lang w:val="pt-PT"/>
        </w:rPr>
        <w:t xml:space="preserve">ațional de </w:t>
      </w:r>
      <w:r w:rsidRPr="001C2FDA">
        <w:rPr>
          <w:rFonts w:asciiTheme="minorHAnsi" w:hAnsiTheme="minorHAnsi" w:cstheme="minorHAnsi"/>
          <w:sz w:val="26"/>
          <w:szCs w:val="26"/>
          <w:lang w:val="pt-PT"/>
        </w:rPr>
        <w:t>S</w:t>
      </w:r>
      <w:r w:rsidR="004E6665">
        <w:rPr>
          <w:rFonts w:asciiTheme="minorHAnsi" w:hAnsiTheme="minorHAnsi" w:cstheme="minorHAnsi"/>
          <w:sz w:val="26"/>
          <w:szCs w:val="26"/>
          <w:lang w:val="pt-PT"/>
        </w:rPr>
        <w:t>tatistică</w:t>
      </w:r>
      <w:r w:rsidRPr="001C2FDA">
        <w:rPr>
          <w:rFonts w:asciiTheme="minorHAnsi" w:hAnsiTheme="minorHAnsi" w:cstheme="minorHAnsi"/>
          <w:sz w:val="26"/>
          <w:szCs w:val="26"/>
          <w:lang w:val="pt-PT"/>
        </w:rPr>
        <w:t xml:space="preserve"> în vederea realizării Anuarului statistic sau la cererea altor organisme internaționale, precum Comisia Europeana, U.N.I.C.E.F. etc.;</w:t>
      </w:r>
    </w:p>
    <w:p w14:paraId="540638AC" w14:textId="77777777" w:rsidR="005F0015" w:rsidRPr="001C2FDA" w:rsidRDefault="005F0015" w:rsidP="005C7EB9">
      <w:pPr>
        <w:tabs>
          <w:tab w:val="left" w:pos="270"/>
        </w:tabs>
        <w:spacing w:line="276" w:lineRule="auto"/>
        <w:ind w:firstLine="540"/>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w:t>
      </w:r>
      <w:r w:rsidRPr="001C2FDA">
        <w:rPr>
          <w:rFonts w:asciiTheme="minorHAnsi" w:hAnsiTheme="minorHAnsi" w:cstheme="minorHAnsi"/>
          <w:sz w:val="26"/>
          <w:szCs w:val="26"/>
          <w:lang w:val="pt-PT"/>
        </w:rPr>
        <w:tab/>
        <w:t>transmiterea către Ministerul de Interne, Agenția Națională Antidrog, Agenția Națională pentru Traficul de Persoane și Agenția Națională pentru Politici și Coordonare în Domeniul Drogurilor și Adicțiilor, de date statistice privind traficul de droguri şi traficul de persoane;</w:t>
      </w:r>
    </w:p>
    <w:p w14:paraId="0DB8F46E" w14:textId="574C081A" w:rsidR="005F0015" w:rsidRPr="001C2FDA" w:rsidRDefault="005F0015" w:rsidP="005C7EB9">
      <w:pPr>
        <w:tabs>
          <w:tab w:val="left" w:pos="270"/>
        </w:tabs>
        <w:spacing w:line="276" w:lineRule="auto"/>
        <w:ind w:firstLine="540"/>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w:t>
      </w:r>
      <w:r w:rsidRPr="001C2FDA">
        <w:rPr>
          <w:rFonts w:asciiTheme="minorHAnsi" w:hAnsiTheme="minorHAnsi" w:cstheme="minorHAnsi"/>
          <w:sz w:val="26"/>
          <w:szCs w:val="26"/>
          <w:lang w:val="pt-PT"/>
        </w:rPr>
        <w:tab/>
        <w:t>participarea la grupurile de lucru interinstituţionale privind îmbunătățirea şi diversificarea raportărilor de statistică judiciară, alături de M.J., P.Î.C.C.J., I.G.P.R., I.N.S., M.A.E., A.N.A., A.N.I.T.P. şi alte instituții publice producătoare sau beneficiare de raportări statistice</w:t>
      </w:r>
      <w:r w:rsidR="007E329C">
        <w:rPr>
          <w:rFonts w:asciiTheme="minorHAnsi" w:hAnsiTheme="minorHAnsi" w:cstheme="minorHAnsi"/>
          <w:sz w:val="26"/>
          <w:szCs w:val="26"/>
          <w:lang w:val="pt-PT"/>
        </w:rPr>
        <w:t>.</w:t>
      </w:r>
    </w:p>
    <w:p w14:paraId="240E3B64" w14:textId="77777777" w:rsidR="00065F26" w:rsidRPr="000F0D8B" w:rsidRDefault="00065F26" w:rsidP="00065F26">
      <w:pPr>
        <w:pStyle w:val="Heading3"/>
        <w:keepNext w:val="0"/>
        <w:keepLines w:val="0"/>
        <w:suppressLineNumbers/>
        <w:suppressAutoHyphens/>
        <w:rPr>
          <w:rFonts w:cstheme="minorHAnsi"/>
          <w:color w:val="auto"/>
          <w:szCs w:val="26"/>
        </w:rPr>
      </w:pPr>
      <w:bookmarkStart w:id="179" w:name="_Toc219287990"/>
      <w:r w:rsidRPr="000F0D8B">
        <w:rPr>
          <w:rFonts w:cstheme="minorHAnsi"/>
          <w:color w:val="auto"/>
          <w:szCs w:val="26"/>
        </w:rPr>
        <w:t>VI.9.2. Activitatea Compartimentului informatică</w:t>
      </w:r>
      <w:bookmarkEnd w:id="179"/>
    </w:p>
    <w:p w14:paraId="6374B045" w14:textId="77777777" w:rsidR="005F0015" w:rsidRPr="001C2FDA" w:rsidRDefault="005F0015" w:rsidP="00065F26">
      <w:pPr>
        <w:spacing w:line="276" w:lineRule="auto"/>
        <w:ind w:firstLine="708"/>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Compartimentul informatică a oferit, pe întreg parcursul anului 2025, suportul necesar pentru buna desfășurare a activității departamentelor Consiliului Superior al Magistraturii și a asigurat funcționarea optimă a produselor și serviciilor informatice.</w:t>
      </w:r>
    </w:p>
    <w:p w14:paraId="0E9B36B7" w14:textId="77777777" w:rsidR="005F0015" w:rsidRPr="001C2FDA" w:rsidRDefault="005F0015" w:rsidP="00065F26">
      <w:pPr>
        <w:spacing w:line="276" w:lineRule="auto"/>
        <w:ind w:firstLine="708"/>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În anul 2025, monitorizarea operaţiilor efectuate de Compartimentul informatică s-a realizat prin intermediul sistemului de helpdesk implementat la nivelul compartimentului și prin intermediul registrelor specifice.</w:t>
      </w:r>
    </w:p>
    <w:p w14:paraId="738EC752" w14:textId="77777777" w:rsidR="005F0015" w:rsidRPr="001C2FDA" w:rsidRDefault="005F0015" w:rsidP="00065F26">
      <w:pPr>
        <w:spacing w:line="276" w:lineRule="auto"/>
        <w:ind w:firstLine="708"/>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Efortul specialiștilor IT din cadrul Compartimentului informatică s-a axat pe următoarele patru componente:</w:t>
      </w:r>
    </w:p>
    <w:p w14:paraId="47818183" w14:textId="77777777" w:rsidR="005F0015" w:rsidRPr="001C2FDA" w:rsidRDefault="005F0015" w:rsidP="00B56176">
      <w:pPr>
        <w:spacing w:line="276" w:lineRule="auto"/>
        <w:ind w:left="-567" w:right="-330" w:firstLine="1275"/>
        <w:jc w:val="both"/>
        <w:rPr>
          <w:rFonts w:asciiTheme="minorHAnsi" w:hAnsiTheme="minorHAnsi" w:cstheme="minorHAnsi"/>
          <w:b/>
          <w:sz w:val="26"/>
          <w:szCs w:val="26"/>
          <w:lang w:val="pt-PT"/>
        </w:rPr>
      </w:pPr>
      <w:r w:rsidRPr="001C2FDA">
        <w:rPr>
          <w:rFonts w:asciiTheme="minorHAnsi" w:hAnsiTheme="minorHAnsi" w:cstheme="minorHAnsi"/>
          <w:b/>
          <w:sz w:val="26"/>
          <w:szCs w:val="26"/>
          <w:lang w:val="pt-PT"/>
        </w:rPr>
        <w:t>1. Administrarea, dezvoltarea și optimizarea produselor și serviciilor informatice existente:</w:t>
      </w:r>
    </w:p>
    <w:p w14:paraId="4E5247A5" w14:textId="77777777" w:rsidR="005F0015" w:rsidRPr="001C2FDA" w:rsidRDefault="005F0015" w:rsidP="008E1EF9">
      <w:pPr>
        <w:spacing w:line="276" w:lineRule="auto"/>
        <w:ind w:right="-330" w:firstLine="708"/>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lastRenderedPageBreak/>
        <w:t>A) Administrarea, dezvoltarea și optimizarea portalului EMAP prin:</w:t>
      </w:r>
    </w:p>
    <w:p w14:paraId="4593629A" w14:textId="77777777" w:rsidR="005F0015" w:rsidRPr="001C2FDA" w:rsidRDefault="005F0015" w:rsidP="008E1EF9">
      <w:pPr>
        <w:spacing w:line="276" w:lineRule="auto"/>
        <w:ind w:firstLine="708"/>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 asigurarea suportului tehnic permanent pentru încărcarea de materiale în secțiunile: mapa electronică, vot electronic, registratură, activitate C.S.M., activităţi proiecte, cazuri de integritate, întâlniri trimestriale, declarații de avere și interese, etc;</w:t>
      </w:r>
    </w:p>
    <w:p w14:paraId="423A89BC" w14:textId="77777777" w:rsidR="005F0015" w:rsidRPr="001C2FDA" w:rsidRDefault="005F0015" w:rsidP="008E1EF9">
      <w:pPr>
        <w:spacing w:line="276" w:lineRule="auto"/>
        <w:ind w:firstLine="708"/>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 integrarea de noi tehnologii şi actualizarea celor existente la ultimele versiuni;</w:t>
      </w:r>
    </w:p>
    <w:p w14:paraId="5AC2B854" w14:textId="785647A0" w:rsidR="005F0015" w:rsidRPr="001C2FDA" w:rsidRDefault="005F0015" w:rsidP="008E1EF9">
      <w:pPr>
        <w:spacing w:line="276" w:lineRule="auto"/>
        <w:ind w:firstLine="708"/>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 xml:space="preserve">- asigurarea suportului tehnic pentru exploatarea instrumentelor: </w:t>
      </w:r>
      <w:r w:rsidR="00F44E9A">
        <w:rPr>
          <w:rFonts w:asciiTheme="minorHAnsi" w:hAnsiTheme="minorHAnsi" w:cstheme="minorHAnsi"/>
          <w:sz w:val="26"/>
          <w:szCs w:val="26"/>
          <w:lang w:val="pt-PT"/>
        </w:rPr>
        <w:t>c</w:t>
      </w:r>
      <w:r w:rsidRPr="001C2FDA">
        <w:rPr>
          <w:rFonts w:asciiTheme="minorHAnsi" w:hAnsiTheme="minorHAnsi" w:cstheme="minorHAnsi"/>
          <w:sz w:val="26"/>
          <w:szCs w:val="26"/>
          <w:lang w:val="pt-PT"/>
        </w:rPr>
        <w:t xml:space="preserve">hestionare online, </w:t>
      </w:r>
      <w:r w:rsidR="00F44E9A">
        <w:rPr>
          <w:rFonts w:asciiTheme="minorHAnsi" w:hAnsiTheme="minorHAnsi" w:cstheme="minorHAnsi"/>
          <w:sz w:val="26"/>
          <w:szCs w:val="26"/>
          <w:lang w:val="pt-PT"/>
        </w:rPr>
        <w:t>c</w:t>
      </w:r>
      <w:r w:rsidRPr="001C2FDA">
        <w:rPr>
          <w:rFonts w:asciiTheme="minorHAnsi" w:hAnsiTheme="minorHAnsi" w:cstheme="minorHAnsi"/>
          <w:sz w:val="26"/>
          <w:szCs w:val="26"/>
          <w:lang w:val="pt-PT"/>
        </w:rPr>
        <w:t>onversie audio în text;</w:t>
      </w:r>
    </w:p>
    <w:p w14:paraId="7B264FD8" w14:textId="449FD60A" w:rsidR="005F0015" w:rsidRPr="001C2FDA" w:rsidRDefault="005F0015" w:rsidP="008E1EF9">
      <w:pPr>
        <w:spacing w:line="276" w:lineRule="auto"/>
        <w:ind w:firstLine="708"/>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 xml:space="preserve">- dezvoltarea de noi funcționalități aferente concursurilor/examenelor organizate de </w:t>
      </w:r>
      <w:r w:rsidR="004E6665" w:rsidRPr="001C2FDA">
        <w:rPr>
          <w:rFonts w:asciiTheme="minorHAnsi" w:hAnsiTheme="minorHAnsi" w:cstheme="minorHAnsi"/>
          <w:sz w:val="26"/>
          <w:szCs w:val="26"/>
          <w:lang w:val="pt-PT"/>
        </w:rPr>
        <w:t>C</w:t>
      </w:r>
      <w:r w:rsidR="0020566A">
        <w:rPr>
          <w:rFonts w:asciiTheme="minorHAnsi" w:hAnsiTheme="minorHAnsi" w:cstheme="minorHAnsi"/>
          <w:sz w:val="26"/>
          <w:szCs w:val="26"/>
          <w:lang w:val="pt-PT"/>
        </w:rPr>
        <w:t>.S.M.</w:t>
      </w:r>
      <w:r w:rsidRPr="001C2FDA">
        <w:rPr>
          <w:rFonts w:asciiTheme="minorHAnsi" w:hAnsiTheme="minorHAnsi" w:cstheme="minorHAnsi"/>
          <w:sz w:val="26"/>
          <w:szCs w:val="26"/>
          <w:lang w:val="pt-PT"/>
        </w:rPr>
        <w:t>: reproiectarea rapoartelor, eficientizarea secțiunilor aferente gestiunii candidaților, eficientizarea sistemului de vot electronic și a structurilor de lucru (comisii).</w:t>
      </w:r>
    </w:p>
    <w:p w14:paraId="07D20FCD" w14:textId="77777777" w:rsidR="005F0015" w:rsidRPr="001C2FDA" w:rsidRDefault="005F0015" w:rsidP="008E1EF9">
      <w:pPr>
        <w:spacing w:line="276" w:lineRule="auto"/>
        <w:ind w:firstLine="708"/>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 xml:space="preserve">B) Administrarea și dezvoltarea site-ului Consiliului Superior al Magistraturii </w:t>
      </w:r>
    </w:p>
    <w:p w14:paraId="20B4E88B" w14:textId="5E57A042" w:rsidR="005F0015" w:rsidRPr="001C2FDA" w:rsidRDefault="005F0015" w:rsidP="008E1EF9">
      <w:pPr>
        <w:spacing w:line="276" w:lineRule="auto"/>
        <w:ind w:firstLine="708"/>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În concordanță cu obiectivele generale ale C</w:t>
      </w:r>
      <w:r w:rsidR="0020566A">
        <w:rPr>
          <w:rFonts w:asciiTheme="minorHAnsi" w:hAnsiTheme="minorHAnsi" w:cstheme="minorHAnsi"/>
          <w:sz w:val="26"/>
          <w:szCs w:val="26"/>
          <w:lang w:val="pt-PT"/>
        </w:rPr>
        <w:t>.S.M.</w:t>
      </w:r>
      <w:r w:rsidRPr="001C2FDA">
        <w:rPr>
          <w:rFonts w:asciiTheme="minorHAnsi" w:hAnsiTheme="minorHAnsi" w:cstheme="minorHAnsi"/>
          <w:sz w:val="26"/>
          <w:szCs w:val="26"/>
          <w:lang w:val="pt-PT"/>
        </w:rPr>
        <w:t xml:space="preserve">, Compartimentul informatică are ca preocupare permanentă îmbunătățirea structurii paginii de </w:t>
      </w:r>
      <w:r w:rsidR="00F44E9A">
        <w:rPr>
          <w:rFonts w:asciiTheme="minorHAnsi" w:hAnsiTheme="minorHAnsi" w:cstheme="minorHAnsi"/>
          <w:sz w:val="26"/>
          <w:szCs w:val="26"/>
          <w:lang w:val="pt-PT"/>
        </w:rPr>
        <w:t>i</w:t>
      </w:r>
      <w:r w:rsidRPr="001C2FDA">
        <w:rPr>
          <w:rFonts w:asciiTheme="minorHAnsi" w:hAnsiTheme="minorHAnsi" w:cstheme="minorHAnsi"/>
          <w:sz w:val="26"/>
          <w:szCs w:val="26"/>
          <w:lang w:val="pt-PT"/>
        </w:rPr>
        <w:t>nternet a Consiliului și a serviciilor oferite publicului.</w:t>
      </w:r>
    </w:p>
    <w:p w14:paraId="4BC42F46" w14:textId="77777777" w:rsidR="0020566A" w:rsidRDefault="005F0015" w:rsidP="0020566A">
      <w:pPr>
        <w:spacing w:line="276" w:lineRule="auto"/>
        <w:ind w:firstLine="708"/>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Astfel, în cursul anului 2025, Compartimentul informatică:</w:t>
      </w:r>
    </w:p>
    <w:p w14:paraId="56D065AB" w14:textId="34FD3B4A" w:rsidR="0020566A" w:rsidRPr="0020566A" w:rsidRDefault="005F0015" w:rsidP="00281400">
      <w:pPr>
        <w:pStyle w:val="ListParagraph"/>
        <w:numPr>
          <w:ilvl w:val="0"/>
          <w:numId w:val="43"/>
        </w:numPr>
        <w:spacing w:line="276" w:lineRule="auto"/>
        <w:jc w:val="both"/>
        <w:rPr>
          <w:rFonts w:asciiTheme="minorHAnsi" w:hAnsiTheme="minorHAnsi" w:cstheme="minorHAnsi"/>
          <w:sz w:val="26"/>
          <w:szCs w:val="26"/>
          <w:lang w:val="pt-PT"/>
        </w:rPr>
      </w:pPr>
      <w:r w:rsidRPr="0020566A">
        <w:rPr>
          <w:rFonts w:asciiTheme="minorHAnsi" w:hAnsiTheme="minorHAnsi" w:cstheme="minorHAnsi"/>
          <w:sz w:val="26"/>
          <w:szCs w:val="26"/>
          <w:lang w:val="pt-PT"/>
        </w:rPr>
        <w:t>a asigurat integrarea de noi tehnologii şi actualizarea celor existente la ultimele versiuni;</w:t>
      </w:r>
    </w:p>
    <w:p w14:paraId="21F7681C" w14:textId="15A08516" w:rsidR="0020566A" w:rsidRPr="0020566A" w:rsidRDefault="005F0015" w:rsidP="00281400">
      <w:pPr>
        <w:pStyle w:val="ListParagraph"/>
        <w:numPr>
          <w:ilvl w:val="0"/>
          <w:numId w:val="43"/>
        </w:numPr>
        <w:spacing w:line="276" w:lineRule="auto"/>
        <w:jc w:val="both"/>
        <w:rPr>
          <w:rFonts w:asciiTheme="minorHAnsi" w:hAnsiTheme="minorHAnsi" w:cstheme="minorHAnsi"/>
          <w:sz w:val="26"/>
          <w:szCs w:val="26"/>
          <w:lang w:val="pt-PT"/>
        </w:rPr>
      </w:pPr>
      <w:r w:rsidRPr="0020566A">
        <w:rPr>
          <w:rFonts w:asciiTheme="minorHAnsi" w:hAnsiTheme="minorHAnsi" w:cstheme="minorHAnsi"/>
          <w:sz w:val="26"/>
          <w:szCs w:val="26"/>
          <w:lang w:val="pt-PT"/>
        </w:rPr>
        <w:t>a asigurat actualizarea structurii site-ului conform solicitărilor transmise de către departamentele Consiliului;</w:t>
      </w:r>
    </w:p>
    <w:p w14:paraId="09FDC752" w14:textId="0BF5AFBF" w:rsidR="005F0015" w:rsidRPr="0020566A" w:rsidRDefault="005F0015" w:rsidP="00281400">
      <w:pPr>
        <w:pStyle w:val="ListParagraph"/>
        <w:numPr>
          <w:ilvl w:val="0"/>
          <w:numId w:val="43"/>
        </w:numPr>
        <w:spacing w:line="276" w:lineRule="auto"/>
        <w:jc w:val="both"/>
        <w:rPr>
          <w:rFonts w:asciiTheme="minorHAnsi" w:hAnsiTheme="minorHAnsi" w:cstheme="minorHAnsi"/>
          <w:sz w:val="26"/>
          <w:szCs w:val="26"/>
          <w:lang w:val="pt-PT"/>
        </w:rPr>
      </w:pPr>
      <w:r w:rsidRPr="0020566A">
        <w:rPr>
          <w:rFonts w:asciiTheme="minorHAnsi" w:hAnsiTheme="minorHAnsi" w:cstheme="minorHAnsi"/>
          <w:sz w:val="26"/>
          <w:szCs w:val="26"/>
          <w:lang w:val="pt-PT"/>
        </w:rPr>
        <w:t>a efectuat actualizarea secțiunilor site-ului cu materiale transmise de către departamentele consiliului, pe aria de competență.</w:t>
      </w:r>
    </w:p>
    <w:p w14:paraId="67D443FE" w14:textId="77777777" w:rsidR="005F0015" w:rsidRPr="001C2FDA" w:rsidRDefault="005F0015" w:rsidP="008E1EF9">
      <w:pPr>
        <w:spacing w:line="276" w:lineRule="auto"/>
        <w:ind w:firstLine="708"/>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C) Asistență utilizatori pentru exploatarea serviciilor și produselor informatice:</w:t>
      </w:r>
    </w:p>
    <w:p w14:paraId="554151BF" w14:textId="4BE5B2BD" w:rsidR="005F0015" w:rsidRPr="00B41651" w:rsidRDefault="005F0015" w:rsidP="008E1EF9">
      <w:pPr>
        <w:spacing w:line="276" w:lineRule="auto"/>
        <w:ind w:firstLine="708"/>
        <w:jc w:val="both"/>
        <w:rPr>
          <w:rFonts w:asciiTheme="minorHAnsi" w:hAnsiTheme="minorHAnsi" w:cstheme="minorHAnsi"/>
          <w:sz w:val="26"/>
          <w:szCs w:val="26"/>
          <w:lang w:val="pt-PT"/>
        </w:rPr>
      </w:pPr>
      <w:r w:rsidRPr="00B41651">
        <w:rPr>
          <w:rFonts w:asciiTheme="minorHAnsi" w:hAnsiTheme="minorHAnsi" w:cstheme="minorHAnsi"/>
          <w:sz w:val="26"/>
          <w:szCs w:val="26"/>
          <w:lang w:val="pt-PT"/>
        </w:rPr>
        <w:t>Prin sistemul de evidență și control al solicitărilor transmise către Compartimentul informatică, în perioada 01</w:t>
      </w:r>
      <w:r w:rsidR="00A3047F" w:rsidRPr="00B41651">
        <w:rPr>
          <w:rFonts w:asciiTheme="minorHAnsi" w:hAnsiTheme="minorHAnsi" w:cstheme="minorHAnsi"/>
          <w:sz w:val="26"/>
          <w:szCs w:val="26"/>
          <w:lang w:val="pt-PT"/>
        </w:rPr>
        <w:t xml:space="preserve"> ianuarie </w:t>
      </w:r>
      <w:r w:rsidRPr="00B41651">
        <w:rPr>
          <w:rFonts w:asciiTheme="minorHAnsi" w:hAnsiTheme="minorHAnsi" w:cstheme="minorHAnsi"/>
          <w:sz w:val="26"/>
          <w:szCs w:val="26"/>
          <w:lang w:val="pt-PT"/>
        </w:rPr>
        <w:t xml:space="preserve">2025 </w:t>
      </w:r>
      <w:r w:rsidR="00A3047F" w:rsidRPr="00B41651">
        <w:rPr>
          <w:rFonts w:asciiTheme="minorHAnsi" w:hAnsiTheme="minorHAnsi" w:cstheme="minorHAnsi"/>
          <w:sz w:val="26"/>
          <w:szCs w:val="26"/>
          <w:lang w:val="pt-PT"/>
        </w:rPr>
        <w:t>–</w:t>
      </w:r>
      <w:r w:rsidRPr="00B41651">
        <w:rPr>
          <w:rFonts w:asciiTheme="minorHAnsi" w:hAnsiTheme="minorHAnsi" w:cstheme="minorHAnsi"/>
          <w:sz w:val="26"/>
          <w:szCs w:val="26"/>
          <w:lang w:val="pt-PT"/>
        </w:rPr>
        <w:t xml:space="preserve"> </w:t>
      </w:r>
      <w:r w:rsidR="0096000C" w:rsidRPr="00B41651">
        <w:rPr>
          <w:rFonts w:asciiTheme="minorHAnsi" w:hAnsiTheme="minorHAnsi" w:cstheme="minorHAnsi"/>
          <w:sz w:val="26"/>
          <w:szCs w:val="26"/>
          <w:lang w:val="pt-PT"/>
        </w:rPr>
        <w:t>3</w:t>
      </w:r>
      <w:r w:rsidRPr="00B41651">
        <w:rPr>
          <w:rFonts w:asciiTheme="minorHAnsi" w:hAnsiTheme="minorHAnsi" w:cstheme="minorHAnsi"/>
          <w:sz w:val="26"/>
          <w:szCs w:val="26"/>
          <w:lang w:val="pt-PT"/>
        </w:rPr>
        <w:t>1</w:t>
      </w:r>
      <w:r w:rsidR="00A3047F" w:rsidRPr="00B41651">
        <w:rPr>
          <w:rFonts w:asciiTheme="minorHAnsi" w:hAnsiTheme="minorHAnsi" w:cstheme="minorHAnsi"/>
          <w:sz w:val="26"/>
          <w:szCs w:val="26"/>
          <w:lang w:val="pt-PT"/>
        </w:rPr>
        <w:t xml:space="preserve"> </w:t>
      </w:r>
      <w:r w:rsidR="0096000C" w:rsidRPr="00B41651">
        <w:rPr>
          <w:rFonts w:asciiTheme="minorHAnsi" w:hAnsiTheme="minorHAnsi" w:cstheme="minorHAnsi"/>
          <w:sz w:val="26"/>
          <w:szCs w:val="26"/>
          <w:lang w:val="pt-PT"/>
        </w:rPr>
        <w:t>dece</w:t>
      </w:r>
      <w:r w:rsidR="00A3047F" w:rsidRPr="00B41651">
        <w:rPr>
          <w:rFonts w:asciiTheme="minorHAnsi" w:hAnsiTheme="minorHAnsi" w:cstheme="minorHAnsi"/>
          <w:sz w:val="26"/>
          <w:szCs w:val="26"/>
          <w:lang w:val="pt-PT"/>
        </w:rPr>
        <w:t xml:space="preserve">mbrie </w:t>
      </w:r>
      <w:r w:rsidRPr="00B41651">
        <w:rPr>
          <w:rFonts w:asciiTheme="minorHAnsi" w:hAnsiTheme="minorHAnsi" w:cstheme="minorHAnsi"/>
          <w:sz w:val="26"/>
          <w:szCs w:val="26"/>
          <w:lang w:val="pt-PT"/>
        </w:rPr>
        <w:t xml:space="preserve">2025 au fost înregistrate un număr de aproximativ </w:t>
      </w:r>
      <w:r w:rsidR="002F4EDC" w:rsidRPr="00B41651">
        <w:rPr>
          <w:rFonts w:asciiTheme="minorHAnsi" w:hAnsiTheme="minorHAnsi" w:cstheme="minorHAnsi"/>
          <w:sz w:val="26"/>
          <w:szCs w:val="26"/>
          <w:lang w:val="pt-PT"/>
        </w:rPr>
        <w:t>10.000</w:t>
      </w:r>
      <w:r w:rsidRPr="00B41651">
        <w:rPr>
          <w:rFonts w:asciiTheme="minorHAnsi" w:hAnsiTheme="minorHAnsi" w:cstheme="minorHAnsi"/>
          <w:sz w:val="26"/>
          <w:szCs w:val="26"/>
          <w:lang w:val="pt-PT"/>
        </w:rPr>
        <w:t xml:space="preserve"> </w:t>
      </w:r>
      <w:r w:rsidR="00AF3072" w:rsidRPr="00B41651">
        <w:rPr>
          <w:rFonts w:asciiTheme="minorHAnsi" w:hAnsiTheme="minorHAnsi" w:cstheme="minorHAnsi"/>
          <w:sz w:val="26"/>
          <w:szCs w:val="26"/>
          <w:lang w:val="pt-PT"/>
        </w:rPr>
        <w:t xml:space="preserve">de </w:t>
      </w:r>
      <w:r w:rsidRPr="00B41651">
        <w:rPr>
          <w:rFonts w:asciiTheme="minorHAnsi" w:hAnsiTheme="minorHAnsi" w:cstheme="minorHAnsi"/>
          <w:sz w:val="26"/>
          <w:szCs w:val="26"/>
          <w:lang w:val="pt-PT"/>
        </w:rPr>
        <w:t>solicitări. Aceste solicitări au vizat probleme precum: solicitare de suport tehnic pentru depanare hardware și software, publicare de materiale pe site-ul C</w:t>
      </w:r>
      <w:r w:rsidR="0020566A" w:rsidRPr="00B41651">
        <w:rPr>
          <w:rFonts w:asciiTheme="minorHAnsi" w:hAnsiTheme="minorHAnsi" w:cstheme="minorHAnsi"/>
          <w:sz w:val="26"/>
          <w:szCs w:val="26"/>
          <w:lang w:val="pt-PT"/>
        </w:rPr>
        <w:t xml:space="preserve">.S.M. </w:t>
      </w:r>
      <w:r w:rsidRPr="00B41651">
        <w:rPr>
          <w:rFonts w:asciiTheme="minorHAnsi" w:hAnsiTheme="minorHAnsi" w:cstheme="minorHAnsi"/>
          <w:sz w:val="26"/>
          <w:szCs w:val="26"/>
          <w:lang w:val="pt-PT"/>
        </w:rPr>
        <w:t>(anunțuri, concursuri, comunicate, hotărâri, minute, agende, etc); publicare materiale în portalul EMAP; asistenţă tehnică de specialitate pentru utilizatorii din instanţe, parchete, I.N.M., S.N.G., I.J., M.J.; lucrări administrative;</w:t>
      </w:r>
    </w:p>
    <w:p w14:paraId="45E9EA7F" w14:textId="77777777" w:rsidR="005F0015" w:rsidRPr="001C2FDA" w:rsidRDefault="005F0015" w:rsidP="008E1EF9">
      <w:pPr>
        <w:spacing w:line="276" w:lineRule="auto"/>
        <w:ind w:firstLine="708"/>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D) Actualizarea permanentă a produselor legislative: Eurolex, Monitorul Oficial al României şi suport de specialitate pentru buna funcţionare a acestora;</w:t>
      </w:r>
    </w:p>
    <w:p w14:paraId="39D5E95F" w14:textId="294EE4AC" w:rsidR="005F0015" w:rsidRPr="001C2FDA" w:rsidRDefault="005F0015" w:rsidP="008E1EF9">
      <w:pPr>
        <w:spacing w:line="276" w:lineRule="auto"/>
        <w:ind w:firstLine="708"/>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E) Suport permanent pentru menținerea infrastructurii hardware și software: administrare servere</w:t>
      </w:r>
      <w:r w:rsidR="00D23919">
        <w:rPr>
          <w:rFonts w:asciiTheme="minorHAnsi" w:hAnsiTheme="minorHAnsi" w:cstheme="minorHAnsi"/>
          <w:sz w:val="26"/>
          <w:szCs w:val="26"/>
          <w:lang w:val="pt-PT"/>
        </w:rPr>
        <w:t>,</w:t>
      </w:r>
      <w:r w:rsidRPr="001C2FDA">
        <w:rPr>
          <w:rFonts w:asciiTheme="minorHAnsi" w:hAnsiTheme="minorHAnsi" w:cstheme="minorHAnsi"/>
          <w:sz w:val="26"/>
          <w:szCs w:val="26"/>
          <w:lang w:val="pt-PT"/>
        </w:rPr>
        <w:t xml:space="preserve"> administrare active directory</w:t>
      </w:r>
      <w:r w:rsidR="00D23919">
        <w:rPr>
          <w:rFonts w:asciiTheme="minorHAnsi" w:hAnsiTheme="minorHAnsi" w:cstheme="minorHAnsi"/>
          <w:sz w:val="26"/>
          <w:szCs w:val="26"/>
          <w:lang w:val="pt-PT"/>
        </w:rPr>
        <w:t>,</w:t>
      </w:r>
      <w:r w:rsidRPr="001C2FDA">
        <w:rPr>
          <w:rFonts w:asciiTheme="minorHAnsi" w:hAnsiTheme="minorHAnsi" w:cstheme="minorHAnsi"/>
          <w:sz w:val="26"/>
          <w:szCs w:val="26"/>
          <w:lang w:val="pt-PT"/>
        </w:rPr>
        <w:t xml:space="preserve"> actualizare produse office, produse contabilitate, baze de date, etc;</w:t>
      </w:r>
    </w:p>
    <w:p w14:paraId="5E66B62E" w14:textId="7489820D" w:rsidR="005F0015" w:rsidRPr="001C2FDA" w:rsidRDefault="005F0015" w:rsidP="008E1EF9">
      <w:pPr>
        <w:spacing w:line="276" w:lineRule="auto"/>
        <w:ind w:firstLine="708"/>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 xml:space="preserve">F) Asigurarea, în cadrul Serviciului informatică şi statistică judiciară, a mentenanței aplicației desktop ReJust, dezvoltată pentru uzul judecătorilor și grefierilor, precum și organizarea unor sesiuni de formare a grefierilor, prin intermediul a trei webinare organizate de </w:t>
      </w:r>
      <w:r w:rsidR="0020566A">
        <w:rPr>
          <w:rFonts w:asciiTheme="minorHAnsi" w:hAnsiTheme="minorHAnsi" w:cstheme="minorHAnsi"/>
          <w:sz w:val="26"/>
          <w:szCs w:val="26"/>
          <w:lang w:val="pt-PT"/>
        </w:rPr>
        <w:t>S.N.G.</w:t>
      </w:r>
      <w:r w:rsidRPr="001C2FDA">
        <w:rPr>
          <w:rFonts w:asciiTheme="minorHAnsi" w:hAnsiTheme="minorHAnsi" w:cstheme="minorHAnsi"/>
          <w:sz w:val="26"/>
          <w:szCs w:val="26"/>
          <w:lang w:val="pt-PT"/>
        </w:rPr>
        <w:t>;</w:t>
      </w:r>
    </w:p>
    <w:p w14:paraId="2567E64B" w14:textId="77777777" w:rsidR="005F0015" w:rsidRPr="001C2FDA" w:rsidRDefault="005F0015" w:rsidP="008E1EF9">
      <w:pPr>
        <w:spacing w:line="276" w:lineRule="auto"/>
        <w:ind w:firstLine="708"/>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G) Suport tehnic de specialitate pentru concursurile/examenele organizate de Consiliul Superior al Magistraturii, Institutul Național al Magistraturii și Școala Națională de Grefieri:</w:t>
      </w:r>
    </w:p>
    <w:p w14:paraId="1DFA8E16" w14:textId="128BB7C8" w:rsidR="005F0015" w:rsidRPr="001C2FDA" w:rsidRDefault="005F0015" w:rsidP="008E1EF9">
      <w:pPr>
        <w:spacing w:line="276" w:lineRule="auto"/>
        <w:ind w:firstLine="708"/>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 Concurs de admitere la Institutul Na</w:t>
      </w:r>
      <w:r w:rsidR="0020566A">
        <w:rPr>
          <w:rFonts w:asciiTheme="minorHAnsi" w:hAnsiTheme="minorHAnsi" w:cstheme="minorHAnsi"/>
          <w:sz w:val="26"/>
          <w:szCs w:val="26"/>
          <w:lang w:val="pt-PT"/>
        </w:rPr>
        <w:t>ţ</w:t>
      </w:r>
      <w:r w:rsidRPr="001C2FDA">
        <w:rPr>
          <w:rFonts w:asciiTheme="minorHAnsi" w:hAnsiTheme="minorHAnsi" w:cstheme="minorHAnsi"/>
          <w:sz w:val="26"/>
          <w:szCs w:val="26"/>
          <w:lang w:val="pt-PT"/>
        </w:rPr>
        <w:t>ional al Magistraturii, organizat in perioada 25</w:t>
      </w:r>
      <w:r w:rsidR="004748AD">
        <w:rPr>
          <w:rFonts w:asciiTheme="minorHAnsi" w:hAnsiTheme="minorHAnsi" w:cstheme="minorHAnsi"/>
          <w:sz w:val="26"/>
          <w:szCs w:val="26"/>
          <w:lang w:val="pt-PT"/>
        </w:rPr>
        <w:t xml:space="preserve"> iulie </w:t>
      </w:r>
      <w:r w:rsidRPr="001C2FDA">
        <w:rPr>
          <w:rFonts w:asciiTheme="minorHAnsi" w:hAnsiTheme="minorHAnsi" w:cstheme="minorHAnsi"/>
          <w:sz w:val="26"/>
          <w:szCs w:val="26"/>
          <w:lang w:val="pt-PT"/>
        </w:rPr>
        <w:t>2024 – 16</w:t>
      </w:r>
      <w:r w:rsidR="00FE7C68">
        <w:rPr>
          <w:rFonts w:asciiTheme="minorHAnsi" w:hAnsiTheme="minorHAnsi" w:cstheme="minorHAnsi"/>
          <w:sz w:val="26"/>
          <w:szCs w:val="26"/>
          <w:lang w:val="pt-PT"/>
        </w:rPr>
        <w:t xml:space="preserve"> aprilie </w:t>
      </w:r>
      <w:r w:rsidRPr="001C2FDA">
        <w:rPr>
          <w:rFonts w:asciiTheme="minorHAnsi" w:hAnsiTheme="minorHAnsi" w:cstheme="minorHAnsi"/>
          <w:sz w:val="26"/>
          <w:szCs w:val="26"/>
          <w:lang w:val="pt-PT"/>
        </w:rPr>
        <w:t>2025;</w:t>
      </w:r>
    </w:p>
    <w:p w14:paraId="3029965E" w14:textId="0377B89D" w:rsidR="005F0015" w:rsidRPr="001C2FDA" w:rsidRDefault="005F0015" w:rsidP="008E1EF9">
      <w:pPr>
        <w:spacing w:line="276" w:lineRule="auto"/>
        <w:ind w:firstLine="708"/>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lastRenderedPageBreak/>
        <w:t>- Concurs de admitere la Institutul Na</w:t>
      </w:r>
      <w:r w:rsidR="0020566A">
        <w:rPr>
          <w:rFonts w:asciiTheme="minorHAnsi" w:hAnsiTheme="minorHAnsi" w:cstheme="minorHAnsi"/>
          <w:sz w:val="26"/>
          <w:szCs w:val="26"/>
          <w:lang w:val="pt-PT"/>
        </w:rPr>
        <w:t>ţ</w:t>
      </w:r>
      <w:r w:rsidRPr="001C2FDA">
        <w:rPr>
          <w:rFonts w:asciiTheme="minorHAnsi" w:hAnsiTheme="minorHAnsi" w:cstheme="minorHAnsi"/>
          <w:sz w:val="26"/>
          <w:szCs w:val="26"/>
          <w:lang w:val="pt-PT"/>
        </w:rPr>
        <w:t>ional al Magistraturii, organizat in perioada iulie 2025 - martie 2026;</w:t>
      </w:r>
    </w:p>
    <w:p w14:paraId="467A6CB7" w14:textId="1A7F917C" w:rsidR="005F0015" w:rsidRPr="001C2FDA" w:rsidRDefault="005F0015" w:rsidP="008E1EF9">
      <w:pPr>
        <w:spacing w:line="276" w:lineRule="auto"/>
        <w:ind w:firstLine="708"/>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 Examen de capacitate al judecătorilor stagiari și procurorilor stagiari</w:t>
      </w:r>
      <w:r w:rsidR="0020566A">
        <w:rPr>
          <w:rFonts w:asciiTheme="minorHAnsi" w:hAnsiTheme="minorHAnsi" w:cstheme="minorHAnsi"/>
          <w:sz w:val="26"/>
          <w:szCs w:val="26"/>
          <w:lang w:val="pt-PT"/>
        </w:rPr>
        <w:t xml:space="preserve">, </w:t>
      </w:r>
      <w:r w:rsidRPr="001C2FDA">
        <w:rPr>
          <w:rFonts w:asciiTheme="minorHAnsi" w:hAnsiTheme="minorHAnsi" w:cstheme="minorHAnsi"/>
          <w:sz w:val="26"/>
          <w:szCs w:val="26"/>
          <w:lang w:val="pt-PT"/>
        </w:rPr>
        <w:t>organizat în perioada octombrie 2024 - aprilie 2025;</w:t>
      </w:r>
    </w:p>
    <w:p w14:paraId="61A976C7" w14:textId="4569A718" w:rsidR="005F0015" w:rsidRPr="001C2FDA" w:rsidRDefault="005F0015" w:rsidP="008E1EF9">
      <w:pPr>
        <w:spacing w:line="276" w:lineRule="auto"/>
        <w:ind w:firstLine="708"/>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 Examen de capacitate al judecătorilor stagiari și procurorilor stagiari</w:t>
      </w:r>
      <w:r w:rsidR="0020566A">
        <w:rPr>
          <w:rFonts w:asciiTheme="minorHAnsi" w:hAnsiTheme="minorHAnsi" w:cstheme="minorHAnsi"/>
          <w:sz w:val="26"/>
          <w:szCs w:val="26"/>
          <w:lang w:val="pt-PT"/>
        </w:rPr>
        <w:t>,</w:t>
      </w:r>
      <w:r w:rsidRPr="001C2FDA">
        <w:rPr>
          <w:rFonts w:asciiTheme="minorHAnsi" w:hAnsiTheme="minorHAnsi" w:cstheme="minorHAnsi"/>
          <w:sz w:val="26"/>
          <w:szCs w:val="26"/>
          <w:lang w:val="pt-PT"/>
        </w:rPr>
        <w:t xml:space="preserve"> organizat în perioada octombrie 2024 - aprilie 2025;</w:t>
      </w:r>
    </w:p>
    <w:p w14:paraId="3D3EA961" w14:textId="77777777" w:rsidR="005F0015" w:rsidRPr="001C2FDA" w:rsidRDefault="005F0015" w:rsidP="008E1EF9">
      <w:pPr>
        <w:spacing w:line="276" w:lineRule="auto"/>
        <w:ind w:firstLine="708"/>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 Concurs de promovare efectivă în funcţii de execuţie a judecătorilor, organizat în perioada septembrie 2024 - februarie 2025;</w:t>
      </w:r>
    </w:p>
    <w:p w14:paraId="27F4B619" w14:textId="77777777" w:rsidR="005F0015" w:rsidRPr="001C2FDA" w:rsidRDefault="005F0015" w:rsidP="008E1EF9">
      <w:pPr>
        <w:spacing w:line="276" w:lineRule="auto"/>
        <w:ind w:firstLine="708"/>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 Concurs de promovare efectivă în funcţii de execuţie a judecătorilor, organizat în perioada februarie - iunie 2025;</w:t>
      </w:r>
    </w:p>
    <w:p w14:paraId="71FA97F9" w14:textId="7ECC1C75" w:rsidR="005F0015" w:rsidRPr="001C2FDA" w:rsidRDefault="005F0015" w:rsidP="008E1EF9">
      <w:pPr>
        <w:spacing w:line="276" w:lineRule="auto"/>
        <w:ind w:firstLine="708"/>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 Concurs de promovare efectivă în funcţii de execuţie a judecătorilor la cur</w:t>
      </w:r>
      <w:r w:rsidR="003334C6">
        <w:rPr>
          <w:rFonts w:asciiTheme="minorHAnsi" w:hAnsiTheme="minorHAnsi" w:cstheme="minorHAnsi"/>
          <w:sz w:val="26"/>
          <w:szCs w:val="26"/>
          <w:lang w:val="pt-PT"/>
        </w:rPr>
        <w:t>ț</w:t>
      </w:r>
      <w:r w:rsidRPr="001C2FDA">
        <w:rPr>
          <w:rFonts w:asciiTheme="minorHAnsi" w:hAnsiTheme="minorHAnsi" w:cstheme="minorHAnsi"/>
          <w:sz w:val="26"/>
          <w:szCs w:val="26"/>
          <w:lang w:val="pt-PT"/>
        </w:rPr>
        <w:t>ile de apel, organizat în perioada septembrie - decembrie 2025;</w:t>
      </w:r>
    </w:p>
    <w:p w14:paraId="35A522D2" w14:textId="77777777" w:rsidR="005F0015" w:rsidRPr="001C2FDA" w:rsidRDefault="005F0015" w:rsidP="008E1EF9">
      <w:pPr>
        <w:spacing w:line="276" w:lineRule="auto"/>
        <w:ind w:firstLine="708"/>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 Concurs de promovare efectivă în funcţii de execuţie a procurorilor, organizat în perioada martie - septembrie 2025;</w:t>
      </w:r>
    </w:p>
    <w:p w14:paraId="1B359368" w14:textId="6FDAB41F" w:rsidR="005F0015" w:rsidRPr="001C2FDA" w:rsidRDefault="005F0015" w:rsidP="008E1EF9">
      <w:pPr>
        <w:spacing w:line="276" w:lineRule="auto"/>
        <w:ind w:firstLine="708"/>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 Concurs sau examen pentru numirea în funcţii de conducere a procurorilor la parchetele de pe l</w:t>
      </w:r>
      <w:r w:rsidR="003334C6">
        <w:rPr>
          <w:rFonts w:asciiTheme="minorHAnsi" w:hAnsiTheme="minorHAnsi" w:cstheme="minorHAnsi"/>
          <w:sz w:val="26"/>
          <w:szCs w:val="26"/>
          <w:lang w:val="pt-PT"/>
        </w:rPr>
        <w:t>â</w:t>
      </w:r>
      <w:r w:rsidRPr="001C2FDA">
        <w:rPr>
          <w:rFonts w:asciiTheme="minorHAnsi" w:hAnsiTheme="minorHAnsi" w:cstheme="minorHAnsi"/>
          <w:sz w:val="26"/>
          <w:szCs w:val="26"/>
          <w:lang w:val="pt-PT"/>
        </w:rPr>
        <w:t>ng</w:t>
      </w:r>
      <w:r w:rsidR="003334C6">
        <w:rPr>
          <w:rFonts w:asciiTheme="minorHAnsi" w:hAnsiTheme="minorHAnsi" w:cstheme="minorHAnsi"/>
          <w:sz w:val="26"/>
          <w:szCs w:val="26"/>
          <w:lang w:val="pt-PT"/>
        </w:rPr>
        <w:t>ă</w:t>
      </w:r>
      <w:r w:rsidRPr="001C2FDA">
        <w:rPr>
          <w:rFonts w:asciiTheme="minorHAnsi" w:hAnsiTheme="minorHAnsi" w:cstheme="minorHAnsi"/>
          <w:sz w:val="26"/>
          <w:szCs w:val="26"/>
          <w:lang w:val="pt-PT"/>
        </w:rPr>
        <w:t xml:space="preserve"> curţile de apel, tribunale, tribunale specializate si judecătorii, organizat în perioada august - decembrie 2025;</w:t>
      </w:r>
    </w:p>
    <w:p w14:paraId="7164AA56" w14:textId="013C14DF" w:rsidR="005F0015" w:rsidRPr="001C2FDA" w:rsidRDefault="005F0015" w:rsidP="008E1EF9">
      <w:pPr>
        <w:spacing w:line="276" w:lineRule="auto"/>
        <w:ind w:firstLine="708"/>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 Concurs sau examen pentru numirea în funcţii de conducere a judecătorilor la curţile de apel, tribunale, tribunale specializate, judecătorii și instanțele militare</w:t>
      </w:r>
      <w:r w:rsidR="0020566A">
        <w:rPr>
          <w:rFonts w:asciiTheme="minorHAnsi" w:hAnsiTheme="minorHAnsi" w:cstheme="minorHAnsi"/>
          <w:sz w:val="26"/>
          <w:szCs w:val="26"/>
          <w:lang w:val="pt-PT"/>
        </w:rPr>
        <w:t>,</w:t>
      </w:r>
      <w:r w:rsidRPr="001C2FDA">
        <w:rPr>
          <w:rFonts w:asciiTheme="minorHAnsi" w:hAnsiTheme="minorHAnsi" w:cstheme="minorHAnsi"/>
          <w:sz w:val="26"/>
          <w:szCs w:val="26"/>
          <w:lang w:val="pt-PT"/>
        </w:rPr>
        <w:t xml:space="preserve"> organizat în perioada august - decembrie 2025;</w:t>
      </w:r>
    </w:p>
    <w:p w14:paraId="3DE78FDE" w14:textId="0C8226D7" w:rsidR="005F0015" w:rsidRPr="001C2FDA" w:rsidRDefault="005F0015" w:rsidP="008E1EF9">
      <w:pPr>
        <w:spacing w:line="276" w:lineRule="auto"/>
        <w:ind w:firstLine="708"/>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 Concurs de promovare în funcţia de judecător la Înalta Curte de Casaţie şi Justiţie</w:t>
      </w:r>
      <w:r w:rsidR="0020566A">
        <w:rPr>
          <w:rFonts w:asciiTheme="minorHAnsi" w:hAnsiTheme="minorHAnsi" w:cstheme="minorHAnsi"/>
          <w:sz w:val="26"/>
          <w:szCs w:val="26"/>
          <w:lang w:val="pt-PT"/>
        </w:rPr>
        <w:t xml:space="preserve">, organizat </w:t>
      </w:r>
      <w:r w:rsidRPr="001C2FDA">
        <w:rPr>
          <w:rFonts w:asciiTheme="minorHAnsi" w:hAnsiTheme="minorHAnsi" w:cstheme="minorHAnsi"/>
          <w:sz w:val="26"/>
          <w:szCs w:val="26"/>
          <w:lang w:val="pt-PT"/>
        </w:rPr>
        <w:t>în perioada septembrie 2024 - ianuarie 2025;</w:t>
      </w:r>
    </w:p>
    <w:p w14:paraId="7786FD67" w14:textId="51871894" w:rsidR="005F0015" w:rsidRPr="001C2FDA" w:rsidRDefault="005F0015" w:rsidP="008E1EF9">
      <w:pPr>
        <w:spacing w:line="276" w:lineRule="auto"/>
        <w:ind w:firstLine="708"/>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 Concurs de promovare în funcţia de judecător la Înalta Curte de Casaţie şi Justiţie</w:t>
      </w:r>
      <w:r w:rsidR="0020566A">
        <w:rPr>
          <w:rFonts w:asciiTheme="minorHAnsi" w:hAnsiTheme="minorHAnsi" w:cstheme="minorHAnsi"/>
          <w:sz w:val="26"/>
          <w:szCs w:val="26"/>
          <w:lang w:val="pt-PT"/>
        </w:rPr>
        <w:t xml:space="preserve">, organizat </w:t>
      </w:r>
      <w:r w:rsidRPr="001C2FDA">
        <w:rPr>
          <w:rFonts w:asciiTheme="minorHAnsi" w:hAnsiTheme="minorHAnsi" w:cstheme="minorHAnsi"/>
          <w:sz w:val="26"/>
          <w:szCs w:val="26"/>
          <w:lang w:val="pt-PT"/>
        </w:rPr>
        <w:t>în perioada august - noiembrie 2025;</w:t>
      </w:r>
    </w:p>
    <w:p w14:paraId="10B45CBF" w14:textId="0C01E077" w:rsidR="005F0015" w:rsidRPr="001C2FDA" w:rsidRDefault="005F0015" w:rsidP="008E1EF9">
      <w:pPr>
        <w:spacing w:line="276" w:lineRule="auto"/>
        <w:ind w:firstLine="708"/>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 Concurs pentru numirea în funcția de inspector judiciar în cadrul Direcției de inspecție pentru judecători a Inspecției Judiciare, organizat în perioada 14</w:t>
      </w:r>
      <w:r w:rsidR="00B831A8">
        <w:rPr>
          <w:rFonts w:asciiTheme="minorHAnsi" w:hAnsiTheme="minorHAnsi" w:cstheme="minorHAnsi"/>
          <w:sz w:val="26"/>
          <w:szCs w:val="26"/>
          <w:lang w:val="pt-PT"/>
        </w:rPr>
        <w:t xml:space="preserve"> octombrie </w:t>
      </w:r>
      <w:r w:rsidRPr="001C2FDA">
        <w:rPr>
          <w:rFonts w:asciiTheme="minorHAnsi" w:hAnsiTheme="minorHAnsi" w:cstheme="minorHAnsi"/>
          <w:sz w:val="26"/>
          <w:szCs w:val="26"/>
          <w:lang w:val="pt-PT"/>
        </w:rPr>
        <w:t xml:space="preserve">2024 </w:t>
      </w:r>
      <w:r w:rsidR="00CA299A">
        <w:rPr>
          <w:rFonts w:asciiTheme="minorHAnsi" w:hAnsiTheme="minorHAnsi" w:cstheme="minorHAnsi"/>
          <w:sz w:val="26"/>
          <w:szCs w:val="26"/>
          <w:lang w:val="pt-PT"/>
        </w:rPr>
        <w:t>–</w:t>
      </w:r>
      <w:r w:rsidRPr="001C2FDA">
        <w:rPr>
          <w:rFonts w:asciiTheme="minorHAnsi" w:hAnsiTheme="minorHAnsi" w:cstheme="minorHAnsi"/>
          <w:sz w:val="26"/>
          <w:szCs w:val="26"/>
          <w:lang w:val="pt-PT"/>
        </w:rPr>
        <w:t xml:space="preserve"> 11</w:t>
      </w:r>
      <w:r w:rsidR="00B831A8">
        <w:rPr>
          <w:rFonts w:asciiTheme="minorHAnsi" w:hAnsiTheme="minorHAnsi" w:cstheme="minorHAnsi"/>
          <w:sz w:val="26"/>
          <w:szCs w:val="26"/>
          <w:lang w:val="pt-PT"/>
        </w:rPr>
        <w:t xml:space="preserve"> martie </w:t>
      </w:r>
      <w:r w:rsidRPr="001C2FDA">
        <w:rPr>
          <w:rFonts w:asciiTheme="minorHAnsi" w:hAnsiTheme="minorHAnsi" w:cstheme="minorHAnsi"/>
          <w:sz w:val="26"/>
          <w:szCs w:val="26"/>
          <w:lang w:val="pt-PT"/>
        </w:rPr>
        <w:t>2025;</w:t>
      </w:r>
    </w:p>
    <w:p w14:paraId="7256B678" w14:textId="0CD1C7E6" w:rsidR="005F0015" w:rsidRPr="001C2FDA" w:rsidRDefault="005F0015" w:rsidP="008E1EF9">
      <w:pPr>
        <w:spacing w:line="276" w:lineRule="auto"/>
        <w:ind w:firstLine="708"/>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 Concurs pentru numirea în funcția de inspector judiciar în cadrul Direcției de inspecție pentru procurori a Inspecției Judiciare, organizat în perioada 12</w:t>
      </w:r>
      <w:r w:rsidR="00B831A8">
        <w:rPr>
          <w:rFonts w:asciiTheme="minorHAnsi" w:hAnsiTheme="minorHAnsi" w:cstheme="minorHAnsi"/>
          <w:sz w:val="26"/>
          <w:szCs w:val="26"/>
          <w:lang w:val="pt-PT"/>
        </w:rPr>
        <w:t xml:space="preserve"> decembrie </w:t>
      </w:r>
      <w:r w:rsidRPr="001C2FDA">
        <w:rPr>
          <w:rFonts w:asciiTheme="minorHAnsi" w:hAnsiTheme="minorHAnsi" w:cstheme="minorHAnsi"/>
          <w:sz w:val="26"/>
          <w:szCs w:val="26"/>
          <w:lang w:val="pt-PT"/>
        </w:rPr>
        <w:t>2024 – 01</w:t>
      </w:r>
      <w:r w:rsidR="00B831A8">
        <w:rPr>
          <w:rFonts w:asciiTheme="minorHAnsi" w:hAnsiTheme="minorHAnsi" w:cstheme="minorHAnsi"/>
          <w:sz w:val="26"/>
          <w:szCs w:val="26"/>
          <w:lang w:val="pt-PT"/>
        </w:rPr>
        <w:t xml:space="preserve"> iulie </w:t>
      </w:r>
      <w:r w:rsidRPr="001C2FDA">
        <w:rPr>
          <w:rFonts w:asciiTheme="minorHAnsi" w:hAnsiTheme="minorHAnsi" w:cstheme="minorHAnsi"/>
          <w:sz w:val="26"/>
          <w:szCs w:val="26"/>
          <w:lang w:val="pt-PT"/>
        </w:rPr>
        <w:t>2025;</w:t>
      </w:r>
    </w:p>
    <w:p w14:paraId="03A30472" w14:textId="5E8FF0B6" w:rsidR="005F0015" w:rsidRPr="001C2FDA" w:rsidRDefault="005F0015" w:rsidP="008E1EF9">
      <w:pPr>
        <w:spacing w:line="276" w:lineRule="auto"/>
        <w:ind w:firstLine="708"/>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 Concurs pentru numirea în funcția de director al Direcției de inspecție pentru judecători din cadrul Inspecției Judiciare, organizat în perioada 26</w:t>
      </w:r>
      <w:r w:rsidR="00B831A8">
        <w:rPr>
          <w:rFonts w:asciiTheme="minorHAnsi" w:hAnsiTheme="minorHAnsi" w:cstheme="minorHAnsi"/>
          <w:sz w:val="26"/>
          <w:szCs w:val="26"/>
          <w:lang w:val="pt-PT"/>
        </w:rPr>
        <w:t xml:space="preserve"> februarie</w:t>
      </w:r>
      <w:r w:rsidRPr="001C2FDA">
        <w:rPr>
          <w:rFonts w:asciiTheme="minorHAnsi" w:hAnsiTheme="minorHAnsi" w:cstheme="minorHAnsi"/>
          <w:sz w:val="26"/>
          <w:szCs w:val="26"/>
          <w:lang w:val="pt-PT"/>
        </w:rPr>
        <w:t xml:space="preserve"> – 01</w:t>
      </w:r>
      <w:r w:rsidR="00B831A8">
        <w:rPr>
          <w:rFonts w:asciiTheme="minorHAnsi" w:hAnsiTheme="minorHAnsi" w:cstheme="minorHAnsi"/>
          <w:sz w:val="26"/>
          <w:szCs w:val="26"/>
          <w:lang w:val="pt-PT"/>
        </w:rPr>
        <w:t xml:space="preserve"> iulie </w:t>
      </w:r>
      <w:r w:rsidRPr="001C2FDA">
        <w:rPr>
          <w:rFonts w:asciiTheme="minorHAnsi" w:hAnsiTheme="minorHAnsi" w:cstheme="minorHAnsi"/>
          <w:sz w:val="26"/>
          <w:szCs w:val="26"/>
          <w:lang w:val="pt-PT"/>
        </w:rPr>
        <w:t>2025;</w:t>
      </w:r>
    </w:p>
    <w:p w14:paraId="1FEE3DCB" w14:textId="400EC746" w:rsidR="005F0015" w:rsidRPr="001C2FDA" w:rsidRDefault="005F0015" w:rsidP="008E1EF9">
      <w:pPr>
        <w:spacing w:line="276" w:lineRule="auto"/>
        <w:ind w:firstLine="708"/>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 Concurs privind numirea în funcţie a inspectorului-şef şi a inspectorului şef-adjunct ai Inspecției Judiciare, organizat în perioada 26</w:t>
      </w:r>
      <w:r w:rsidR="00B831A8">
        <w:rPr>
          <w:rFonts w:asciiTheme="minorHAnsi" w:hAnsiTheme="minorHAnsi" w:cstheme="minorHAnsi"/>
          <w:sz w:val="26"/>
          <w:szCs w:val="26"/>
          <w:lang w:val="pt-PT"/>
        </w:rPr>
        <w:t xml:space="preserve"> februarie</w:t>
      </w:r>
      <w:r w:rsidRPr="001C2FDA">
        <w:rPr>
          <w:rFonts w:asciiTheme="minorHAnsi" w:hAnsiTheme="minorHAnsi" w:cstheme="minorHAnsi"/>
          <w:sz w:val="26"/>
          <w:szCs w:val="26"/>
          <w:lang w:val="pt-PT"/>
        </w:rPr>
        <w:t xml:space="preserve"> – 01</w:t>
      </w:r>
      <w:r w:rsidR="00B831A8">
        <w:rPr>
          <w:rFonts w:asciiTheme="minorHAnsi" w:hAnsiTheme="minorHAnsi" w:cstheme="minorHAnsi"/>
          <w:sz w:val="26"/>
          <w:szCs w:val="26"/>
          <w:lang w:val="pt-PT"/>
        </w:rPr>
        <w:t xml:space="preserve"> iulie </w:t>
      </w:r>
      <w:r w:rsidRPr="001C2FDA">
        <w:rPr>
          <w:rFonts w:asciiTheme="minorHAnsi" w:hAnsiTheme="minorHAnsi" w:cstheme="minorHAnsi"/>
          <w:sz w:val="26"/>
          <w:szCs w:val="26"/>
          <w:lang w:val="pt-PT"/>
        </w:rPr>
        <w:t>2025;</w:t>
      </w:r>
    </w:p>
    <w:p w14:paraId="11C546F4" w14:textId="77777777" w:rsidR="005F0015" w:rsidRPr="001C2FDA" w:rsidRDefault="005F0015" w:rsidP="008E1EF9">
      <w:pPr>
        <w:spacing w:line="276" w:lineRule="auto"/>
        <w:ind w:firstLine="708"/>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 Concursul de admitere la Şcoala Naţională de Grefieri, sesiunea mai 2025.</w:t>
      </w:r>
    </w:p>
    <w:p w14:paraId="583FA694" w14:textId="77777777" w:rsidR="005F0015" w:rsidRPr="001C2FDA" w:rsidRDefault="005F0015" w:rsidP="00F775BC">
      <w:pPr>
        <w:spacing w:line="276" w:lineRule="auto"/>
        <w:ind w:left="-567" w:firstLine="1276"/>
        <w:jc w:val="both"/>
        <w:rPr>
          <w:rFonts w:asciiTheme="minorHAnsi" w:hAnsiTheme="minorHAnsi" w:cstheme="minorHAnsi"/>
          <w:b/>
          <w:sz w:val="26"/>
          <w:szCs w:val="26"/>
          <w:lang w:val="pt-PT"/>
        </w:rPr>
      </w:pPr>
      <w:r w:rsidRPr="001C2FDA">
        <w:rPr>
          <w:rFonts w:asciiTheme="minorHAnsi" w:hAnsiTheme="minorHAnsi" w:cstheme="minorHAnsi"/>
          <w:b/>
          <w:sz w:val="26"/>
          <w:szCs w:val="26"/>
          <w:lang w:val="pt-PT"/>
        </w:rPr>
        <w:t>2. Dezvoltare proiectelor informatice</w:t>
      </w:r>
    </w:p>
    <w:p w14:paraId="1CE64E7D" w14:textId="6368C6A1" w:rsidR="005F0015" w:rsidRPr="001C2FDA" w:rsidRDefault="005F0015" w:rsidP="00F775BC">
      <w:pPr>
        <w:spacing w:line="276" w:lineRule="auto"/>
        <w:ind w:firstLine="709"/>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Consiliul Superior al Magistraturii a implementat un sistem de inteligență artificială dedicat anonimizării automate a hotărârilor judecătorești care este folosit punctual de către personalul instanțelor, urmând a fi extins, după mici adaptări, la nivelul întregii baze de date, prin înlocuirea vechiului mecanism de anonimizare, bazat pe algoritmi tehnici, cu noul sistem bazat pe inteligență artificială.</w:t>
      </w:r>
    </w:p>
    <w:p w14:paraId="4A5DD944" w14:textId="6AD6091F" w:rsidR="005F0015" w:rsidRPr="001C2FDA" w:rsidRDefault="005F0015" w:rsidP="00F775BC">
      <w:pPr>
        <w:spacing w:line="276" w:lineRule="auto"/>
        <w:ind w:firstLine="709"/>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 xml:space="preserve">În cadrul Consiliului se află în curs de implementare la nivel național un sistem de inteligență artificială destinat să realizeze rezumatul susținerilor părților în cadrul procedurilor judiciare (text.rejust.ro). Aceste susțineri constituie partea introductivă a unei hotărâri judecătorești, fiind esențiale pentru prezentarea cadrului factual și juridic în care se încadrează litigiul, înainte de </w:t>
      </w:r>
      <w:r w:rsidRPr="001C2FDA">
        <w:rPr>
          <w:rFonts w:asciiTheme="minorHAnsi" w:hAnsiTheme="minorHAnsi" w:cstheme="minorHAnsi"/>
          <w:sz w:val="26"/>
          <w:szCs w:val="26"/>
          <w:lang w:val="pt-PT"/>
        </w:rPr>
        <w:lastRenderedPageBreak/>
        <w:t>expunerea raționamentului judecătorului avut în vedere la deliberare și pronunțare. Proiectul urmărește să automatizeze procesul de sintetizare a pozițiilor părților – cererile, apărările, excepțiile și concluziile – într-o formă clară și concisă, respectând cerințele formale ale redactării hotărârilor. Un astfel de instrument are potențialul de a reduce semnificativ volumul de muncă administrativă al judecătorilor și al personalului auxiliar, permițându-le judecătorilor să se concentreze mai atent asupra aspectelor esențiale ale deliberării și redactării raționamentului juridic propriu-zis. Au fost redactate susținerile din aproximativ 170</w:t>
      </w:r>
      <w:r w:rsidR="00F771A6">
        <w:rPr>
          <w:rFonts w:asciiTheme="minorHAnsi" w:hAnsiTheme="minorHAnsi" w:cstheme="minorHAnsi"/>
          <w:sz w:val="26"/>
          <w:szCs w:val="26"/>
          <w:lang w:val="pt-PT"/>
        </w:rPr>
        <w:t>.</w:t>
      </w:r>
      <w:r w:rsidRPr="001C2FDA">
        <w:rPr>
          <w:rFonts w:asciiTheme="minorHAnsi" w:hAnsiTheme="minorHAnsi" w:cstheme="minorHAnsi"/>
          <w:sz w:val="26"/>
          <w:szCs w:val="26"/>
          <w:lang w:val="pt-PT"/>
        </w:rPr>
        <w:t>000 de cereri adresate instanțelor și noul model de inteligență artificială a fost folosit în aproximativ 12</w:t>
      </w:r>
      <w:r w:rsidR="00F771A6">
        <w:rPr>
          <w:rFonts w:asciiTheme="minorHAnsi" w:hAnsiTheme="minorHAnsi" w:cstheme="minorHAnsi"/>
          <w:sz w:val="26"/>
          <w:szCs w:val="26"/>
          <w:lang w:val="pt-PT"/>
        </w:rPr>
        <w:t>.</w:t>
      </w:r>
      <w:r w:rsidRPr="001C2FDA">
        <w:rPr>
          <w:rFonts w:asciiTheme="minorHAnsi" w:hAnsiTheme="minorHAnsi" w:cstheme="minorHAnsi"/>
          <w:sz w:val="26"/>
          <w:szCs w:val="26"/>
          <w:lang w:val="pt-PT"/>
        </w:rPr>
        <w:t xml:space="preserve">000 de cereri. </w:t>
      </w:r>
    </w:p>
    <w:p w14:paraId="0D64E6F7" w14:textId="7FE5EC6D" w:rsidR="005F0015" w:rsidRPr="001C2FDA" w:rsidRDefault="005F0015" w:rsidP="00F775BC">
      <w:pPr>
        <w:spacing w:line="276" w:lineRule="auto"/>
        <w:ind w:firstLine="709"/>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În cadrul C</w:t>
      </w:r>
      <w:r w:rsidR="009F78D2">
        <w:rPr>
          <w:rFonts w:asciiTheme="minorHAnsi" w:hAnsiTheme="minorHAnsi" w:cstheme="minorHAnsi"/>
          <w:sz w:val="26"/>
          <w:szCs w:val="26"/>
          <w:lang w:val="pt-PT"/>
        </w:rPr>
        <w:t>.S.M.</w:t>
      </w:r>
      <w:r w:rsidRPr="001C2FDA">
        <w:rPr>
          <w:rFonts w:asciiTheme="minorHAnsi" w:hAnsiTheme="minorHAnsi" w:cstheme="minorHAnsi"/>
          <w:sz w:val="26"/>
          <w:szCs w:val="26"/>
          <w:lang w:val="pt-PT"/>
        </w:rPr>
        <w:t xml:space="preserve"> a fost dezvoltată o nouă aplicație statistică – statis.rejust.ro, construită pe o arhitectură modernizată și inovatoare, menită să optimizeze procesele de colectare, analiză și raportare a datelor statistice judiciare. </w:t>
      </w:r>
    </w:p>
    <w:p w14:paraId="72FD3C5D" w14:textId="28CCB5EA" w:rsidR="005F0015" w:rsidRPr="001C2FDA" w:rsidRDefault="005F0015" w:rsidP="00F775BC">
      <w:pPr>
        <w:spacing w:line="276" w:lineRule="auto"/>
        <w:ind w:firstLine="709"/>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În cursul anului 2025, portalul registratura.rejust.ro a beneficiat de implementare</w:t>
      </w:r>
      <w:r w:rsidR="00B27D21">
        <w:rPr>
          <w:rFonts w:asciiTheme="minorHAnsi" w:hAnsiTheme="minorHAnsi" w:cstheme="minorHAnsi"/>
          <w:sz w:val="26"/>
          <w:szCs w:val="26"/>
          <w:lang w:val="pt-PT"/>
        </w:rPr>
        <w:t xml:space="preserve"> </w:t>
      </w:r>
      <w:r w:rsidRPr="001C2FDA">
        <w:rPr>
          <w:rFonts w:asciiTheme="minorHAnsi" w:hAnsiTheme="minorHAnsi" w:cstheme="minorHAnsi"/>
          <w:sz w:val="26"/>
          <w:szCs w:val="26"/>
          <w:lang w:val="pt-PT"/>
        </w:rPr>
        <w:t>a unor noi funcționalități, fiind optimizat atât pentru a facilita interacțiunea utilizatorilor, cât și pentru a simplifica sarcinile celor responsabili de gestionarea fluxului documentelor și al corespondenței, contribuind astfel la eficientizarea activității instanțelor și la creșterea calității serviciilor oferite.</w:t>
      </w:r>
    </w:p>
    <w:p w14:paraId="7801A32F" w14:textId="77777777" w:rsidR="005F0015" w:rsidRPr="001C2FDA" w:rsidRDefault="005F0015" w:rsidP="00F775BC">
      <w:pPr>
        <w:spacing w:line="276" w:lineRule="auto"/>
        <w:ind w:firstLine="709"/>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 xml:space="preserve">Procesul de dezvoltare a inclus integrarea unor funcționalități avansate care simplifică procesul de transmitere și gestionare a cererilor, concomitent cu implementarea unui sistem care transmite automat confirmări prin e-mail referitoare la depunerea și procesarea cererilor, menținând părțile informate în timp real cu privire la evoluția solicitărilor lor. </w:t>
      </w:r>
    </w:p>
    <w:p w14:paraId="71DE3563" w14:textId="17B01FE1" w:rsidR="005F0015" w:rsidRPr="001C2FDA" w:rsidRDefault="005F0015" w:rsidP="00F775BC">
      <w:pPr>
        <w:spacing w:line="276" w:lineRule="auto"/>
        <w:ind w:firstLine="709"/>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 xml:space="preserve">Trebuie menționat că soluția reprezintă un modul în cadrul aplicației ReJust Desktop și gestionează orice e-mail transmis către adresele de e-mail configurate în acest scop de instanțele judecătorești, nu doar cele </w:t>
      </w:r>
      <w:r w:rsidR="00F80217">
        <w:rPr>
          <w:rFonts w:asciiTheme="minorHAnsi" w:hAnsiTheme="minorHAnsi" w:cstheme="minorHAnsi"/>
          <w:sz w:val="26"/>
          <w:szCs w:val="26"/>
          <w:lang w:val="pt-PT"/>
        </w:rPr>
        <w:t>transmise</w:t>
      </w:r>
      <w:r w:rsidRPr="001C2FDA">
        <w:rPr>
          <w:rFonts w:asciiTheme="minorHAnsi" w:hAnsiTheme="minorHAnsi" w:cstheme="minorHAnsi"/>
          <w:sz w:val="26"/>
          <w:szCs w:val="26"/>
          <w:lang w:val="pt-PT"/>
        </w:rPr>
        <w:t xml:space="preserve"> prin intermediul portalului registratura.rejust.ro.</w:t>
      </w:r>
    </w:p>
    <w:p w14:paraId="74B305C8" w14:textId="77777777" w:rsidR="005F0015" w:rsidRPr="001C2FDA" w:rsidRDefault="005F0015" w:rsidP="00F775BC">
      <w:pPr>
        <w:spacing w:line="276" w:lineRule="auto"/>
        <w:ind w:firstLine="709"/>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Acest modul facilitează și încărcarea documentelor în ECRIS, nemaifiind necesară scanarea acestora după aplicarea vizei de primire. În plus, pe viza aplicată electronic sunt afișate și următoarele informații ce diminuează timpul de procesare a cererilor: numărul dosarului, completul și termenul de judecată.</w:t>
      </w:r>
    </w:p>
    <w:p w14:paraId="12F1BC60" w14:textId="77777777" w:rsidR="005F0015" w:rsidRPr="001C2FDA" w:rsidRDefault="005F0015" w:rsidP="00F775BC">
      <w:pPr>
        <w:spacing w:line="276" w:lineRule="auto"/>
        <w:ind w:firstLine="709"/>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 xml:space="preserve">Dacă e-mailul conține documente semnate electronic, la finalul fiecărui document se atașează automat un raport din conținutul căruia rezultă dacă pe document a fost aplicată o semnătură electronică extinsă, bazată pe un certificat calificat nesuspendat sau nerevocat la momentul respectiv și generată cu ajutorul unui dispozitiv securizat de creare a semnăturii electronice. </w:t>
      </w:r>
    </w:p>
    <w:p w14:paraId="5ED465F2" w14:textId="5AC3CA9C" w:rsidR="005F0015" w:rsidRPr="001C2FDA" w:rsidRDefault="005F0015" w:rsidP="00F775BC">
      <w:pPr>
        <w:spacing w:line="276" w:lineRule="auto"/>
        <w:ind w:firstLine="709"/>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Pentru dosarele noi, părțile primesc pe e-mail confirmare de înregistrare a dosarului, fiindu-le comunicat și numărul unic al dosarului nou creat. Pentru înscrisurile depuse la dosarele existente, părțile primesc pe e-mail confirmarea faptului că documentul a fost încărcat în dosar. Dacă partea atașază fișiere în formate neacceptate, în răspunsul trimis se menționează expres ce atașamente nu au fost prelucrate din cauza extensiei fișierului. În același timp, grefierul registrator are posibilitatea de a restitui e-mailul sau de a-l redirecționa către o altă adresa de e-mail</w:t>
      </w:r>
      <w:r w:rsidR="002131C5">
        <w:rPr>
          <w:rFonts w:asciiTheme="minorHAnsi" w:hAnsiTheme="minorHAnsi" w:cstheme="minorHAnsi"/>
          <w:sz w:val="26"/>
          <w:szCs w:val="26"/>
          <w:lang w:val="pt-PT"/>
        </w:rPr>
        <w:t>.</w:t>
      </w:r>
    </w:p>
    <w:p w14:paraId="1557E22A" w14:textId="77777777" w:rsidR="005F0015" w:rsidRPr="001C2FDA" w:rsidRDefault="005F0015" w:rsidP="00F775BC">
      <w:pPr>
        <w:spacing w:line="276" w:lineRule="auto"/>
        <w:ind w:firstLine="709"/>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În cursul anului 2025, portalul de jurisprudență rejust.ro a fost optimizat prin implementarea unor soluții avansate de securitate, menite să prevină utilizarea neautorizată a unor aplicații software pentru preluarea automată a jurisprudenței publicate. Această abordare reflectă o atenție sporită acordată securității și utilizării portalului exclusiv în conformitate cu scopul pentru care a fost conceput.</w:t>
      </w:r>
    </w:p>
    <w:p w14:paraId="678C124A" w14:textId="77777777" w:rsidR="005F0015" w:rsidRPr="001C2FDA" w:rsidRDefault="005F0015" w:rsidP="00030B17">
      <w:pPr>
        <w:spacing w:line="276" w:lineRule="auto"/>
        <w:ind w:left="-567" w:right="-330" w:firstLine="1134"/>
        <w:jc w:val="both"/>
        <w:rPr>
          <w:rFonts w:asciiTheme="minorHAnsi" w:hAnsiTheme="minorHAnsi" w:cstheme="minorHAnsi"/>
          <w:b/>
          <w:sz w:val="26"/>
          <w:szCs w:val="26"/>
          <w:lang w:val="pt-PT"/>
        </w:rPr>
      </w:pPr>
      <w:r w:rsidRPr="001C2FDA">
        <w:rPr>
          <w:rFonts w:asciiTheme="minorHAnsi" w:hAnsiTheme="minorHAnsi" w:cstheme="minorHAnsi"/>
          <w:b/>
          <w:sz w:val="26"/>
          <w:szCs w:val="26"/>
          <w:lang w:val="pt-PT"/>
        </w:rPr>
        <w:t xml:space="preserve">3. Participare în cadrul mai multor proiecte </w:t>
      </w:r>
    </w:p>
    <w:p w14:paraId="03A68118" w14:textId="75E10D77" w:rsidR="005F0015" w:rsidRPr="001C2FDA" w:rsidRDefault="005027AB" w:rsidP="00A5615E">
      <w:pPr>
        <w:spacing w:line="276" w:lineRule="auto"/>
        <w:ind w:firstLine="567"/>
        <w:jc w:val="both"/>
        <w:rPr>
          <w:rFonts w:asciiTheme="minorHAnsi" w:hAnsiTheme="minorHAnsi" w:cstheme="minorHAnsi"/>
          <w:sz w:val="26"/>
          <w:szCs w:val="26"/>
          <w:lang w:val="pt-PT"/>
        </w:rPr>
      </w:pPr>
      <w:r>
        <w:rPr>
          <w:rFonts w:asciiTheme="minorHAnsi" w:hAnsiTheme="minorHAnsi" w:cstheme="minorHAnsi"/>
          <w:sz w:val="26"/>
          <w:szCs w:val="26"/>
          <w:lang w:val="pt-PT"/>
        </w:rPr>
        <w:lastRenderedPageBreak/>
        <w:t xml:space="preserve">- </w:t>
      </w:r>
      <w:r w:rsidR="005F0015" w:rsidRPr="001C2FDA">
        <w:rPr>
          <w:rFonts w:asciiTheme="minorHAnsi" w:hAnsiTheme="minorHAnsi" w:cstheme="minorHAnsi"/>
          <w:sz w:val="26"/>
          <w:szCs w:val="26"/>
          <w:lang w:val="pt-PT"/>
        </w:rPr>
        <w:t>Dezvoltarea sistemului electronic de management al cauzelor – ECRIS V;</w:t>
      </w:r>
    </w:p>
    <w:p w14:paraId="25B331E3" w14:textId="6F860938" w:rsidR="005F0015" w:rsidRPr="001C2FDA" w:rsidRDefault="005027AB" w:rsidP="00A5615E">
      <w:pPr>
        <w:spacing w:line="276" w:lineRule="auto"/>
        <w:ind w:firstLine="567"/>
        <w:jc w:val="both"/>
        <w:rPr>
          <w:rFonts w:asciiTheme="minorHAnsi" w:hAnsiTheme="minorHAnsi" w:cstheme="minorHAnsi"/>
          <w:sz w:val="26"/>
          <w:szCs w:val="26"/>
          <w:lang w:val="pt-PT"/>
        </w:rPr>
      </w:pPr>
      <w:r>
        <w:rPr>
          <w:rFonts w:asciiTheme="minorHAnsi" w:hAnsiTheme="minorHAnsi" w:cstheme="minorHAnsi"/>
          <w:sz w:val="26"/>
          <w:szCs w:val="26"/>
          <w:lang w:val="pt-PT"/>
        </w:rPr>
        <w:t xml:space="preserve">- </w:t>
      </w:r>
      <w:r w:rsidR="005F0015" w:rsidRPr="001C2FDA">
        <w:rPr>
          <w:rFonts w:asciiTheme="minorHAnsi" w:hAnsiTheme="minorHAnsi" w:cstheme="minorHAnsi"/>
          <w:sz w:val="26"/>
          <w:szCs w:val="26"/>
          <w:lang w:val="pt-PT"/>
        </w:rPr>
        <w:t>Proiectul „Îmbunătățirea digitalizării la nivelul Consiliului Superior al Magistraturii”, finanțat prin Mecanismul de Redresare și Reziliență, în cadrul Componentei 7 – „Transformare digitală”, Investiția 4 „Digitalizarea sistemului judiciar” din Planul Național de Redresare și Reziliență.</w:t>
      </w:r>
    </w:p>
    <w:p w14:paraId="668DA5D5" w14:textId="77777777" w:rsidR="005F0015" w:rsidRPr="001C2FDA" w:rsidRDefault="005F0015" w:rsidP="000C1923">
      <w:pPr>
        <w:keepNext/>
        <w:spacing w:line="276" w:lineRule="auto"/>
        <w:ind w:left="-567" w:right="-330" w:firstLine="1134"/>
        <w:jc w:val="both"/>
        <w:rPr>
          <w:rFonts w:asciiTheme="minorHAnsi" w:hAnsiTheme="minorHAnsi" w:cstheme="minorHAnsi"/>
          <w:b/>
          <w:sz w:val="26"/>
          <w:szCs w:val="26"/>
          <w:lang w:val="pt-PT"/>
        </w:rPr>
      </w:pPr>
      <w:r w:rsidRPr="001C2FDA">
        <w:rPr>
          <w:rFonts w:asciiTheme="minorHAnsi" w:hAnsiTheme="minorHAnsi" w:cstheme="minorHAnsi"/>
          <w:b/>
          <w:sz w:val="26"/>
          <w:szCs w:val="26"/>
          <w:lang w:val="pt-PT"/>
        </w:rPr>
        <w:t>4. Securitate</w:t>
      </w:r>
    </w:p>
    <w:p w14:paraId="18ED205E" w14:textId="62BA88F5" w:rsidR="00371DA2" w:rsidRPr="00065F26" w:rsidRDefault="005F0015" w:rsidP="000C1923">
      <w:pPr>
        <w:keepNext/>
        <w:spacing w:line="276" w:lineRule="auto"/>
        <w:ind w:firstLine="567"/>
        <w:jc w:val="both"/>
        <w:rPr>
          <w:rFonts w:asciiTheme="minorHAnsi" w:hAnsiTheme="minorHAnsi" w:cstheme="minorHAnsi"/>
          <w:sz w:val="26"/>
          <w:szCs w:val="26"/>
          <w:lang w:val="pt-PT"/>
        </w:rPr>
      </w:pPr>
      <w:r w:rsidRPr="001C2FDA">
        <w:rPr>
          <w:rFonts w:asciiTheme="minorHAnsi" w:hAnsiTheme="minorHAnsi" w:cstheme="minorHAnsi"/>
          <w:sz w:val="26"/>
          <w:szCs w:val="26"/>
          <w:lang w:val="pt-PT"/>
        </w:rPr>
        <w:t>Produsele de securitate la nivel de staţie au fost actualizate la ultimele versiuni. Echipamentele de protecţie la nivelul reţelei au fost monitorizate permanent, prin intermediul consolelor specifice de management, pentru a asigura protecţia împotriva atacurilor cibernetice.</w:t>
      </w:r>
      <w:bookmarkStart w:id="180" w:name="_Toc430867141"/>
    </w:p>
    <w:p w14:paraId="7F9936E1" w14:textId="16E63788" w:rsidR="006C1588" w:rsidRPr="000F0D8B" w:rsidRDefault="006C1588" w:rsidP="009E3AD8">
      <w:pPr>
        <w:pStyle w:val="Heading2"/>
        <w:keepNext w:val="0"/>
        <w:keepLines w:val="0"/>
        <w:suppressLineNumbers/>
        <w:suppressAutoHyphens/>
        <w:rPr>
          <w:rFonts w:cstheme="minorHAnsi"/>
          <w:color w:val="auto"/>
          <w:lang w:val="ro-RO"/>
        </w:rPr>
      </w:pPr>
      <w:bookmarkStart w:id="181" w:name="_Toc219287991"/>
      <w:r w:rsidRPr="000F0D8B">
        <w:rPr>
          <w:rFonts w:cstheme="minorHAnsi"/>
          <w:color w:val="auto"/>
          <w:lang w:val="ro-RO"/>
        </w:rPr>
        <w:t>VI.10. Activitatea Compartimentului de audit public intern</w:t>
      </w:r>
      <w:bookmarkStart w:id="182" w:name="_Toc403552677"/>
      <w:bookmarkStart w:id="183" w:name="_Toc430867142"/>
      <w:bookmarkEnd w:id="180"/>
      <w:bookmarkEnd w:id="181"/>
    </w:p>
    <w:p w14:paraId="7EA6C693" w14:textId="4F023A38" w:rsidR="00C675CD" w:rsidRPr="000F0D8B" w:rsidRDefault="00C675CD" w:rsidP="009E3AD8">
      <w:pPr>
        <w:spacing w:line="276" w:lineRule="auto"/>
        <w:ind w:firstLine="709"/>
        <w:jc w:val="both"/>
        <w:rPr>
          <w:rFonts w:asciiTheme="minorHAnsi" w:hAnsiTheme="minorHAnsi" w:cstheme="minorHAnsi"/>
          <w:sz w:val="26"/>
          <w:szCs w:val="26"/>
        </w:rPr>
      </w:pPr>
      <w:r w:rsidRPr="000F0D8B">
        <w:rPr>
          <w:rFonts w:asciiTheme="minorHAnsi" w:hAnsiTheme="minorHAnsi" w:cstheme="minorHAnsi"/>
          <w:sz w:val="26"/>
          <w:szCs w:val="26"/>
        </w:rPr>
        <w:t>Structura de audit public intern din cadrul Consiliului Superior al Magistraturii este organizată la nivel de compartiment şi îşi desfăşoară activitatea conform Legii nr.</w:t>
      </w:r>
      <w:r w:rsidR="00F7338B">
        <w:rPr>
          <w:rFonts w:asciiTheme="minorHAnsi" w:hAnsiTheme="minorHAnsi" w:cstheme="minorHAnsi"/>
          <w:sz w:val="26"/>
          <w:szCs w:val="26"/>
        </w:rPr>
        <w:t xml:space="preserve"> </w:t>
      </w:r>
      <w:r w:rsidRPr="000F0D8B">
        <w:rPr>
          <w:rFonts w:asciiTheme="minorHAnsi" w:hAnsiTheme="minorHAnsi" w:cstheme="minorHAnsi"/>
          <w:sz w:val="26"/>
          <w:szCs w:val="26"/>
        </w:rPr>
        <w:t>672/2002 privind auditul public intern, republicată, cu modificările şi completările ulterioare, Normelor generale privind exercitarea activităţii de audit public intern aprobate prin H</w:t>
      </w:r>
      <w:r w:rsidR="00423F1F">
        <w:rPr>
          <w:rFonts w:asciiTheme="minorHAnsi" w:hAnsiTheme="minorHAnsi" w:cstheme="minorHAnsi"/>
          <w:sz w:val="26"/>
          <w:szCs w:val="26"/>
        </w:rPr>
        <w:t xml:space="preserve">.G. </w:t>
      </w:r>
      <w:r w:rsidRPr="000F0D8B">
        <w:rPr>
          <w:rFonts w:asciiTheme="minorHAnsi" w:hAnsiTheme="minorHAnsi" w:cstheme="minorHAnsi"/>
          <w:sz w:val="26"/>
          <w:szCs w:val="26"/>
        </w:rPr>
        <w:t>nr. 1086/2013 şi Normelor metodologice privind exercitarea auditului public intern din cadrul C</w:t>
      </w:r>
      <w:r w:rsidR="00423F1F">
        <w:rPr>
          <w:rFonts w:asciiTheme="minorHAnsi" w:hAnsiTheme="minorHAnsi" w:cstheme="minorHAnsi"/>
          <w:sz w:val="26"/>
          <w:szCs w:val="26"/>
        </w:rPr>
        <w:t>.S.M.</w:t>
      </w:r>
      <w:r w:rsidRPr="000F0D8B">
        <w:rPr>
          <w:rFonts w:asciiTheme="minorHAnsi" w:hAnsiTheme="minorHAnsi" w:cstheme="minorHAnsi"/>
          <w:sz w:val="26"/>
          <w:szCs w:val="26"/>
        </w:rPr>
        <w:t>, avizate de către Unitatea Centrală de Armonizare a Auditului Public Intern, structură în cadrul Ministerului Finanţelor.</w:t>
      </w:r>
    </w:p>
    <w:p w14:paraId="5F1CE80B" w14:textId="1054279E" w:rsidR="00C675CD" w:rsidRPr="000F0D8B" w:rsidRDefault="00C675CD" w:rsidP="009E3AD8">
      <w:pPr>
        <w:spacing w:line="276" w:lineRule="auto"/>
        <w:ind w:firstLine="709"/>
        <w:jc w:val="both"/>
        <w:rPr>
          <w:rFonts w:asciiTheme="minorHAnsi" w:hAnsiTheme="minorHAnsi" w:cstheme="minorHAnsi"/>
          <w:sz w:val="26"/>
          <w:szCs w:val="26"/>
        </w:rPr>
      </w:pPr>
      <w:r w:rsidRPr="000F0D8B">
        <w:rPr>
          <w:rFonts w:asciiTheme="minorHAnsi" w:hAnsiTheme="minorHAnsi" w:cstheme="minorHAnsi"/>
          <w:sz w:val="26"/>
          <w:szCs w:val="26"/>
        </w:rPr>
        <w:t>Potrivit art. 102 alin. (1) din Regulamentul de organizare şi funcţionare a Consiliului Superior al Magistraturii aprobat prin Hotărârea Plenului C</w:t>
      </w:r>
      <w:r w:rsidR="00423F1F">
        <w:rPr>
          <w:rFonts w:asciiTheme="minorHAnsi" w:hAnsiTheme="minorHAnsi" w:cstheme="minorHAnsi"/>
          <w:sz w:val="26"/>
          <w:szCs w:val="26"/>
        </w:rPr>
        <w:t xml:space="preserve">.S.M. </w:t>
      </w:r>
      <w:r w:rsidRPr="000F0D8B">
        <w:rPr>
          <w:rFonts w:asciiTheme="minorHAnsi" w:hAnsiTheme="minorHAnsi" w:cstheme="minorHAnsi"/>
          <w:sz w:val="26"/>
          <w:szCs w:val="26"/>
        </w:rPr>
        <w:t>nr.</w:t>
      </w:r>
      <w:r w:rsidR="00231C3D" w:rsidRPr="000F0D8B">
        <w:rPr>
          <w:rFonts w:asciiTheme="minorHAnsi" w:hAnsiTheme="minorHAnsi" w:cstheme="minorHAnsi"/>
          <w:sz w:val="26"/>
          <w:szCs w:val="26"/>
        </w:rPr>
        <w:t xml:space="preserve"> </w:t>
      </w:r>
      <w:r w:rsidRPr="000F0D8B">
        <w:rPr>
          <w:rFonts w:asciiTheme="minorHAnsi" w:hAnsiTheme="minorHAnsi" w:cstheme="minorHAnsi"/>
          <w:sz w:val="26"/>
          <w:szCs w:val="26"/>
        </w:rPr>
        <w:t xml:space="preserve">122/2023, Compartimentul de audit public intern reprezintă compartimentul de specialitate care exercită, în condiţiile legii, auditul intern asupra activităţilor desfăşurate în cadrul Consiliului, Institutului Naţional al Magistraturii şi Şcolii Naţionale de Grefieri, iar potrivit art. 103 alin. (1) lit. e) </w:t>
      </w:r>
      <w:r w:rsidR="00B56D1F">
        <w:rPr>
          <w:rFonts w:asciiTheme="minorHAnsi" w:hAnsiTheme="minorHAnsi" w:cstheme="minorHAnsi"/>
          <w:sz w:val="26"/>
          <w:szCs w:val="26"/>
        </w:rPr>
        <w:t xml:space="preserve">din acelaşi Regulament </w:t>
      </w:r>
      <w:r w:rsidRPr="000F0D8B">
        <w:rPr>
          <w:rFonts w:asciiTheme="minorHAnsi" w:hAnsiTheme="minorHAnsi" w:cstheme="minorHAnsi"/>
          <w:sz w:val="26"/>
          <w:szCs w:val="26"/>
        </w:rPr>
        <w:t xml:space="preserve">efectuează misiuni de evaluare cel puţin o dată la 5 ani la Compartimentul de audit public intern din cadrul Inspecţiei Judiciare. </w:t>
      </w:r>
    </w:p>
    <w:p w14:paraId="72FEC489" w14:textId="77777777" w:rsidR="00C675CD" w:rsidRPr="000F0D8B" w:rsidRDefault="00C675CD" w:rsidP="009E3AD8">
      <w:pPr>
        <w:spacing w:line="276" w:lineRule="auto"/>
        <w:ind w:firstLine="709"/>
        <w:jc w:val="both"/>
        <w:rPr>
          <w:rFonts w:asciiTheme="minorHAnsi" w:hAnsiTheme="minorHAnsi" w:cstheme="minorHAnsi"/>
          <w:sz w:val="26"/>
          <w:szCs w:val="26"/>
        </w:rPr>
      </w:pPr>
      <w:r w:rsidRPr="000F0D8B">
        <w:rPr>
          <w:rFonts w:asciiTheme="minorHAnsi" w:hAnsiTheme="minorHAnsi" w:cstheme="minorHAnsi"/>
          <w:sz w:val="26"/>
          <w:szCs w:val="26"/>
        </w:rPr>
        <w:t>Sfera auditului public intern cuprinde toate activităţile desfăşurate în cadrul Consiliului şi instituţiilor publice aflate sub coordonarea acestuia, pentru îndeplinirea obiectivelor acestora, inclusiv evaluarea sistemului de control intern managerial.</w:t>
      </w:r>
    </w:p>
    <w:p w14:paraId="32C6B41B" w14:textId="77777777" w:rsidR="00C675CD" w:rsidRPr="000F0D8B" w:rsidRDefault="00C675CD" w:rsidP="009E3AD8">
      <w:pPr>
        <w:spacing w:line="276" w:lineRule="auto"/>
        <w:ind w:firstLine="709"/>
        <w:jc w:val="both"/>
        <w:rPr>
          <w:rFonts w:asciiTheme="minorHAnsi" w:hAnsiTheme="minorHAnsi" w:cstheme="minorHAnsi"/>
          <w:sz w:val="26"/>
          <w:szCs w:val="26"/>
        </w:rPr>
      </w:pPr>
      <w:r w:rsidRPr="000F0D8B">
        <w:rPr>
          <w:rFonts w:asciiTheme="minorHAnsi" w:hAnsiTheme="minorHAnsi" w:cstheme="minorHAnsi"/>
          <w:sz w:val="26"/>
          <w:szCs w:val="26"/>
        </w:rPr>
        <w:t>Structura de audit public intern din cadrul Consiliului funcţionează în subordinea directă a Preşedintelui Consiliului Superior al Magistraturii, exercitând o funcţie distinctă şi independentă de activităţile instituţiei.</w:t>
      </w:r>
    </w:p>
    <w:p w14:paraId="0BF83EDD" w14:textId="77777777" w:rsidR="00C675CD" w:rsidRPr="000F0D8B" w:rsidRDefault="00C675CD" w:rsidP="009E3AD8">
      <w:pPr>
        <w:spacing w:line="276" w:lineRule="auto"/>
        <w:ind w:firstLine="709"/>
        <w:jc w:val="both"/>
        <w:rPr>
          <w:rFonts w:asciiTheme="minorHAnsi" w:hAnsiTheme="minorHAnsi" w:cstheme="minorHAnsi"/>
          <w:sz w:val="26"/>
          <w:szCs w:val="26"/>
        </w:rPr>
      </w:pPr>
      <w:r w:rsidRPr="000F0D8B">
        <w:rPr>
          <w:rFonts w:asciiTheme="minorHAnsi" w:hAnsiTheme="minorHAnsi" w:cstheme="minorHAnsi"/>
          <w:sz w:val="26"/>
          <w:szCs w:val="26"/>
        </w:rPr>
        <w:t>Obiectivul general al auditului public intern vizează, în principal, îmbunătăţirea managementului prin misiuni de asigurare şi activităţi de consiliere.</w:t>
      </w:r>
    </w:p>
    <w:p w14:paraId="4D904999" w14:textId="77777777" w:rsidR="00C675CD" w:rsidRPr="000F0D8B" w:rsidRDefault="00C675CD" w:rsidP="009E3AD8">
      <w:pPr>
        <w:spacing w:line="276" w:lineRule="auto"/>
        <w:ind w:firstLine="709"/>
        <w:jc w:val="both"/>
        <w:rPr>
          <w:rFonts w:asciiTheme="minorHAnsi" w:hAnsiTheme="minorHAnsi" w:cstheme="minorHAnsi"/>
          <w:sz w:val="26"/>
          <w:szCs w:val="26"/>
        </w:rPr>
      </w:pPr>
      <w:r w:rsidRPr="000F0D8B">
        <w:rPr>
          <w:rFonts w:asciiTheme="minorHAnsi" w:hAnsiTheme="minorHAnsi" w:cstheme="minorHAnsi"/>
          <w:sz w:val="26"/>
          <w:szCs w:val="26"/>
        </w:rPr>
        <w:t xml:space="preserve">Compartimentul de audit public intern şi-a desfăşurat activitatea în anul 2025 potrivit Planului multianual de audit public intern pentru perioada 2025 - 2028, în baza căruia a fost elaborat Planul de audit public intern pentru anul 2025, ambele documente fiind aprobate de către Preşedintele Consiliului Superior al Magistraturii. </w:t>
      </w:r>
    </w:p>
    <w:p w14:paraId="33645DF5" w14:textId="77777777" w:rsidR="00C675CD" w:rsidRPr="000F0D8B" w:rsidRDefault="00C675CD" w:rsidP="009E3AD8">
      <w:pPr>
        <w:spacing w:line="276" w:lineRule="auto"/>
        <w:ind w:firstLine="709"/>
        <w:jc w:val="both"/>
        <w:rPr>
          <w:rFonts w:asciiTheme="minorHAnsi" w:hAnsiTheme="minorHAnsi" w:cstheme="minorHAnsi"/>
          <w:sz w:val="26"/>
          <w:szCs w:val="26"/>
        </w:rPr>
      </w:pPr>
      <w:r w:rsidRPr="000F0D8B">
        <w:rPr>
          <w:rFonts w:asciiTheme="minorHAnsi" w:hAnsiTheme="minorHAnsi" w:cstheme="minorHAnsi"/>
          <w:sz w:val="26"/>
          <w:szCs w:val="26"/>
        </w:rPr>
        <w:t>Ca urmare a rezultatului analizei de risc şi resurselor de audit disponibile pentru anul 2025 (2 auditori interni), au fost planificate un număr de 4 misiuni de audit public intern, procentul de realizare al acestora fiind de 100%, astfel:</w:t>
      </w:r>
    </w:p>
    <w:p w14:paraId="2C753EA5" w14:textId="5678FF34" w:rsidR="00C675CD" w:rsidRPr="000F0D8B" w:rsidRDefault="00C675CD" w:rsidP="009E3AD8">
      <w:pPr>
        <w:tabs>
          <w:tab w:val="left" w:pos="993"/>
        </w:tabs>
        <w:spacing w:line="276" w:lineRule="auto"/>
        <w:ind w:firstLine="709"/>
        <w:jc w:val="both"/>
        <w:rPr>
          <w:rFonts w:asciiTheme="minorHAnsi" w:hAnsiTheme="minorHAnsi" w:cstheme="minorHAnsi"/>
          <w:sz w:val="26"/>
          <w:szCs w:val="26"/>
        </w:rPr>
      </w:pPr>
      <w:r w:rsidRPr="000F0D8B">
        <w:rPr>
          <w:rFonts w:asciiTheme="minorHAnsi" w:hAnsiTheme="minorHAnsi" w:cstheme="minorHAnsi"/>
          <w:sz w:val="26"/>
          <w:szCs w:val="26"/>
        </w:rPr>
        <w:t>-</w:t>
      </w:r>
      <w:r w:rsidRPr="000F0D8B">
        <w:rPr>
          <w:rFonts w:asciiTheme="minorHAnsi" w:hAnsiTheme="minorHAnsi" w:cstheme="minorHAnsi"/>
          <w:sz w:val="26"/>
          <w:szCs w:val="26"/>
        </w:rPr>
        <w:tab/>
        <w:t>„Evaluarea sistemului de control intern managerial” la Școala Națională de Grefieri, în perioada 03</w:t>
      </w:r>
      <w:r w:rsidR="00423F1F">
        <w:rPr>
          <w:rFonts w:asciiTheme="minorHAnsi" w:hAnsiTheme="minorHAnsi" w:cstheme="minorHAnsi"/>
          <w:sz w:val="26"/>
          <w:szCs w:val="26"/>
        </w:rPr>
        <w:t xml:space="preserve"> februarie </w:t>
      </w:r>
      <w:r w:rsidR="003A6E9D" w:rsidRPr="000F0D8B">
        <w:rPr>
          <w:rFonts w:asciiTheme="minorHAnsi" w:hAnsiTheme="minorHAnsi" w:cstheme="minorHAnsi"/>
          <w:sz w:val="26"/>
          <w:szCs w:val="26"/>
        </w:rPr>
        <w:t>2025</w:t>
      </w:r>
      <w:r w:rsidRPr="000F0D8B">
        <w:rPr>
          <w:rFonts w:asciiTheme="minorHAnsi" w:hAnsiTheme="minorHAnsi" w:cstheme="minorHAnsi"/>
          <w:sz w:val="26"/>
          <w:szCs w:val="26"/>
        </w:rPr>
        <w:t xml:space="preserve"> </w:t>
      </w:r>
      <w:r w:rsidR="00423F1F">
        <w:rPr>
          <w:rFonts w:asciiTheme="minorHAnsi" w:hAnsiTheme="minorHAnsi" w:cstheme="minorHAnsi"/>
          <w:sz w:val="26"/>
          <w:szCs w:val="26"/>
        </w:rPr>
        <w:t>–</w:t>
      </w:r>
      <w:r w:rsidRPr="000F0D8B">
        <w:rPr>
          <w:rFonts w:asciiTheme="minorHAnsi" w:hAnsiTheme="minorHAnsi" w:cstheme="minorHAnsi"/>
          <w:sz w:val="26"/>
          <w:szCs w:val="26"/>
        </w:rPr>
        <w:t xml:space="preserve"> 04</w:t>
      </w:r>
      <w:r w:rsidR="00423F1F">
        <w:rPr>
          <w:rFonts w:asciiTheme="minorHAnsi" w:hAnsiTheme="minorHAnsi" w:cstheme="minorHAnsi"/>
          <w:sz w:val="26"/>
          <w:szCs w:val="26"/>
        </w:rPr>
        <w:t xml:space="preserve"> aprilie </w:t>
      </w:r>
      <w:r w:rsidRPr="000F0D8B">
        <w:rPr>
          <w:rFonts w:asciiTheme="minorHAnsi" w:hAnsiTheme="minorHAnsi" w:cstheme="minorHAnsi"/>
          <w:sz w:val="26"/>
          <w:szCs w:val="26"/>
        </w:rPr>
        <w:t>2025;</w:t>
      </w:r>
    </w:p>
    <w:p w14:paraId="28F11416" w14:textId="4FA663E7" w:rsidR="00C675CD" w:rsidRPr="000F0D8B" w:rsidRDefault="00C675CD" w:rsidP="009E3AD8">
      <w:pPr>
        <w:tabs>
          <w:tab w:val="left" w:pos="993"/>
        </w:tabs>
        <w:spacing w:line="276" w:lineRule="auto"/>
        <w:ind w:firstLine="709"/>
        <w:jc w:val="both"/>
        <w:rPr>
          <w:rFonts w:asciiTheme="minorHAnsi" w:hAnsiTheme="minorHAnsi" w:cstheme="minorHAnsi"/>
          <w:sz w:val="26"/>
          <w:szCs w:val="26"/>
        </w:rPr>
      </w:pPr>
      <w:r w:rsidRPr="000F0D8B">
        <w:rPr>
          <w:rFonts w:asciiTheme="minorHAnsi" w:hAnsiTheme="minorHAnsi" w:cstheme="minorHAnsi"/>
          <w:sz w:val="26"/>
          <w:szCs w:val="26"/>
        </w:rPr>
        <w:t>-</w:t>
      </w:r>
      <w:r w:rsidRPr="000F0D8B">
        <w:rPr>
          <w:rFonts w:asciiTheme="minorHAnsi" w:hAnsiTheme="minorHAnsi" w:cstheme="minorHAnsi"/>
          <w:sz w:val="26"/>
          <w:szCs w:val="26"/>
        </w:rPr>
        <w:tab/>
        <w:t>„Evaluarea sistemului de control intern managerial” la Institutul Național al Magistraturii, în perioada 07</w:t>
      </w:r>
      <w:r w:rsidR="00423F1F">
        <w:rPr>
          <w:rFonts w:asciiTheme="minorHAnsi" w:hAnsiTheme="minorHAnsi" w:cstheme="minorHAnsi"/>
          <w:sz w:val="26"/>
          <w:szCs w:val="26"/>
        </w:rPr>
        <w:t xml:space="preserve"> aprilie </w:t>
      </w:r>
      <w:r w:rsidR="003A6E9D" w:rsidRPr="000F0D8B">
        <w:rPr>
          <w:rFonts w:asciiTheme="minorHAnsi" w:hAnsiTheme="minorHAnsi" w:cstheme="minorHAnsi"/>
          <w:sz w:val="26"/>
          <w:szCs w:val="26"/>
        </w:rPr>
        <w:t>2025</w:t>
      </w:r>
      <w:r w:rsidRPr="000F0D8B">
        <w:rPr>
          <w:rFonts w:asciiTheme="minorHAnsi" w:hAnsiTheme="minorHAnsi" w:cstheme="minorHAnsi"/>
          <w:sz w:val="26"/>
          <w:szCs w:val="26"/>
        </w:rPr>
        <w:t xml:space="preserve"> </w:t>
      </w:r>
      <w:r w:rsidR="00423F1F">
        <w:rPr>
          <w:rFonts w:asciiTheme="minorHAnsi" w:hAnsiTheme="minorHAnsi" w:cstheme="minorHAnsi"/>
          <w:sz w:val="26"/>
          <w:szCs w:val="26"/>
        </w:rPr>
        <w:t>–</w:t>
      </w:r>
      <w:r w:rsidRPr="000F0D8B">
        <w:rPr>
          <w:rFonts w:asciiTheme="minorHAnsi" w:hAnsiTheme="minorHAnsi" w:cstheme="minorHAnsi"/>
          <w:sz w:val="26"/>
          <w:szCs w:val="26"/>
        </w:rPr>
        <w:t xml:space="preserve"> 16</w:t>
      </w:r>
      <w:r w:rsidR="00423F1F">
        <w:rPr>
          <w:rFonts w:asciiTheme="minorHAnsi" w:hAnsiTheme="minorHAnsi" w:cstheme="minorHAnsi"/>
          <w:sz w:val="26"/>
          <w:szCs w:val="26"/>
        </w:rPr>
        <w:t xml:space="preserve"> iunie </w:t>
      </w:r>
      <w:r w:rsidRPr="000F0D8B">
        <w:rPr>
          <w:rFonts w:asciiTheme="minorHAnsi" w:hAnsiTheme="minorHAnsi" w:cstheme="minorHAnsi"/>
          <w:sz w:val="26"/>
          <w:szCs w:val="26"/>
        </w:rPr>
        <w:t>2025;</w:t>
      </w:r>
    </w:p>
    <w:p w14:paraId="439C6928" w14:textId="45D92CD2" w:rsidR="00C675CD" w:rsidRPr="000F0D8B" w:rsidRDefault="00C675CD" w:rsidP="009E3AD8">
      <w:pPr>
        <w:tabs>
          <w:tab w:val="left" w:pos="993"/>
        </w:tabs>
        <w:spacing w:line="276" w:lineRule="auto"/>
        <w:ind w:firstLine="709"/>
        <w:jc w:val="both"/>
        <w:rPr>
          <w:rFonts w:asciiTheme="minorHAnsi" w:hAnsiTheme="minorHAnsi" w:cstheme="minorHAnsi"/>
          <w:sz w:val="26"/>
          <w:szCs w:val="26"/>
        </w:rPr>
      </w:pPr>
      <w:r w:rsidRPr="000F0D8B">
        <w:rPr>
          <w:rFonts w:asciiTheme="minorHAnsi" w:hAnsiTheme="minorHAnsi" w:cstheme="minorHAnsi"/>
          <w:sz w:val="26"/>
          <w:szCs w:val="26"/>
        </w:rPr>
        <w:lastRenderedPageBreak/>
        <w:t>-</w:t>
      </w:r>
      <w:r w:rsidRPr="000F0D8B">
        <w:rPr>
          <w:rFonts w:asciiTheme="minorHAnsi" w:hAnsiTheme="minorHAnsi" w:cstheme="minorHAnsi"/>
          <w:sz w:val="26"/>
          <w:szCs w:val="26"/>
        </w:rPr>
        <w:tab/>
        <w:t>„Evaluarea sistemului de prevenire a corupţiei, 2025” la Consiliul Superior al Magistraturii, Institutul Naţional al Magistraturii şi Şcoala Naţională de Grefieri, misiune de audit care a fost solicitată de Unitatea Centrală de Armonizare pentru Auditul Public Intern din cadrul Ministerului Finanţelor, prin adresa nr.</w:t>
      </w:r>
      <w:r w:rsidR="00423F1F">
        <w:rPr>
          <w:rFonts w:asciiTheme="minorHAnsi" w:hAnsiTheme="minorHAnsi" w:cstheme="minorHAnsi"/>
          <w:sz w:val="26"/>
          <w:szCs w:val="26"/>
        </w:rPr>
        <w:t xml:space="preserve"> </w:t>
      </w:r>
      <w:r w:rsidRPr="000F0D8B">
        <w:rPr>
          <w:rFonts w:asciiTheme="minorHAnsi" w:hAnsiTheme="minorHAnsi" w:cstheme="minorHAnsi"/>
          <w:sz w:val="26"/>
          <w:szCs w:val="26"/>
        </w:rPr>
        <w:t>430948/22.10.2024 în perioada 16</w:t>
      </w:r>
      <w:r w:rsidR="00423F1F">
        <w:rPr>
          <w:rFonts w:asciiTheme="minorHAnsi" w:hAnsiTheme="minorHAnsi" w:cstheme="minorHAnsi"/>
          <w:sz w:val="26"/>
          <w:szCs w:val="26"/>
        </w:rPr>
        <w:t xml:space="preserve"> iunie </w:t>
      </w:r>
      <w:r w:rsidR="003A6E9D" w:rsidRPr="000F0D8B">
        <w:rPr>
          <w:rFonts w:asciiTheme="minorHAnsi" w:hAnsiTheme="minorHAnsi" w:cstheme="minorHAnsi"/>
          <w:sz w:val="26"/>
          <w:szCs w:val="26"/>
        </w:rPr>
        <w:t>2025</w:t>
      </w:r>
      <w:r w:rsidRPr="000F0D8B">
        <w:rPr>
          <w:rFonts w:asciiTheme="minorHAnsi" w:hAnsiTheme="minorHAnsi" w:cstheme="minorHAnsi"/>
          <w:sz w:val="26"/>
          <w:szCs w:val="26"/>
        </w:rPr>
        <w:t xml:space="preserve"> </w:t>
      </w:r>
      <w:r w:rsidR="00423F1F">
        <w:rPr>
          <w:rFonts w:asciiTheme="minorHAnsi" w:hAnsiTheme="minorHAnsi" w:cstheme="minorHAnsi"/>
          <w:sz w:val="26"/>
          <w:szCs w:val="26"/>
        </w:rPr>
        <w:t>–</w:t>
      </w:r>
      <w:r w:rsidRPr="000F0D8B">
        <w:rPr>
          <w:rFonts w:asciiTheme="minorHAnsi" w:hAnsiTheme="minorHAnsi" w:cstheme="minorHAnsi"/>
          <w:sz w:val="26"/>
          <w:szCs w:val="26"/>
        </w:rPr>
        <w:t xml:space="preserve"> 29</w:t>
      </w:r>
      <w:r w:rsidR="00423F1F">
        <w:rPr>
          <w:rFonts w:asciiTheme="minorHAnsi" w:hAnsiTheme="minorHAnsi" w:cstheme="minorHAnsi"/>
          <w:sz w:val="26"/>
          <w:szCs w:val="26"/>
        </w:rPr>
        <w:t xml:space="preserve"> august </w:t>
      </w:r>
      <w:r w:rsidRPr="000F0D8B">
        <w:rPr>
          <w:rFonts w:asciiTheme="minorHAnsi" w:hAnsiTheme="minorHAnsi" w:cstheme="minorHAnsi"/>
          <w:sz w:val="26"/>
          <w:szCs w:val="26"/>
        </w:rPr>
        <w:t>2025;</w:t>
      </w:r>
    </w:p>
    <w:p w14:paraId="627B0337" w14:textId="1AF94153" w:rsidR="00C675CD" w:rsidRPr="000F0D8B" w:rsidRDefault="00C675CD" w:rsidP="009E3AD8">
      <w:pPr>
        <w:tabs>
          <w:tab w:val="left" w:pos="993"/>
        </w:tabs>
        <w:spacing w:line="276" w:lineRule="auto"/>
        <w:ind w:firstLine="709"/>
        <w:jc w:val="both"/>
        <w:rPr>
          <w:rFonts w:asciiTheme="minorHAnsi" w:hAnsiTheme="minorHAnsi" w:cstheme="minorHAnsi"/>
          <w:sz w:val="26"/>
          <w:szCs w:val="26"/>
        </w:rPr>
      </w:pPr>
      <w:r w:rsidRPr="000F0D8B">
        <w:rPr>
          <w:rFonts w:asciiTheme="minorHAnsi" w:hAnsiTheme="minorHAnsi" w:cstheme="minorHAnsi"/>
          <w:sz w:val="26"/>
          <w:szCs w:val="26"/>
        </w:rPr>
        <w:t>-</w:t>
      </w:r>
      <w:r w:rsidRPr="000F0D8B">
        <w:rPr>
          <w:rFonts w:asciiTheme="minorHAnsi" w:hAnsiTheme="minorHAnsi" w:cstheme="minorHAnsi"/>
          <w:sz w:val="26"/>
          <w:szCs w:val="26"/>
        </w:rPr>
        <w:tab/>
        <w:t>„Evaluarea sistemului de control intern managerial” la Consiliul Superior al Magistraturii, în perioada 01</w:t>
      </w:r>
      <w:r w:rsidR="00423F1F">
        <w:rPr>
          <w:rFonts w:asciiTheme="minorHAnsi" w:hAnsiTheme="minorHAnsi" w:cstheme="minorHAnsi"/>
          <w:sz w:val="26"/>
          <w:szCs w:val="26"/>
        </w:rPr>
        <w:t xml:space="preserve"> septembrie </w:t>
      </w:r>
      <w:r w:rsidR="003A6E9D" w:rsidRPr="000F0D8B">
        <w:rPr>
          <w:rFonts w:asciiTheme="minorHAnsi" w:hAnsiTheme="minorHAnsi" w:cstheme="minorHAnsi"/>
          <w:sz w:val="26"/>
          <w:szCs w:val="26"/>
        </w:rPr>
        <w:t>2025</w:t>
      </w:r>
      <w:r w:rsidRPr="000F0D8B">
        <w:rPr>
          <w:rFonts w:asciiTheme="minorHAnsi" w:hAnsiTheme="minorHAnsi" w:cstheme="minorHAnsi"/>
          <w:sz w:val="26"/>
          <w:szCs w:val="26"/>
        </w:rPr>
        <w:t xml:space="preserve"> </w:t>
      </w:r>
      <w:r w:rsidR="00423F1F">
        <w:rPr>
          <w:rFonts w:asciiTheme="minorHAnsi" w:hAnsiTheme="minorHAnsi" w:cstheme="minorHAnsi"/>
          <w:sz w:val="26"/>
          <w:szCs w:val="26"/>
        </w:rPr>
        <w:t>–</w:t>
      </w:r>
      <w:r w:rsidRPr="000F0D8B">
        <w:rPr>
          <w:rFonts w:asciiTheme="minorHAnsi" w:hAnsiTheme="minorHAnsi" w:cstheme="minorHAnsi"/>
          <w:sz w:val="26"/>
          <w:szCs w:val="26"/>
        </w:rPr>
        <w:t xml:space="preserve"> 10</w:t>
      </w:r>
      <w:r w:rsidR="00423F1F">
        <w:rPr>
          <w:rFonts w:asciiTheme="minorHAnsi" w:hAnsiTheme="minorHAnsi" w:cstheme="minorHAnsi"/>
          <w:sz w:val="26"/>
          <w:szCs w:val="26"/>
        </w:rPr>
        <w:t xml:space="preserve"> noiembrie </w:t>
      </w:r>
      <w:r w:rsidRPr="000F0D8B">
        <w:rPr>
          <w:rFonts w:asciiTheme="minorHAnsi" w:hAnsiTheme="minorHAnsi" w:cstheme="minorHAnsi"/>
          <w:sz w:val="26"/>
          <w:szCs w:val="26"/>
        </w:rPr>
        <w:t>2025.</w:t>
      </w:r>
    </w:p>
    <w:p w14:paraId="24372D19" w14:textId="77777777" w:rsidR="00C675CD" w:rsidRPr="000F0D8B" w:rsidRDefault="00C675CD" w:rsidP="009E3AD8">
      <w:pPr>
        <w:spacing w:line="276" w:lineRule="auto"/>
        <w:ind w:firstLine="709"/>
        <w:jc w:val="both"/>
        <w:rPr>
          <w:rFonts w:asciiTheme="minorHAnsi" w:hAnsiTheme="minorHAnsi" w:cstheme="minorHAnsi"/>
          <w:sz w:val="26"/>
          <w:szCs w:val="26"/>
        </w:rPr>
      </w:pPr>
      <w:r w:rsidRPr="000F0D8B">
        <w:rPr>
          <w:rFonts w:asciiTheme="minorHAnsi" w:hAnsiTheme="minorHAnsi" w:cstheme="minorHAnsi"/>
          <w:sz w:val="26"/>
          <w:szCs w:val="26"/>
        </w:rPr>
        <w:t>În urma misiunilor de audit public intern efectuate în anul 2025, au fost elaborate un număr de 4 rapoarte de audit intern care cuprind constatările, cauzele, consecinţele şi recomandările auditorilor interni. Rapoartele de audit intern au fost elaborate cu respectarea legislaţiei în vigoare, fiind însuşite de către conducerea structurilor/instituţiilor auditate şi avizate de către Preşedintele Consiliului Superior al Magistraturii.</w:t>
      </w:r>
    </w:p>
    <w:p w14:paraId="73C9E2EF" w14:textId="77777777" w:rsidR="00C675CD" w:rsidRPr="000F0D8B" w:rsidRDefault="00C675CD" w:rsidP="009E3AD8">
      <w:pPr>
        <w:spacing w:line="276" w:lineRule="auto"/>
        <w:ind w:firstLine="709"/>
        <w:jc w:val="both"/>
        <w:rPr>
          <w:rFonts w:asciiTheme="minorHAnsi" w:hAnsiTheme="minorHAnsi" w:cstheme="minorHAnsi"/>
          <w:sz w:val="26"/>
          <w:szCs w:val="26"/>
        </w:rPr>
      </w:pPr>
      <w:r w:rsidRPr="000F0D8B">
        <w:rPr>
          <w:rFonts w:asciiTheme="minorHAnsi" w:hAnsiTheme="minorHAnsi" w:cstheme="minorHAnsi"/>
          <w:sz w:val="26"/>
          <w:szCs w:val="26"/>
        </w:rPr>
        <w:t>În cadrul fiecărei misiuni de audit public intern a fost întocmit Dosarul misiunii de audit public intern, care cuprinde documentaţia specifică pentru cele 21 de proceduri aferente etapelor realizării fiecărei misiunii de audit, respectiv aproximativ 100 de documente concretizate în ordine de serviciu, notificări, minute, declaraţii, studii, chestionare, interviuri, teste, liste de verificare, fişe de identificare şi analiză a problemelor, proiecte, rapoarte, sinteze, adrese, alte documente şi Dosarul de lucru care cuprinde copii xerox ale documentelor justificative, care confirmă şi sprijină constatările şi recomandările auditorilor interni.</w:t>
      </w:r>
    </w:p>
    <w:p w14:paraId="2313D646" w14:textId="77777777" w:rsidR="00C675CD" w:rsidRPr="000F0D8B" w:rsidRDefault="00C675CD" w:rsidP="009E3AD8">
      <w:pPr>
        <w:spacing w:line="276" w:lineRule="auto"/>
        <w:ind w:firstLine="709"/>
        <w:jc w:val="both"/>
        <w:rPr>
          <w:rFonts w:asciiTheme="minorHAnsi" w:hAnsiTheme="minorHAnsi" w:cstheme="minorHAnsi"/>
          <w:sz w:val="26"/>
          <w:szCs w:val="26"/>
        </w:rPr>
      </w:pPr>
      <w:r w:rsidRPr="000F0D8B">
        <w:rPr>
          <w:rFonts w:asciiTheme="minorHAnsi" w:hAnsiTheme="minorHAnsi" w:cstheme="minorHAnsi"/>
          <w:sz w:val="26"/>
          <w:szCs w:val="26"/>
        </w:rPr>
        <w:t xml:space="preserve">Implementarea aspectelor de îmbunătăţit formulate de auditorii interni a fost asigurată de către conducătorii structurilor/instituţiilor auditate. </w:t>
      </w:r>
    </w:p>
    <w:p w14:paraId="4B100130" w14:textId="77777777" w:rsidR="00C675CD" w:rsidRPr="000F0D8B" w:rsidRDefault="00C675CD" w:rsidP="009E3AD8">
      <w:pPr>
        <w:spacing w:line="276" w:lineRule="auto"/>
        <w:ind w:firstLine="709"/>
        <w:jc w:val="both"/>
        <w:rPr>
          <w:rFonts w:asciiTheme="minorHAnsi" w:hAnsiTheme="minorHAnsi" w:cstheme="minorHAnsi"/>
          <w:sz w:val="26"/>
          <w:szCs w:val="26"/>
        </w:rPr>
      </w:pPr>
      <w:r w:rsidRPr="000F0D8B">
        <w:rPr>
          <w:rFonts w:asciiTheme="minorHAnsi" w:hAnsiTheme="minorHAnsi" w:cstheme="minorHAnsi"/>
          <w:sz w:val="26"/>
          <w:szCs w:val="26"/>
        </w:rPr>
        <w:t xml:space="preserve">De asemenea, în cursul anului au fost actualizate procedurile operaţionale „Efectuarea misiunilor de asigurare”, „Efectuarea misiunilor de audit ad-hoc” şi „Efectuarea misiunilor de consiliere formalizate” în acord cu Procedura de sistem cod PS-01 privind elaborarea procedurilor din cadrul Consiliului Superior al Magistraturii. </w:t>
      </w:r>
    </w:p>
    <w:p w14:paraId="400A6C66" w14:textId="77777777" w:rsidR="00C675CD" w:rsidRPr="000F0D8B" w:rsidRDefault="00C675CD" w:rsidP="009E3AD8">
      <w:pPr>
        <w:spacing w:line="276" w:lineRule="auto"/>
        <w:ind w:firstLine="709"/>
        <w:jc w:val="both"/>
        <w:rPr>
          <w:rFonts w:asciiTheme="minorHAnsi" w:hAnsiTheme="minorHAnsi" w:cstheme="minorHAnsi"/>
          <w:sz w:val="26"/>
          <w:szCs w:val="26"/>
        </w:rPr>
      </w:pPr>
      <w:r w:rsidRPr="000F0D8B">
        <w:rPr>
          <w:rFonts w:asciiTheme="minorHAnsi" w:hAnsiTheme="minorHAnsi" w:cstheme="minorHAnsi"/>
          <w:sz w:val="26"/>
          <w:szCs w:val="26"/>
        </w:rPr>
        <w:t xml:space="preserve">Referitor la pregătirea profesională a auditorilor interni, aceasta s-a realizat conform prevederilor legale, auditorii desfăşurând studiu individual pe teme din domeniile cadrului general de competenţe profesionale ale auditorilor din sectorul public. </w:t>
      </w:r>
    </w:p>
    <w:p w14:paraId="33DB4502" w14:textId="08FA386C" w:rsidR="006C1588" w:rsidRDefault="006C1588" w:rsidP="009E3AD8">
      <w:pPr>
        <w:pStyle w:val="Heading2"/>
        <w:keepNext w:val="0"/>
        <w:keepLines w:val="0"/>
        <w:suppressLineNumbers/>
        <w:suppressAutoHyphens/>
        <w:rPr>
          <w:rFonts w:cstheme="minorHAnsi"/>
          <w:color w:val="auto"/>
          <w:lang w:val="ro-RO"/>
        </w:rPr>
      </w:pPr>
      <w:bookmarkStart w:id="184" w:name="_Toc219287992"/>
      <w:r w:rsidRPr="000F0D8B">
        <w:rPr>
          <w:rFonts w:cstheme="minorHAnsi"/>
          <w:color w:val="auto"/>
          <w:lang w:val="ro-RO"/>
        </w:rPr>
        <w:t>VI.11.</w:t>
      </w:r>
      <w:r w:rsidR="000B639A" w:rsidRPr="000F0D8B">
        <w:rPr>
          <w:rFonts w:cstheme="minorHAnsi"/>
          <w:color w:val="auto"/>
          <w:lang w:val="ro-RO"/>
        </w:rPr>
        <w:t xml:space="preserve"> </w:t>
      </w:r>
      <w:r w:rsidR="00CA5B7B" w:rsidRPr="000F0D8B">
        <w:rPr>
          <w:rFonts w:cstheme="minorHAnsi"/>
          <w:color w:val="auto"/>
          <w:lang w:val="ro-RO"/>
        </w:rPr>
        <w:t xml:space="preserve">Activitatea </w:t>
      </w:r>
      <w:r w:rsidRPr="000F0D8B">
        <w:rPr>
          <w:rFonts w:cstheme="minorHAnsi"/>
          <w:color w:val="auto"/>
          <w:lang w:val="ro-RO"/>
        </w:rPr>
        <w:t>Compartimentul</w:t>
      </w:r>
      <w:r w:rsidR="00CA5B7B" w:rsidRPr="000F0D8B">
        <w:rPr>
          <w:rFonts w:cstheme="minorHAnsi"/>
          <w:color w:val="auto"/>
          <w:lang w:val="ro-RO"/>
        </w:rPr>
        <w:t>ui</w:t>
      </w:r>
      <w:r w:rsidRPr="000F0D8B">
        <w:rPr>
          <w:rFonts w:cstheme="minorHAnsi"/>
          <w:color w:val="auto"/>
          <w:lang w:val="ro-RO"/>
        </w:rPr>
        <w:t xml:space="preserve"> de psihologie a personalului</w:t>
      </w:r>
      <w:bookmarkEnd w:id="184"/>
    </w:p>
    <w:p w14:paraId="735169B1" w14:textId="77777777" w:rsidR="00A23843" w:rsidRPr="008832FB" w:rsidRDefault="00A23843" w:rsidP="00A23843">
      <w:pPr>
        <w:tabs>
          <w:tab w:val="left" w:pos="3120"/>
        </w:tabs>
        <w:spacing w:line="276" w:lineRule="auto"/>
        <w:ind w:firstLine="720"/>
        <w:jc w:val="both"/>
        <w:rPr>
          <w:rFonts w:asciiTheme="minorHAnsi" w:eastAsiaTheme="minorHAnsi" w:hAnsiTheme="minorHAnsi" w:cstheme="minorHAnsi"/>
          <w:sz w:val="26"/>
          <w:szCs w:val="26"/>
        </w:rPr>
      </w:pPr>
      <w:r w:rsidRPr="008832FB">
        <w:rPr>
          <w:rFonts w:asciiTheme="minorHAnsi" w:hAnsiTheme="minorHAnsi" w:cstheme="minorHAnsi"/>
          <w:sz w:val="26"/>
          <w:szCs w:val="26"/>
          <w:lang w:eastAsia="en-GB"/>
        </w:rPr>
        <w:t>Compartimentul de  psihologie  a  personalului</w:t>
      </w:r>
      <w:r>
        <w:rPr>
          <w:rFonts w:asciiTheme="minorHAnsi" w:hAnsiTheme="minorHAnsi" w:cstheme="minorHAnsi"/>
          <w:sz w:val="26"/>
          <w:szCs w:val="26"/>
          <w:lang w:eastAsia="en-GB"/>
        </w:rPr>
        <w:t xml:space="preserve"> (</w:t>
      </w:r>
      <w:r w:rsidRPr="008832FB">
        <w:rPr>
          <w:rFonts w:asciiTheme="minorHAnsi" w:hAnsiTheme="minorHAnsi" w:cstheme="minorHAnsi"/>
          <w:sz w:val="26"/>
          <w:szCs w:val="26"/>
          <w:lang w:eastAsia="en-GB"/>
        </w:rPr>
        <w:t>C</w:t>
      </w:r>
      <w:r w:rsidRPr="000F0D8B">
        <w:rPr>
          <w:rFonts w:asciiTheme="minorHAnsi" w:hAnsiTheme="minorHAnsi" w:cstheme="minorHAnsi"/>
          <w:sz w:val="26"/>
          <w:szCs w:val="26"/>
          <w:lang w:eastAsia="en-GB"/>
        </w:rPr>
        <w:t>.</w:t>
      </w:r>
      <w:r w:rsidRPr="008832FB">
        <w:rPr>
          <w:rFonts w:asciiTheme="minorHAnsi" w:hAnsiTheme="minorHAnsi" w:cstheme="minorHAnsi"/>
          <w:sz w:val="26"/>
          <w:szCs w:val="26"/>
          <w:lang w:eastAsia="en-GB"/>
        </w:rPr>
        <w:t>P</w:t>
      </w:r>
      <w:r w:rsidRPr="000F0D8B">
        <w:rPr>
          <w:rFonts w:asciiTheme="minorHAnsi" w:hAnsiTheme="minorHAnsi" w:cstheme="minorHAnsi"/>
          <w:sz w:val="26"/>
          <w:szCs w:val="26"/>
          <w:lang w:eastAsia="en-GB"/>
        </w:rPr>
        <w:t>.</w:t>
      </w:r>
      <w:r w:rsidRPr="008832FB">
        <w:rPr>
          <w:rFonts w:asciiTheme="minorHAnsi" w:hAnsiTheme="minorHAnsi" w:cstheme="minorHAnsi"/>
          <w:sz w:val="26"/>
          <w:szCs w:val="26"/>
          <w:lang w:eastAsia="en-GB"/>
        </w:rPr>
        <w:t>P</w:t>
      </w:r>
      <w:r w:rsidRPr="000F0D8B">
        <w:rPr>
          <w:rFonts w:asciiTheme="minorHAnsi" w:hAnsiTheme="minorHAnsi" w:cstheme="minorHAnsi"/>
          <w:sz w:val="26"/>
          <w:szCs w:val="26"/>
          <w:lang w:eastAsia="en-GB"/>
        </w:rPr>
        <w:t>.</w:t>
      </w:r>
      <w:r>
        <w:rPr>
          <w:rFonts w:asciiTheme="minorHAnsi" w:hAnsiTheme="minorHAnsi" w:cstheme="minorHAnsi"/>
          <w:sz w:val="26"/>
          <w:szCs w:val="26"/>
          <w:lang w:eastAsia="en-GB"/>
        </w:rPr>
        <w:t>)</w:t>
      </w:r>
      <w:r w:rsidRPr="008832FB">
        <w:rPr>
          <w:rFonts w:asciiTheme="minorHAnsi" w:hAnsiTheme="minorHAnsi" w:cstheme="minorHAnsi"/>
          <w:sz w:val="26"/>
          <w:szCs w:val="26"/>
          <w:lang w:eastAsia="en-GB"/>
        </w:rPr>
        <w:t xml:space="preserve"> este constituit  </w:t>
      </w:r>
      <w:r w:rsidRPr="008832FB">
        <w:rPr>
          <w:rFonts w:asciiTheme="minorHAnsi" w:eastAsiaTheme="minorHAnsi" w:hAnsiTheme="minorHAnsi" w:cstheme="minorHAnsi"/>
          <w:sz w:val="26"/>
          <w:szCs w:val="26"/>
        </w:rPr>
        <w:t>potrivit dispozițiilor din Legea nr. 213/2004 privind exercitarea profesiei de psiholog cu drept de liberă practică, înființarea, organizarea și funcționarea Colegiului Psihologilor din România, structura de specialitate fiind înregistrată în Registrul structurilor de psihologie conform avizului de funcționare  nr. 5/2011 eliberat de Comitetul  Director al  Colegiului Psihologilor din România.</w:t>
      </w:r>
    </w:p>
    <w:p w14:paraId="15509541" w14:textId="77777777" w:rsidR="00A23843" w:rsidRPr="008832FB" w:rsidRDefault="00A23843" w:rsidP="00A23843">
      <w:pPr>
        <w:spacing w:line="276" w:lineRule="auto"/>
        <w:ind w:firstLine="720"/>
        <w:jc w:val="both"/>
        <w:rPr>
          <w:rFonts w:asciiTheme="minorHAnsi" w:eastAsiaTheme="minorHAnsi" w:hAnsiTheme="minorHAnsi" w:cstheme="minorHAnsi"/>
          <w:sz w:val="26"/>
          <w:szCs w:val="26"/>
        </w:rPr>
      </w:pPr>
      <w:r w:rsidRPr="008832FB">
        <w:rPr>
          <w:rFonts w:asciiTheme="minorHAnsi" w:eastAsiaTheme="minorHAnsi" w:hAnsiTheme="minorHAnsi" w:cstheme="minorHAnsi"/>
          <w:sz w:val="26"/>
          <w:szCs w:val="26"/>
        </w:rPr>
        <w:t>Compartimentul de psihologie asigură coordonarea metodologică a activităţii psihologilor din sistemul judiciar, principalele activități desfășurate fiind în materia testării psihologice a candidaților la concursurile organizate de Consiliu, evaluării psihologice periodice a judecătorilor, procurorilor, magistraților - asistenți de la Înalta Curte de Casație și Justiție și a personalului de specialitate juridică asimilat judecătorilor și procurorilor din cadrul Consiliului și Institutului Național al Magistraturii, în condițiile legii, dezvoltării organizaționale, elaborării metodologiilor privind organizarea și desfășurarea testărilor psihologice, desfășurarea programelor de asistență psihologică, analizelor de climat organizațional, evaluării factorilor de risc psihosocial la nivelul personalului etc.</w:t>
      </w:r>
    </w:p>
    <w:p w14:paraId="4F7A8C18" w14:textId="77777777" w:rsidR="00A23843" w:rsidRPr="008832FB" w:rsidRDefault="00A23843" w:rsidP="00A23843">
      <w:pPr>
        <w:spacing w:line="276" w:lineRule="auto"/>
        <w:ind w:firstLine="720"/>
        <w:jc w:val="both"/>
        <w:rPr>
          <w:rFonts w:asciiTheme="minorHAnsi" w:eastAsiaTheme="minorHAnsi" w:hAnsiTheme="minorHAnsi" w:cstheme="minorHAnsi"/>
          <w:sz w:val="26"/>
          <w:szCs w:val="26"/>
        </w:rPr>
      </w:pPr>
      <w:r w:rsidRPr="008832FB">
        <w:rPr>
          <w:rFonts w:asciiTheme="minorHAnsi" w:eastAsiaTheme="minorHAnsi" w:hAnsiTheme="minorHAnsi" w:cstheme="minorHAnsi"/>
          <w:sz w:val="26"/>
          <w:szCs w:val="26"/>
        </w:rPr>
        <w:lastRenderedPageBreak/>
        <w:t xml:space="preserve">Psihologii încadrați la nivelul Consiliului, </w:t>
      </w:r>
      <w:r w:rsidRPr="000F0D8B">
        <w:rPr>
          <w:rFonts w:asciiTheme="minorHAnsi" w:eastAsiaTheme="minorHAnsi" w:hAnsiTheme="minorHAnsi" w:cstheme="minorHAnsi"/>
          <w:sz w:val="26"/>
          <w:szCs w:val="26"/>
        </w:rPr>
        <w:t xml:space="preserve">Înaltei </w:t>
      </w:r>
      <w:r w:rsidRPr="008832FB">
        <w:rPr>
          <w:rFonts w:asciiTheme="minorHAnsi" w:eastAsiaTheme="minorHAnsi" w:hAnsiTheme="minorHAnsi" w:cstheme="minorHAnsi"/>
          <w:sz w:val="26"/>
          <w:szCs w:val="26"/>
        </w:rPr>
        <w:t>C</w:t>
      </w:r>
      <w:r w:rsidRPr="000F0D8B">
        <w:rPr>
          <w:rFonts w:asciiTheme="minorHAnsi" w:eastAsiaTheme="minorHAnsi" w:hAnsiTheme="minorHAnsi" w:cstheme="minorHAnsi"/>
          <w:sz w:val="26"/>
          <w:szCs w:val="26"/>
        </w:rPr>
        <w:t xml:space="preserve">urți de </w:t>
      </w:r>
      <w:r w:rsidRPr="008832FB">
        <w:rPr>
          <w:rFonts w:asciiTheme="minorHAnsi" w:eastAsiaTheme="minorHAnsi" w:hAnsiTheme="minorHAnsi" w:cstheme="minorHAnsi"/>
          <w:sz w:val="26"/>
          <w:szCs w:val="26"/>
        </w:rPr>
        <w:t>C</w:t>
      </w:r>
      <w:r w:rsidRPr="000F0D8B">
        <w:rPr>
          <w:rFonts w:asciiTheme="minorHAnsi" w:eastAsiaTheme="minorHAnsi" w:hAnsiTheme="minorHAnsi" w:cstheme="minorHAnsi"/>
          <w:sz w:val="26"/>
          <w:szCs w:val="26"/>
        </w:rPr>
        <w:t xml:space="preserve">asație și </w:t>
      </w:r>
      <w:r w:rsidRPr="008832FB">
        <w:rPr>
          <w:rFonts w:asciiTheme="minorHAnsi" w:eastAsiaTheme="minorHAnsi" w:hAnsiTheme="minorHAnsi" w:cstheme="minorHAnsi"/>
          <w:sz w:val="26"/>
          <w:szCs w:val="26"/>
        </w:rPr>
        <w:t>J</w:t>
      </w:r>
      <w:r w:rsidRPr="000F0D8B">
        <w:rPr>
          <w:rFonts w:asciiTheme="minorHAnsi" w:eastAsiaTheme="minorHAnsi" w:hAnsiTheme="minorHAnsi" w:cstheme="minorHAnsi"/>
          <w:sz w:val="26"/>
          <w:szCs w:val="26"/>
        </w:rPr>
        <w:t>ustiție</w:t>
      </w:r>
      <w:r w:rsidRPr="008832FB">
        <w:rPr>
          <w:rFonts w:asciiTheme="minorHAnsi" w:eastAsiaTheme="minorHAnsi" w:hAnsiTheme="minorHAnsi" w:cstheme="minorHAnsi"/>
          <w:sz w:val="26"/>
          <w:szCs w:val="26"/>
        </w:rPr>
        <w:t>, I</w:t>
      </w:r>
      <w:r w:rsidRPr="000F0D8B">
        <w:rPr>
          <w:rFonts w:asciiTheme="minorHAnsi" w:eastAsiaTheme="minorHAnsi" w:hAnsiTheme="minorHAnsi" w:cstheme="minorHAnsi"/>
          <w:sz w:val="26"/>
          <w:szCs w:val="26"/>
        </w:rPr>
        <w:t xml:space="preserve">nspecției </w:t>
      </w:r>
      <w:r w:rsidRPr="008832FB">
        <w:rPr>
          <w:rFonts w:asciiTheme="minorHAnsi" w:eastAsiaTheme="minorHAnsi" w:hAnsiTheme="minorHAnsi" w:cstheme="minorHAnsi"/>
          <w:sz w:val="26"/>
          <w:szCs w:val="26"/>
        </w:rPr>
        <w:t>J</w:t>
      </w:r>
      <w:r w:rsidRPr="000F0D8B">
        <w:rPr>
          <w:rFonts w:asciiTheme="minorHAnsi" w:eastAsiaTheme="minorHAnsi" w:hAnsiTheme="minorHAnsi" w:cstheme="minorHAnsi"/>
          <w:sz w:val="26"/>
          <w:szCs w:val="26"/>
        </w:rPr>
        <w:t>udiciare</w:t>
      </w:r>
      <w:r w:rsidRPr="008832FB">
        <w:rPr>
          <w:rFonts w:asciiTheme="minorHAnsi" w:eastAsiaTheme="minorHAnsi" w:hAnsiTheme="minorHAnsi" w:cstheme="minorHAnsi"/>
          <w:sz w:val="26"/>
          <w:szCs w:val="26"/>
        </w:rPr>
        <w:t>, I</w:t>
      </w:r>
      <w:r w:rsidRPr="000F0D8B">
        <w:rPr>
          <w:rFonts w:asciiTheme="minorHAnsi" w:eastAsiaTheme="minorHAnsi" w:hAnsiTheme="minorHAnsi" w:cstheme="minorHAnsi"/>
          <w:sz w:val="26"/>
          <w:szCs w:val="26"/>
        </w:rPr>
        <w:t xml:space="preserve">nstitutul </w:t>
      </w:r>
      <w:r w:rsidRPr="008832FB">
        <w:rPr>
          <w:rFonts w:asciiTheme="minorHAnsi" w:eastAsiaTheme="minorHAnsi" w:hAnsiTheme="minorHAnsi" w:cstheme="minorHAnsi"/>
          <w:sz w:val="26"/>
          <w:szCs w:val="26"/>
        </w:rPr>
        <w:t>N</w:t>
      </w:r>
      <w:r w:rsidRPr="000F0D8B">
        <w:rPr>
          <w:rFonts w:asciiTheme="minorHAnsi" w:eastAsiaTheme="minorHAnsi" w:hAnsiTheme="minorHAnsi" w:cstheme="minorHAnsi"/>
          <w:sz w:val="26"/>
          <w:szCs w:val="26"/>
        </w:rPr>
        <w:t xml:space="preserve">ațional al </w:t>
      </w:r>
      <w:r w:rsidRPr="008832FB">
        <w:rPr>
          <w:rFonts w:asciiTheme="minorHAnsi" w:eastAsiaTheme="minorHAnsi" w:hAnsiTheme="minorHAnsi" w:cstheme="minorHAnsi"/>
          <w:sz w:val="26"/>
          <w:szCs w:val="26"/>
        </w:rPr>
        <w:t>M</w:t>
      </w:r>
      <w:r w:rsidRPr="000F0D8B">
        <w:rPr>
          <w:rFonts w:asciiTheme="minorHAnsi" w:eastAsiaTheme="minorHAnsi" w:hAnsiTheme="minorHAnsi" w:cstheme="minorHAnsi"/>
          <w:sz w:val="26"/>
          <w:szCs w:val="26"/>
        </w:rPr>
        <w:t>agistraturii</w:t>
      </w:r>
      <w:r w:rsidRPr="008832FB">
        <w:rPr>
          <w:rFonts w:asciiTheme="minorHAnsi" w:eastAsiaTheme="minorHAnsi" w:hAnsiTheme="minorHAnsi" w:cstheme="minorHAnsi"/>
          <w:sz w:val="26"/>
          <w:szCs w:val="26"/>
        </w:rPr>
        <w:t>, P</w:t>
      </w:r>
      <w:r w:rsidRPr="000F0D8B">
        <w:rPr>
          <w:rFonts w:asciiTheme="minorHAnsi" w:eastAsiaTheme="minorHAnsi" w:hAnsiTheme="minorHAnsi" w:cstheme="minorHAnsi"/>
          <w:sz w:val="26"/>
          <w:szCs w:val="26"/>
        </w:rPr>
        <w:t xml:space="preserve">archetului de pe lângă Înalta </w:t>
      </w:r>
      <w:r w:rsidRPr="008832FB">
        <w:rPr>
          <w:rFonts w:asciiTheme="minorHAnsi" w:eastAsiaTheme="minorHAnsi" w:hAnsiTheme="minorHAnsi" w:cstheme="minorHAnsi"/>
          <w:sz w:val="26"/>
          <w:szCs w:val="26"/>
        </w:rPr>
        <w:t>C</w:t>
      </w:r>
      <w:r w:rsidRPr="000F0D8B">
        <w:rPr>
          <w:rFonts w:asciiTheme="minorHAnsi" w:eastAsiaTheme="minorHAnsi" w:hAnsiTheme="minorHAnsi" w:cstheme="minorHAnsi"/>
          <w:sz w:val="26"/>
          <w:szCs w:val="26"/>
        </w:rPr>
        <w:t xml:space="preserve">urte de </w:t>
      </w:r>
      <w:r w:rsidRPr="008832FB">
        <w:rPr>
          <w:rFonts w:asciiTheme="minorHAnsi" w:eastAsiaTheme="minorHAnsi" w:hAnsiTheme="minorHAnsi" w:cstheme="minorHAnsi"/>
          <w:sz w:val="26"/>
          <w:szCs w:val="26"/>
        </w:rPr>
        <w:t>C</w:t>
      </w:r>
      <w:r w:rsidRPr="000F0D8B">
        <w:rPr>
          <w:rFonts w:asciiTheme="minorHAnsi" w:eastAsiaTheme="minorHAnsi" w:hAnsiTheme="minorHAnsi" w:cstheme="minorHAnsi"/>
          <w:sz w:val="26"/>
          <w:szCs w:val="26"/>
        </w:rPr>
        <w:t xml:space="preserve">asație și </w:t>
      </w:r>
      <w:r w:rsidRPr="008832FB">
        <w:rPr>
          <w:rFonts w:asciiTheme="minorHAnsi" w:eastAsiaTheme="minorHAnsi" w:hAnsiTheme="minorHAnsi" w:cstheme="minorHAnsi"/>
          <w:sz w:val="26"/>
          <w:szCs w:val="26"/>
        </w:rPr>
        <w:t>J</w:t>
      </w:r>
      <w:r w:rsidRPr="000F0D8B">
        <w:rPr>
          <w:rFonts w:asciiTheme="minorHAnsi" w:eastAsiaTheme="minorHAnsi" w:hAnsiTheme="minorHAnsi" w:cstheme="minorHAnsi"/>
          <w:sz w:val="26"/>
          <w:szCs w:val="26"/>
        </w:rPr>
        <w:t>ustiție</w:t>
      </w:r>
      <w:r w:rsidRPr="008832FB">
        <w:rPr>
          <w:rFonts w:asciiTheme="minorHAnsi" w:eastAsiaTheme="minorHAnsi" w:hAnsiTheme="minorHAnsi" w:cstheme="minorHAnsi"/>
          <w:sz w:val="26"/>
          <w:szCs w:val="26"/>
        </w:rPr>
        <w:t xml:space="preserve">, curților de apel și al parchetelor de pe lângă curțile de apel sunt atestaţi, în condiţiile legii, în specialitatea </w:t>
      </w:r>
      <w:r w:rsidRPr="00A35EF2">
        <w:rPr>
          <w:rFonts w:asciiTheme="minorHAnsi" w:eastAsiaTheme="minorHAnsi" w:hAnsiTheme="minorHAnsi" w:cstheme="minorHAnsi"/>
          <w:sz w:val="26"/>
          <w:szCs w:val="26"/>
        </w:rPr>
        <w:t>„</w:t>
      </w:r>
      <w:r w:rsidRPr="008832FB">
        <w:rPr>
          <w:rFonts w:asciiTheme="minorHAnsi" w:eastAsiaTheme="minorHAnsi" w:hAnsiTheme="minorHAnsi" w:cstheme="minorHAnsi"/>
          <w:sz w:val="26"/>
          <w:szCs w:val="26"/>
        </w:rPr>
        <w:t>psihologia muncii şi organizaţională”.</w:t>
      </w:r>
    </w:p>
    <w:p w14:paraId="2B5D5860" w14:textId="77777777" w:rsidR="00A23843" w:rsidRPr="008832FB" w:rsidRDefault="00A23843" w:rsidP="00A23843">
      <w:pPr>
        <w:spacing w:line="276" w:lineRule="auto"/>
        <w:ind w:firstLine="720"/>
        <w:jc w:val="both"/>
        <w:rPr>
          <w:rFonts w:asciiTheme="minorHAnsi" w:eastAsiaTheme="minorHAnsi" w:hAnsiTheme="minorHAnsi" w:cstheme="minorHAnsi"/>
          <w:bCs/>
          <w:sz w:val="26"/>
          <w:szCs w:val="26"/>
        </w:rPr>
      </w:pPr>
      <w:r w:rsidRPr="008832FB">
        <w:rPr>
          <w:rFonts w:asciiTheme="minorHAnsi" w:eastAsiaTheme="minorHAnsi" w:hAnsiTheme="minorHAnsi" w:cstheme="minorHAnsi"/>
          <w:bCs/>
          <w:sz w:val="26"/>
          <w:szCs w:val="26"/>
        </w:rPr>
        <w:t>Schema de personal a C</w:t>
      </w:r>
      <w:r w:rsidRPr="000F0D8B">
        <w:rPr>
          <w:rFonts w:asciiTheme="minorHAnsi" w:eastAsiaTheme="minorHAnsi" w:hAnsiTheme="minorHAnsi" w:cstheme="minorHAnsi"/>
          <w:bCs/>
          <w:sz w:val="26"/>
          <w:szCs w:val="26"/>
        </w:rPr>
        <w:t>.</w:t>
      </w:r>
      <w:r w:rsidRPr="008832FB">
        <w:rPr>
          <w:rFonts w:asciiTheme="minorHAnsi" w:eastAsiaTheme="minorHAnsi" w:hAnsiTheme="minorHAnsi" w:cstheme="minorHAnsi"/>
          <w:bCs/>
          <w:sz w:val="26"/>
          <w:szCs w:val="26"/>
        </w:rPr>
        <w:t>P</w:t>
      </w:r>
      <w:r w:rsidRPr="000F0D8B">
        <w:rPr>
          <w:rFonts w:asciiTheme="minorHAnsi" w:eastAsiaTheme="minorHAnsi" w:hAnsiTheme="minorHAnsi" w:cstheme="minorHAnsi"/>
          <w:bCs/>
          <w:sz w:val="26"/>
          <w:szCs w:val="26"/>
        </w:rPr>
        <w:t>.</w:t>
      </w:r>
      <w:r w:rsidRPr="008832FB">
        <w:rPr>
          <w:rFonts w:asciiTheme="minorHAnsi" w:eastAsiaTheme="minorHAnsi" w:hAnsiTheme="minorHAnsi" w:cstheme="minorHAnsi"/>
          <w:bCs/>
          <w:sz w:val="26"/>
          <w:szCs w:val="26"/>
        </w:rPr>
        <w:t>P</w:t>
      </w:r>
      <w:r w:rsidRPr="000F0D8B">
        <w:rPr>
          <w:rFonts w:asciiTheme="minorHAnsi" w:eastAsiaTheme="minorHAnsi" w:hAnsiTheme="minorHAnsi" w:cstheme="minorHAnsi"/>
          <w:bCs/>
          <w:sz w:val="26"/>
          <w:szCs w:val="26"/>
        </w:rPr>
        <w:t>.</w:t>
      </w:r>
      <w:r w:rsidRPr="008832FB">
        <w:rPr>
          <w:rFonts w:asciiTheme="minorHAnsi" w:eastAsiaTheme="minorHAnsi" w:hAnsiTheme="minorHAnsi" w:cstheme="minorHAnsi"/>
          <w:bCs/>
          <w:sz w:val="26"/>
          <w:szCs w:val="26"/>
        </w:rPr>
        <w:t xml:space="preserve"> este alcătuită din două posturi ocupate, respectiv un post consilier</w:t>
      </w:r>
      <w:r>
        <w:rPr>
          <w:rFonts w:asciiTheme="minorHAnsi" w:eastAsiaTheme="minorHAnsi" w:hAnsiTheme="minorHAnsi" w:cstheme="minorHAnsi"/>
          <w:bCs/>
          <w:sz w:val="26"/>
          <w:szCs w:val="26"/>
        </w:rPr>
        <w:t xml:space="preserve"> - </w:t>
      </w:r>
      <w:r w:rsidRPr="008832FB">
        <w:rPr>
          <w:rFonts w:asciiTheme="minorHAnsi" w:eastAsiaTheme="minorHAnsi" w:hAnsiTheme="minorHAnsi" w:cstheme="minorHAnsi"/>
          <w:bCs/>
          <w:sz w:val="26"/>
          <w:szCs w:val="26"/>
        </w:rPr>
        <w:t>psiholog (funcție publică) și un post de personal contractual, consilier</w:t>
      </w:r>
      <w:r>
        <w:rPr>
          <w:rFonts w:asciiTheme="minorHAnsi" w:eastAsiaTheme="minorHAnsi" w:hAnsiTheme="minorHAnsi" w:cstheme="minorHAnsi"/>
          <w:bCs/>
          <w:sz w:val="26"/>
          <w:szCs w:val="26"/>
        </w:rPr>
        <w:t xml:space="preserve"> - </w:t>
      </w:r>
      <w:r w:rsidRPr="008832FB">
        <w:rPr>
          <w:rFonts w:asciiTheme="minorHAnsi" w:eastAsiaTheme="minorHAnsi" w:hAnsiTheme="minorHAnsi" w:cstheme="minorHAnsi"/>
          <w:bCs/>
          <w:sz w:val="26"/>
          <w:szCs w:val="26"/>
        </w:rPr>
        <w:t xml:space="preserve">psiholog, numărul de posturi fiind stabilit prin Hotărârea </w:t>
      </w:r>
      <w:r>
        <w:rPr>
          <w:rFonts w:asciiTheme="minorHAnsi" w:eastAsiaTheme="minorHAnsi" w:hAnsiTheme="minorHAnsi" w:cstheme="minorHAnsi"/>
          <w:bCs/>
          <w:sz w:val="26"/>
          <w:szCs w:val="26"/>
        </w:rPr>
        <w:t xml:space="preserve">Plenului C.S.M. </w:t>
      </w:r>
      <w:r w:rsidRPr="008832FB">
        <w:rPr>
          <w:rFonts w:asciiTheme="minorHAnsi" w:eastAsiaTheme="minorHAnsi" w:hAnsiTheme="minorHAnsi" w:cstheme="minorHAnsi"/>
          <w:bCs/>
          <w:sz w:val="26"/>
          <w:szCs w:val="26"/>
        </w:rPr>
        <w:t>nr. 136/2024 prin care a fost aprobată noua structură organizatorică a Consiliului Superior al Magistraturii</w:t>
      </w:r>
      <w:r>
        <w:rPr>
          <w:rFonts w:asciiTheme="minorHAnsi" w:eastAsiaTheme="minorHAnsi" w:hAnsiTheme="minorHAnsi" w:cstheme="minorHAnsi"/>
          <w:bCs/>
          <w:sz w:val="26"/>
          <w:szCs w:val="26"/>
        </w:rPr>
        <w:t>,</w:t>
      </w:r>
      <w:r w:rsidRPr="008832FB">
        <w:rPr>
          <w:rFonts w:asciiTheme="minorHAnsi" w:eastAsiaTheme="minorHAnsi" w:hAnsiTheme="minorHAnsi" w:cstheme="minorHAnsi"/>
          <w:bCs/>
          <w:sz w:val="26"/>
          <w:szCs w:val="26"/>
        </w:rPr>
        <w:t xml:space="preserve"> precum și statele de funcții și de personal valabile de la data de 30</w:t>
      </w:r>
      <w:r w:rsidRPr="000F0D8B">
        <w:rPr>
          <w:rFonts w:asciiTheme="minorHAnsi" w:eastAsiaTheme="minorHAnsi" w:hAnsiTheme="minorHAnsi" w:cstheme="minorHAnsi"/>
          <w:bCs/>
          <w:sz w:val="26"/>
          <w:szCs w:val="26"/>
        </w:rPr>
        <w:t xml:space="preserve"> iunie </w:t>
      </w:r>
      <w:r w:rsidRPr="008832FB">
        <w:rPr>
          <w:rFonts w:asciiTheme="minorHAnsi" w:eastAsiaTheme="minorHAnsi" w:hAnsiTheme="minorHAnsi" w:cstheme="minorHAnsi"/>
          <w:bCs/>
          <w:sz w:val="26"/>
          <w:szCs w:val="26"/>
        </w:rPr>
        <w:t>2024.</w:t>
      </w:r>
    </w:p>
    <w:p w14:paraId="371424AE" w14:textId="77777777" w:rsidR="00A23843" w:rsidRPr="008832FB" w:rsidRDefault="00A23843" w:rsidP="00A23843">
      <w:pPr>
        <w:spacing w:line="276" w:lineRule="auto"/>
        <w:ind w:firstLine="720"/>
        <w:jc w:val="both"/>
        <w:rPr>
          <w:rFonts w:asciiTheme="minorHAnsi" w:eastAsiaTheme="minorHAnsi" w:hAnsiTheme="minorHAnsi" w:cstheme="minorHAnsi"/>
          <w:bCs/>
          <w:sz w:val="26"/>
          <w:szCs w:val="26"/>
          <w:u w:val="single"/>
        </w:rPr>
      </w:pPr>
      <w:r w:rsidRPr="008832FB">
        <w:rPr>
          <w:rFonts w:asciiTheme="minorHAnsi" w:eastAsiaTheme="minorHAnsi" w:hAnsiTheme="minorHAnsi" w:cstheme="minorHAnsi"/>
          <w:bCs/>
          <w:sz w:val="26"/>
          <w:szCs w:val="26"/>
        </w:rPr>
        <w:t>În ceea ce privește situația postului de personal contractual, acesta a fost ocupat prin concurs, în luna februarie 2023, în condițiile art.</w:t>
      </w:r>
      <w:r w:rsidRPr="000F0D8B">
        <w:rPr>
          <w:rFonts w:asciiTheme="minorHAnsi" w:eastAsiaTheme="minorHAnsi" w:hAnsiTheme="minorHAnsi" w:cstheme="minorHAnsi"/>
          <w:bCs/>
          <w:sz w:val="26"/>
          <w:szCs w:val="26"/>
        </w:rPr>
        <w:t xml:space="preserve"> </w:t>
      </w:r>
      <w:r w:rsidRPr="008832FB">
        <w:rPr>
          <w:rFonts w:asciiTheme="minorHAnsi" w:eastAsiaTheme="minorHAnsi" w:hAnsiTheme="minorHAnsi" w:cstheme="minorHAnsi"/>
          <w:bCs/>
          <w:sz w:val="26"/>
          <w:szCs w:val="26"/>
        </w:rPr>
        <w:t>110 alin. (2) din Hotărârea Plenului C</w:t>
      </w:r>
      <w:r>
        <w:rPr>
          <w:rFonts w:asciiTheme="minorHAnsi" w:eastAsiaTheme="minorHAnsi" w:hAnsiTheme="minorHAnsi" w:cstheme="minorHAnsi"/>
          <w:bCs/>
          <w:sz w:val="26"/>
          <w:szCs w:val="26"/>
        </w:rPr>
        <w:t xml:space="preserve">.S.M. </w:t>
      </w:r>
      <w:r w:rsidRPr="008832FB">
        <w:rPr>
          <w:rFonts w:asciiTheme="minorHAnsi" w:eastAsiaTheme="minorHAnsi" w:hAnsiTheme="minorHAnsi" w:cstheme="minorHAnsi"/>
          <w:bCs/>
          <w:sz w:val="26"/>
          <w:szCs w:val="26"/>
        </w:rPr>
        <w:t>nr.</w:t>
      </w:r>
      <w:r w:rsidRPr="000F0D8B">
        <w:rPr>
          <w:rFonts w:asciiTheme="minorHAnsi" w:eastAsiaTheme="minorHAnsi" w:hAnsiTheme="minorHAnsi" w:cstheme="minorHAnsi"/>
          <w:bCs/>
          <w:sz w:val="26"/>
          <w:szCs w:val="26"/>
        </w:rPr>
        <w:t xml:space="preserve"> </w:t>
      </w:r>
      <w:r w:rsidRPr="008832FB">
        <w:rPr>
          <w:rFonts w:asciiTheme="minorHAnsi" w:eastAsiaTheme="minorHAnsi" w:hAnsiTheme="minorHAnsi" w:cstheme="minorHAnsi"/>
          <w:bCs/>
          <w:sz w:val="26"/>
          <w:szCs w:val="26"/>
        </w:rPr>
        <w:t>1073/2018 pentru aprobarea Regulamentului de organizare şi funcţionare a Consiliului Superior al Magistraturii, psihologul încadrat fiind atestat în domeniul de competență psihologia muncii și organizațională, treapta de specializare practicant în supervizare.</w:t>
      </w:r>
    </w:p>
    <w:p w14:paraId="48F4F023" w14:textId="5A885DC9" w:rsidR="00A23843" w:rsidRDefault="00A23843" w:rsidP="00F122B0">
      <w:pPr>
        <w:spacing w:line="276" w:lineRule="auto"/>
        <w:ind w:firstLine="720"/>
        <w:jc w:val="both"/>
        <w:rPr>
          <w:rFonts w:asciiTheme="minorHAnsi" w:eastAsiaTheme="minorHAnsi" w:hAnsiTheme="minorHAnsi" w:cstheme="minorHAnsi"/>
          <w:sz w:val="26"/>
          <w:szCs w:val="26"/>
        </w:rPr>
      </w:pPr>
      <w:r w:rsidRPr="008832FB">
        <w:rPr>
          <w:rFonts w:asciiTheme="minorHAnsi" w:eastAsiaTheme="minorHAnsi" w:hAnsiTheme="minorHAnsi" w:cstheme="minorHAnsi"/>
          <w:sz w:val="26"/>
          <w:szCs w:val="26"/>
        </w:rPr>
        <w:t xml:space="preserve">Referitor la psihologul încadrat la nivelul compartimentului pe postul de funcționar public, acesta deține atestat de liberă practică în domeniul de competență </w:t>
      </w:r>
      <w:r w:rsidRPr="000F0D8B">
        <w:rPr>
          <w:rFonts w:asciiTheme="minorHAnsi" w:eastAsiaTheme="minorHAnsi" w:hAnsiTheme="minorHAnsi" w:cstheme="minorHAnsi"/>
          <w:sz w:val="26"/>
          <w:szCs w:val="26"/>
        </w:rPr>
        <w:t>„</w:t>
      </w:r>
      <w:r w:rsidRPr="008832FB">
        <w:rPr>
          <w:rFonts w:asciiTheme="minorHAnsi" w:eastAsiaTheme="minorHAnsi" w:hAnsiTheme="minorHAnsi" w:cstheme="minorHAnsi"/>
          <w:sz w:val="26"/>
          <w:szCs w:val="26"/>
        </w:rPr>
        <w:t>psihologia muncii și organizațională</w:t>
      </w:r>
      <w:r>
        <w:rPr>
          <w:rFonts w:asciiTheme="minorHAnsi" w:eastAsiaTheme="minorHAnsi" w:hAnsiTheme="minorHAnsi" w:cstheme="minorHAnsi"/>
          <w:sz w:val="26"/>
          <w:szCs w:val="26"/>
        </w:rPr>
        <w:t>”</w:t>
      </w:r>
      <w:r w:rsidRPr="008832FB">
        <w:rPr>
          <w:rFonts w:asciiTheme="minorHAnsi" w:eastAsiaTheme="minorHAnsi" w:hAnsiTheme="minorHAnsi" w:cstheme="minorHAnsi"/>
          <w:sz w:val="26"/>
          <w:szCs w:val="26"/>
        </w:rPr>
        <w:t xml:space="preserve">, treapta de specializare </w:t>
      </w:r>
      <w:r w:rsidRPr="00A35EF2">
        <w:rPr>
          <w:rFonts w:asciiTheme="minorHAnsi" w:eastAsiaTheme="minorHAnsi" w:hAnsiTheme="minorHAnsi" w:cstheme="minorHAnsi"/>
          <w:sz w:val="26"/>
          <w:szCs w:val="26"/>
        </w:rPr>
        <w:t xml:space="preserve">„specialist”, </w:t>
      </w:r>
      <w:r w:rsidRPr="008832FB">
        <w:rPr>
          <w:rFonts w:asciiTheme="minorHAnsi" w:eastAsiaTheme="minorHAnsi" w:hAnsiTheme="minorHAnsi" w:cstheme="minorHAnsi"/>
          <w:sz w:val="26"/>
          <w:szCs w:val="26"/>
        </w:rPr>
        <w:t>eliberat în conformitate cu normele metodologice de aplicare a Legii nr. 213/2004 privind  exercitarea  profesiei de psiholog cu drept de liberă practică, înființarea, organizarea și funcționarea Colegiului  Psihologilor din România, aprobate prin H</w:t>
      </w:r>
      <w:r>
        <w:rPr>
          <w:rFonts w:asciiTheme="minorHAnsi" w:eastAsiaTheme="minorHAnsi" w:hAnsiTheme="minorHAnsi" w:cstheme="minorHAnsi"/>
          <w:sz w:val="26"/>
          <w:szCs w:val="26"/>
        </w:rPr>
        <w:t xml:space="preserve">.G. </w:t>
      </w:r>
      <w:r w:rsidRPr="008832FB">
        <w:rPr>
          <w:rFonts w:asciiTheme="minorHAnsi" w:eastAsiaTheme="minorHAnsi" w:hAnsiTheme="minorHAnsi" w:cstheme="minorHAnsi"/>
          <w:sz w:val="26"/>
          <w:szCs w:val="26"/>
        </w:rPr>
        <w:t>nr. 788/2005, cu modificările și completările ulterioare.</w:t>
      </w:r>
    </w:p>
    <w:p w14:paraId="77AD3884" w14:textId="77777777" w:rsidR="00A23843" w:rsidRPr="008832FB" w:rsidRDefault="00A23843" w:rsidP="00A23843">
      <w:pPr>
        <w:spacing w:line="276" w:lineRule="auto"/>
        <w:ind w:firstLine="720"/>
        <w:jc w:val="both"/>
        <w:rPr>
          <w:rFonts w:asciiTheme="minorHAnsi" w:eastAsiaTheme="minorHAnsi" w:hAnsiTheme="minorHAnsi" w:cstheme="minorHAnsi"/>
          <w:sz w:val="26"/>
          <w:szCs w:val="26"/>
        </w:rPr>
      </w:pPr>
    </w:p>
    <w:tbl>
      <w:tblPr>
        <w:tblW w:w="9445" w:type="dxa"/>
        <w:jc w:val="center"/>
        <w:tblLook w:val="04A0" w:firstRow="1" w:lastRow="0" w:firstColumn="1" w:lastColumn="0" w:noHBand="0" w:noVBand="1"/>
      </w:tblPr>
      <w:tblGrid>
        <w:gridCol w:w="2605"/>
        <w:gridCol w:w="1105"/>
        <w:gridCol w:w="1456"/>
        <w:gridCol w:w="1229"/>
        <w:gridCol w:w="1668"/>
        <w:gridCol w:w="1382"/>
      </w:tblGrid>
      <w:tr w:rsidR="00A23843" w:rsidRPr="008832FB" w14:paraId="431E3A3B" w14:textId="77777777" w:rsidTr="00A23843">
        <w:trPr>
          <w:trHeight w:val="131"/>
          <w:jc w:val="center"/>
        </w:trPr>
        <w:tc>
          <w:tcPr>
            <w:tcW w:w="2605" w:type="dxa"/>
            <w:vMerge w:val="restart"/>
            <w:tcBorders>
              <w:top w:val="single" w:sz="4" w:space="0" w:color="auto"/>
              <w:left w:val="single" w:sz="4" w:space="0" w:color="auto"/>
              <w:right w:val="single" w:sz="4" w:space="0" w:color="auto"/>
            </w:tcBorders>
            <w:noWrap/>
            <w:vAlign w:val="bottom"/>
            <w:hideMark/>
          </w:tcPr>
          <w:p w14:paraId="4B5E1CEF" w14:textId="77777777" w:rsidR="00A23843" w:rsidRPr="008832FB" w:rsidRDefault="00A23843" w:rsidP="00A23843">
            <w:pPr>
              <w:spacing w:line="276" w:lineRule="auto"/>
              <w:jc w:val="center"/>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Instituția</w:t>
            </w:r>
          </w:p>
          <w:p w14:paraId="7488D5C3" w14:textId="77777777" w:rsidR="00A23843" w:rsidRPr="008832FB" w:rsidRDefault="00A23843" w:rsidP="00A23843">
            <w:pPr>
              <w:spacing w:line="276" w:lineRule="auto"/>
              <w:jc w:val="center"/>
              <w:rPr>
                <w:rFonts w:asciiTheme="minorHAnsi" w:hAnsiTheme="minorHAnsi" w:cstheme="minorHAnsi"/>
                <w:b/>
                <w:bCs/>
                <w:color w:val="000000"/>
                <w:sz w:val="26"/>
                <w:szCs w:val="26"/>
                <w:lang w:eastAsia="ro-RO"/>
              </w:rPr>
            </w:pPr>
          </w:p>
        </w:tc>
        <w:tc>
          <w:tcPr>
            <w:tcW w:w="1105" w:type="dxa"/>
            <w:vMerge w:val="restart"/>
            <w:tcBorders>
              <w:top w:val="single" w:sz="4" w:space="0" w:color="auto"/>
              <w:left w:val="single" w:sz="4" w:space="0" w:color="auto"/>
              <w:bottom w:val="single" w:sz="4" w:space="0" w:color="000000"/>
              <w:right w:val="single" w:sz="4" w:space="0" w:color="auto"/>
            </w:tcBorders>
            <w:noWrap/>
            <w:vAlign w:val="bottom"/>
            <w:hideMark/>
          </w:tcPr>
          <w:p w14:paraId="407D8AFB" w14:textId="77777777" w:rsidR="00A23843" w:rsidRPr="008832FB" w:rsidRDefault="00A23843" w:rsidP="00A23843">
            <w:pPr>
              <w:spacing w:line="276" w:lineRule="auto"/>
              <w:jc w:val="center"/>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Posturi</w:t>
            </w:r>
          </w:p>
        </w:tc>
        <w:tc>
          <w:tcPr>
            <w:tcW w:w="5735" w:type="dxa"/>
            <w:gridSpan w:val="4"/>
            <w:tcBorders>
              <w:top w:val="single" w:sz="4" w:space="0" w:color="auto"/>
              <w:left w:val="nil"/>
              <w:bottom w:val="single" w:sz="4" w:space="0" w:color="auto"/>
              <w:right w:val="single" w:sz="4" w:space="0" w:color="auto"/>
            </w:tcBorders>
            <w:noWrap/>
            <w:vAlign w:val="bottom"/>
            <w:hideMark/>
          </w:tcPr>
          <w:p w14:paraId="2B49A3D0" w14:textId="77777777" w:rsidR="00A23843" w:rsidRPr="008832FB" w:rsidRDefault="00A23843" w:rsidP="00A23843">
            <w:pPr>
              <w:spacing w:line="276" w:lineRule="auto"/>
              <w:jc w:val="center"/>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Situația ocupării  posturilor de psiholog la nivelul sistemului judiciar</w:t>
            </w:r>
          </w:p>
        </w:tc>
      </w:tr>
      <w:tr w:rsidR="00A23843" w:rsidRPr="008832FB" w14:paraId="68871C95" w14:textId="77777777" w:rsidTr="00A23843">
        <w:trPr>
          <w:trHeight w:val="131"/>
          <w:jc w:val="center"/>
        </w:trPr>
        <w:tc>
          <w:tcPr>
            <w:tcW w:w="2605" w:type="dxa"/>
            <w:vMerge/>
            <w:tcBorders>
              <w:left w:val="single" w:sz="4" w:space="0" w:color="auto"/>
              <w:bottom w:val="single" w:sz="4" w:space="0" w:color="auto"/>
              <w:right w:val="single" w:sz="4" w:space="0" w:color="auto"/>
            </w:tcBorders>
            <w:noWrap/>
            <w:vAlign w:val="bottom"/>
            <w:hideMark/>
          </w:tcPr>
          <w:p w14:paraId="79ACB0D6" w14:textId="77777777" w:rsidR="00A23843" w:rsidRPr="008832FB" w:rsidRDefault="00A23843" w:rsidP="00A23843">
            <w:pPr>
              <w:spacing w:line="276" w:lineRule="auto"/>
              <w:jc w:val="both"/>
              <w:rPr>
                <w:rFonts w:asciiTheme="minorHAnsi" w:hAnsiTheme="minorHAnsi" w:cstheme="minorHAnsi"/>
                <w:b/>
                <w:bCs/>
                <w:color w:val="000000"/>
                <w:sz w:val="26"/>
                <w:szCs w:val="26"/>
                <w:lang w:eastAsia="ro-RO"/>
              </w:rPr>
            </w:pPr>
          </w:p>
        </w:tc>
        <w:tc>
          <w:tcPr>
            <w:tcW w:w="1105" w:type="dxa"/>
            <w:vMerge/>
            <w:tcBorders>
              <w:top w:val="single" w:sz="4" w:space="0" w:color="auto"/>
              <w:left w:val="single" w:sz="4" w:space="0" w:color="auto"/>
              <w:bottom w:val="single" w:sz="4" w:space="0" w:color="000000"/>
              <w:right w:val="single" w:sz="4" w:space="0" w:color="auto"/>
            </w:tcBorders>
            <w:vAlign w:val="center"/>
            <w:hideMark/>
          </w:tcPr>
          <w:p w14:paraId="710905EA" w14:textId="77777777" w:rsidR="00A23843" w:rsidRPr="008832FB" w:rsidRDefault="00A23843" w:rsidP="00A23843">
            <w:pPr>
              <w:spacing w:line="276" w:lineRule="auto"/>
              <w:jc w:val="both"/>
              <w:rPr>
                <w:rFonts w:asciiTheme="minorHAnsi" w:hAnsiTheme="minorHAnsi" w:cstheme="minorHAnsi"/>
                <w:b/>
                <w:bCs/>
                <w:color w:val="000000"/>
                <w:sz w:val="26"/>
                <w:szCs w:val="26"/>
                <w:lang w:eastAsia="ro-RO"/>
              </w:rPr>
            </w:pPr>
          </w:p>
        </w:tc>
        <w:tc>
          <w:tcPr>
            <w:tcW w:w="1456" w:type="dxa"/>
            <w:tcBorders>
              <w:top w:val="nil"/>
              <w:left w:val="nil"/>
              <w:bottom w:val="single" w:sz="4" w:space="0" w:color="auto"/>
              <w:right w:val="single" w:sz="4" w:space="0" w:color="auto"/>
            </w:tcBorders>
            <w:noWrap/>
            <w:vAlign w:val="bottom"/>
            <w:hideMark/>
          </w:tcPr>
          <w:p w14:paraId="0234CBBC" w14:textId="77777777" w:rsidR="00A23843" w:rsidRPr="008832FB" w:rsidRDefault="00A23843" w:rsidP="00A23843">
            <w:pPr>
              <w:spacing w:line="276" w:lineRule="auto"/>
              <w:jc w:val="both"/>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Ocupate</w:t>
            </w:r>
          </w:p>
        </w:tc>
        <w:tc>
          <w:tcPr>
            <w:tcW w:w="1229" w:type="dxa"/>
            <w:tcBorders>
              <w:top w:val="nil"/>
              <w:left w:val="nil"/>
              <w:bottom w:val="single" w:sz="4" w:space="0" w:color="auto"/>
              <w:right w:val="single" w:sz="4" w:space="0" w:color="auto"/>
            </w:tcBorders>
            <w:noWrap/>
            <w:vAlign w:val="bottom"/>
            <w:hideMark/>
          </w:tcPr>
          <w:p w14:paraId="3E78AA2A" w14:textId="77777777" w:rsidR="00A23843" w:rsidRPr="008832FB" w:rsidRDefault="00A23843" w:rsidP="00A23843">
            <w:pPr>
              <w:spacing w:line="276" w:lineRule="auto"/>
              <w:jc w:val="both"/>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procent</w:t>
            </w:r>
          </w:p>
        </w:tc>
        <w:tc>
          <w:tcPr>
            <w:tcW w:w="1668" w:type="dxa"/>
            <w:tcBorders>
              <w:top w:val="nil"/>
              <w:left w:val="nil"/>
              <w:bottom w:val="single" w:sz="4" w:space="0" w:color="auto"/>
              <w:right w:val="single" w:sz="4" w:space="0" w:color="auto"/>
            </w:tcBorders>
            <w:noWrap/>
            <w:vAlign w:val="bottom"/>
            <w:hideMark/>
          </w:tcPr>
          <w:p w14:paraId="3624CFF2" w14:textId="77777777" w:rsidR="00A23843" w:rsidRPr="008832FB" w:rsidRDefault="00A23843" w:rsidP="00A23843">
            <w:pPr>
              <w:spacing w:line="276" w:lineRule="auto"/>
              <w:jc w:val="both"/>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 xml:space="preserve"> Vacante</w:t>
            </w:r>
          </w:p>
        </w:tc>
        <w:tc>
          <w:tcPr>
            <w:tcW w:w="1382" w:type="dxa"/>
            <w:tcBorders>
              <w:top w:val="nil"/>
              <w:left w:val="nil"/>
              <w:bottom w:val="single" w:sz="4" w:space="0" w:color="auto"/>
              <w:right w:val="single" w:sz="4" w:space="0" w:color="auto"/>
            </w:tcBorders>
            <w:noWrap/>
            <w:vAlign w:val="bottom"/>
            <w:hideMark/>
          </w:tcPr>
          <w:p w14:paraId="3D4A5AB8" w14:textId="77777777" w:rsidR="00A23843" w:rsidRPr="008832FB" w:rsidRDefault="00A23843" w:rsidP="00A23843">
            <w:pPr>
              <w:spacing w:line="276" w:lineRule="auto"/>
              <w:jc w:val="both"/>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procent</w:t>
            </w:r>
          </w:p>
        </w:tc>
      </w:tr>
      <w:tr w:rsidR="00A23843" w:rsidRPr="008832FB" w14:paraId="12ADC758" w14:textId="77777777" w:rsidTr="00A23843">
        <w:trPr>
          <w:trHeight w:val="131"/>
          <w:jc w:val="center"/>
        </w:trPr>
        <w:tc>
          <w:tcPr>
            <w:tcW w:w="9445" w:type="dxa"/>
            <w:gridSpan w:val="6"/>
            <w:tcBorders>
              <w:left w:val="single" w:sz="4" w:space="0" w:color="auto"/>
              <w:bottom w:val="single" w:sz="4" w:space="0" w:color="auto"/>
              <w:right w:val="single" w:sz="4" w:space="0" w:color="auto"/>
            </w:tcBorders>
            <w:noWrap/>
            <w:vAlign w:val="bottom"/>
          </w:tcPr>
          <w:p w14:paraId="226074DF" w14:textId="77777777" w:rsidR="00A23843" w:rsidRPr="008832FB" w:rsidRDefault="00A23843" w:rsidP="00A23843">
            <w:pPr>
              <w:spacing w:line="276" w:lineRule="auto"/>
              <w:jc w:val="center"/>
              <w:rPr>
                <w:rFonts w:asciiTheme="minorHAnsi" w:hAnsiTheme="minorHAnsi" w:cstheme="minorHAnsi"/>
                <w:color w:val="000000"/>
                <w:sz w:val="26"/>
                <w:szCs w:val="26"/>
                <w:lang w:eastAsia="ro-RO"/>
              </w:rPr>
            </w:pPr>
          </w:p>
          <w:p w14:paraId="69704256" w14:textId="77777777" w:rsidR="00A23843" w:rsidRPr="008832FB" w:rsidRDefault="00A23843" w:rsidP="00A23843">
            <w:pPr>
              <w:spacing w:line="276" w:lineRule="auto"/>
              <w:jc w:val="center"/>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Instituții</w:t>
            </w:r>
          </w:p>
        </w:tc>
      </w:tr>
      <w:tr w:rsidR="00B41651" w:rsidRPr="00B41651" w14:paraId="05794172" w14:textId="77777777" w:rsidTr="00A23843">
        <w:trPr>
          <w:trHeight w:val="131"/>
          <w:jc w:val="center"/>
        </w:trPr>
        <w:tc>
          <w:tcPr>
            <w:tcW w:w="2605" w:type="dxa"/>
            <w:tcBorders>
              <w:left w:val="single" w:sz="4" w:space="0" w:color="auto"/>
              <w:bottom w:val="single" w:sz="4" w:space="0" w:color="auto"/>
              <w:right w:val="single" w:sz="4" w:space="0" w:color="auto"/>
            </w:tcBorders>
            <w:noWrap/>
            <w:vAlign w:val="bottom"/>
          </w:tcPr>
          <w:p w14:paraId="2FC5363D" w14:textId="77777777" w:rsidR="00A23843" w:rsidRPr="00B41651" w:rsidRDefault="00A23843" w:rsidP="00A23843">
            <w:pPr>
              <w:spacing w:line="276" w:lineRule="auto"/>
              <w:jc w:val="center"/>
              <w:rPr>
                <w:rFonts w:asciiTheme="minorHAnsi" w:hAnsiTheme="minorHAnsi" w:cstheme="minorHAnsi"/>
                <w:sz w:val="26"/>
                <w:szCs w:val="26"/>
                <w:lang w:eastAsia="ro-RO"/>
              </w:rPr>
            </w:pPr>
            <w:r w:rsidRPr="00B41651">
              <w:rPr>
                <w:rFonts w:asciiTheme="minorHAnsi" w:hAnsiTheme="minorHAnsi" w:cstheme="minorHAnsi"/>
                <w:sz w:val="26"/>
                <w:szCs w:val="26"/>
                <w:lang w:eastAsia="ro-RO"/>
              </w:rPr>
              <w:t>C.S.M.</w:t>
            </w:r>
          </w:p>
        </w:tc>
        <w:tc>
          <w:tcPr>
            <w:tcW w:w="1105" w:type="dxa"/>
            <w:tcBorders>
              <w:top w:val="single" w:sz="4" w:space="0" w:color="auto"/>
              <w:left w:val="single" w:sz="4" w:space="0" w:color="auto"/>
              <w:bottom w:val="single" w:sz="4" w:space="0" w:color="000000"/>
              <w:right w:val="single" w:sz="4" w:space="0" w:color="auto"/>
            </w:tcBorders>
            <w:vAlign w:val="center"/>
          </w:tcPr>
          <w:p w14:paraId="3BBE8FA3" w14:textId="77777777" w:rsidR="00A23843" w:rsidRPr="00B41651" w:rsidRDefault="00A23843" w:rsidP="00A23843">
            <w:pPr>
              <w:spacing w:line="276" w:lineRule="auto"/>
              <w:jc w:val="center"/>
              <w:rPr>
                <w:rFonts w:asciiTheme="minorHAnsi" w:hAnsiTheme="minorHAnsi" w:cstheme="minorHAnsi"/>
                <w:sz w:val="26"/>
                <w:szCs w:val="26"/>
                <w:lang w:eastAsia="ro-RO"/>
              </w:rPr>
            </w:pPr>
            <w:r w:rsidRPr="00B41651">
              <w:rPr>
                <w:rFonts w:asciiTheme="minorHAnsi" w:hAnsiTheme="minorHAnsi" w:cstheme="minorHAnsi"/>
                <w:sz w:val="26"/>
                <w:szCs w:val="26"/>
                <w:lang w:eastAsia="ro-RO"/>
              </w:rPr>
              <w:t>2</w:t>
            </w:r>
          </w:p>
        </w:tc>
        <w:tc>
          <w:tcPr>
            <w:tcW w:w="1456" w:type="dxa"/>
            <w:tcBorders>
              <w:top w:val="nil"/>
              <w:left w:val="nil"/>
              <w:bottom w:val="single" w:sz="4" w:space="0" w:color="auto"/>
              <w:right w:val="single" w:sz="4" w:space="0" w:color="auto"/>
            </w:tcBorders>
            <w:noWrap/>
            <w:vAlign w:val="bottom"/>
          </w:tcPr>
          <w:p w14:paraId="18993303" w14:textId="77777777" w:rsidR="00A23843" w:rsidRPr="00B41651" w:rsidRDefault="00A23843" w:rsidP="00A23843">
            <w:pPr>
              <w:spacing w:line="276" w:lineRule="auto"/>
              <w:jc w:val="center"/>
              <w:rPr>
                <w:rFonts w:asciiTheme="minorHAnsi" w:hAnsiTheme="minorHAnsi" w:cstheme="minorHAnsi"/>
                <w:sz w:val="26"/>
                <w:szCs w:val="26"/>
                <w:lang w:eastAsia="ro-RO"/>
              </w:rPr>
            </w:pPr>
            <w:r w:rsidRPr="00B41651">
              <w:rPr>
                <w:rFonts w:asciiTheme="minorHAnsi" w:hAnsiTheme="minorHAnsi" w:cstheme="minorHAnsi"/>
                <w:sz w:val="26"/>
                <w:szCs w:val="26"/>
                <w:lang w:eastAsia="ro-RO"/>
              </w:rPr>
              <w:t>2</w:t>
            </w:r>
          </w:p>
        </w:tc>
        <w:tc>
          <w:tcPr>
            <w:tcW w:w="1229" w:type="dxa"/>
            <w:tcBorders>
              <w:top w:val="nil"/>
              <w:left w:val="nil"/>
              <w:bottom w:val="single" w:sz="4" w:space="0" w:color="auto"/>
              <w:right w:val="single" w:sz="4" w:space="0" w:color="auto"/>
            </w:tcBorders>
            <w:noWrap/>
          </w:tcPr>
          <w:p w14:paraId="4846C8EA" w14:textId="77777777" w:rsidR="00A23843" w:rsidRPr="00B41651" w:rsidRDefault="00A23843" w:rsidP="00A23843">
            <w:pPr>
              <w:spacing w:line="276" w:lineRule="auto"/>
              <w:rPr>
                <w:rFonts w:asciiTheme="minorHAnsi" w:eastAsiaTheme="minorHAnsi" w:hAnsiTheme="minorHAnsi" w:cstheme="minorHAnsi"/>
                <w:sz w:val="26"/>
                <w:szCs w:val="26"/>
              </w:rPr>
            </w:pPr>
            <w:r w:rsidRPr="00B41651">
              <w:rPr>
                <w:rFonts w:asciiTheme="minorHAnsi" w:eastAsiaTheme="minorHAnsi" w:hAnsiTheme="minorHAnsi" w:cstheme="minorHAnsi"/>
                <w:sz w:val="26"/>
                <w:szCs w:val="26"/>
              </w:rPr>
              <w:t>100,00%</w:t>
            </w:r>
          </w:p>
        </w:tc>
        <w:tc>
          <w:tcPr>
            <w:tcW w:w="1668" w:type="dxa"/>
            <w:tcBorders>
              <w:top w:val="nil"/>
              <w:left w:val="nil"/>
              <w:bottom w:val="single" w:sz="4" w:space="0" w:color="auto"/>
              <w:right w:val="single" w:sz="4" w:space="0" w:color="auto"/>
            </w:tcBorders>
            <w:noWrap/>
            <w:vAlign w:val="bottom"/>
          </w:tcPr>
          <w:p w14:paraId="5E969624" w14:textId="77777777" w:rsidR="00A23843" w:rsidRPr="00B41651" w:rsidRDefault="00A23843" w:rsidP="00A23843">
            <w:pPr>
              <w:spacing w:line="276" w:lineRule="auto"/>
              <w:jc w:val="center"/>
              <w:rPr>
                <w:rFonts w:asciiTheme="minorHAnsi" w:hAnsiTheme="minorHAnsi" w:cstheme="minorHAnsi"/>
                <w:b/>
                <w:bCs/>
                <w:sz w:val="26"/>
                <w:szCs w:val="26"/>
                <w:lang w:eastAsia="ro-RO"/>
              </w:rPr>
            </w:pPr>
          </w:p>
        </w:tc>
        <w:tc>
          <w:tcPr>
            <w:tcW w:w="1382" w:type="dxa"/>
            <w:tcBorders>
              <w:top w:val="nil"/>
              <w:left w:val="nil"/>
              <w:bottom w:val="single" w:sz="4" w:space="0" w:color="auto"/>
              <w:right w:val="single" w:sz="4" w:space="0" w:color="auto"/>
            </w:tcBorders>
            <w:noWrap/>
            <w:vAlign w:val="bottom"/>
          </w:tcPr>
          <w:p w14:paraId="520ADAD0" w14:textId="77777777" w:rsidR="00A23843" w:rsidRPr="00B41651" w:rsidRDefault="00A23843" w:rsidP="00A23843">
            <w:pPr>
              <w:spacing w:line="276" w:lineRule="auto"/>
              <w:rPr>
                <w:rFonts w:asciiTheme="minorHAnsi" w:hAnsiTheme="minorHAnsi" w:cstheme="minorHAnsi"/>
                <w:b/>
                <w:bCs/>
                <w:sz w:val="26"/>
                <w:szCs w:val="26"/>
                <w:lang w:eastAsia="ro-RO"/>
              </w:rPr>
            </w:pPr>
          </w:p>
        </w:tc>
      </w:tr>
      <w:tr w:rsidR="00B41651" w:rsidRPr="00B41651" w14:paraId="31AF058D" w14:textId="77777777" w:rsidTr="00A23843">
        <w:trPr>
          <w:trHeight w:val="131"/>
          <w:jc w:val="center"/>
        </w:trPr>
        <w:tc>
          <w:tcPr>
            <w:tcW w:w="2605" w:type="dxa"/>
            <w:tcBorders>
              <w:left w:val="single" w:sz="4" w:space="0" w:color="auto"/>
              <w:bottom w:val="single" w:sz="4" w:space="0" w:color="auto"/>
              <w:right w:val="single" w:sz="4" w:space="0" w:color="auto"/>
            </w:tcBorders>
            <w:noWrap/>
            <w:vAlign w:val="bottom"/>
          </w:tcPr>
          <w:p w14:paraId="17D06AC3" w14:textId="77777777" w:rsidR="00A23843" w:rsidRPr="00B41651" w:rsidRDefault="00A23843" w:rsidP="00A23843">
            <w:pPr>
              <w:spacing w:line="276" w:lineRule="auto"/>
              <w:jc w:val="center"/>
              <w:rPr>
                <w:rFonts w:asciiTheme="minorHAnsi" w:hAnsiTheme="minorHAnsi" w:cstheme="minorHAnsi"/>
                <w:sz w:val="26"/>
                <w:szCs w:val="26"/>
                <w:lang w:eastAsia="ro-RO"/>
              </w:rPr>
            </w:pPr>
            <w:r w:rsidRPr="00B41651">
              <w:rPr>
                <w:rFonts w:asciiTheme="minorHAnsi" w:hAnsiTheme="minorHAnsi" w:cstheme="minorHAnsi"/>
                <w:sz w:val="26"/>
                <w:szCs w:val="26"/>
                <w:lang w:eastAsia="ro-RO"/>
              </w:rPr>
              <w:t>I.J.</w:t>
            </w:r>
          </w:p>
        </w:tc>
        <w:tc>
          <w:tcPr>
            <w:tcW w:w="1105" w:type="dxa"/>
            <w:tcBorders>
              <w:top w:val="single" w:sz="4" w:space="0" w:color="auto"/>
              <w:left w:val="single" w:sz="4" w:space="0" w:color="auto"/>
              <w:bottom w:val="single" w:sz="4" w:space="0" w:color="000000"/>
              <w:right w:val="single" w:sz="4" w:space="0" w:color="auto"/>
            </w:tcBorders>
            <w:vAlign w:val="center"/>
          </w:tcPr>
          <w:p w14:paraId="319C8518" w14:textId="77777777" w:rsidR="00A23843" w:rsidRPr="00B41651" w:rsidRDefault="00A23843" w:rsidP="00A23843">
            <w:pPr>
              <w:spacing w:line="276" w:lineRule="auto"/>
              <w:jc w:val="center"/>
              <w:rPr>
                <w:rFonts w:asciiTheme="minorHAnsi" w:hAnsiTheme="minorHAnsi" w:cstheme="minorHAnsi"/>
                <w:sz w:val="26"/>
                <w:szCs w:val="26"/>
                <w:lang w:eastAsia="ro-RO"/>
              </w:rPr>
            </w:pPr>
            <w:r w:rsidRPr="00B41651">
              <w:rPr>
                <w:rFonts w:asciiTheme="minorHAnsi" w:hAnsiTheme="minorHAnsi" w:cstheme="minorHAnsi"/>
                <w:sz w:val="26"/>
                <w:szCs w:val="26"/>
                <w:lang w:eastAsia="ro-RO"/>
              </w:rPr>
              <w:t>1</w:t>
            </w:r>
          </w:p>
        </w:tc>
        <w:tc>
          <w:tcPr>
            <w:tcW w:w="1456" w:type="dxa"/>
            <w:tcBorders>
              <w:top w:val="nil"/>
              <w:left w:val="nil"/>
              <w:bottom w:val="single" w:sz="4" w:space="0" w:color="auto"/>
              <w:right w:val="single" w:sz="4" w:space="0" w:color="auto"/>
            </w:tcBorders>
            <w:noWrap/>
            <w:vAlign w:val="bottom"/>
          </w:tcPr>
          <w:p w14:paraId="5CAAC3C8" w14:textId="77777777" w:rsidR="00A23843" w:rsidRPr="00B41651" w:rsidRDefault="00A23843" w:rsidP="00A23843">
            <w:pPr>
              <w:spacing w:line="276" w:lineRule="auto"/>
              <w:jc w:val="center"/>
              <w:rPr>
                <w:rFonts w:asciiTheme="minorHAnsi" w:hAnsiTheme="minorHAnsi" w:cstheme="minorHAnsi"/>
                <w:sz w:val="26"/>
                <w:szCs w:val="26"/>
                <w:lang w:eastAsia="ro-RO"/>
              </w:rPr>
            </w:pPr>
            <w:r w:rsidRPr="00B41651">
              <w:rPr>
                <w:rFonts w:asciiTheme="minorHAnsi" w:hAnsiTheme="minorHAnsi" w:cstheme="minorHAnsi"/>
                <w:sz w:val="26"/>
                <w:szCs w:val="26"/>
                <w:lang w:eastAsia="ro-RO"/>
              </w:rPr>
              <w:t>1</w:t>
            </w:r>
          </w:p>
        </w:tc>
        <w:tc>
          <w:tcPr>
            <w:tcW w:w="1229" w:type="dxa"/>
            <w:tcBorders>
              <w:top w:val="nil"/>
              <w:left w:val="nil"/>
              <w:bottom w:val="single" w:sz="4" w:space="0" w:color="auto"/>
              <w:right w:val="single" w:sz="4" w:space="0" w:color="auto"/>
            </w:tcBorders>
            <w:noWrap/>
          </w:tcPr>
          <w:p w14:paraId="1E25B63C" w14:textId="77777777" w:rsidR="00A23843" w:rsidRPr="00B41651" w:rsidRDefault="00A23843" w:rsidP="00A23843">
            <w:pPr>
              <w:spacing w:line="276" w:lineRule="auto"/>
              <w:jc w:val="center"/>
              <w:rPr>
                <w:rFonts w:asciiTheme="minorHAnsi" w:eastAsiaTheme="minorHAnsi" w:hAnsiTheme="minorHAnsi" w:cstheme="minorHAnsi"/>
                <w:sz w:val="26"/>
                <w:szCs w:val="26"/>
              </w:rPr>
            </w:pPr>
            <w:r w:rsidRPr="00B41651">
              <w:rPr>
                <w:rFonts w:asciiTheme="minorHAnsi" w:eastAsiaTheme="minorHAnsi" w:hAnsiTheme="minorHAnsi" w:cstheme="minorHAnsi"/>
                <w:sz w:val="26"/>
                <w:szCs w:val="26"/>
              </w:rPr>
              <w:t>100,00%</w:t>
            </w:r>
          </w:p>
        </w:tc>
        <w:tc>
          <w:tcPr>
            <w:tcW w:w="1668" w:type="dxa"/>
            <w:tcBorders>
              <w:top w:val="nil"/>
              <w:left w:val="nil"/>
              <w:bottom w:val="single" w:sz="4" w:space="0" w:color="auto"/>
              <w:right w:val="single" w:sz="4" w:space="0" w:color="auto"/>
            </w:tcBorders>
            <w:noWrap/>
            <w:vAlign w:val="bottom"/>
          </w:tcPr>
          <w:p w14:paraId="27CCE8D3" w14:textId="77777777" w:rsidR="00A23843" w:rsidRPr="00B41651" w:rsidRDefault="00A23843" w:rsidP="00A23843">
            <w:pPr>
              <w:spacing w:line="276" w:lineRule="auto"/>
              <w:jc w:val="center"/>
              <w:rPr>
                <w:rFonts w:asciiTheme="minorHAnsi" w:hAnsiTheme="minorHAnsi" w:cstheme="minorHAnsi"/>
                <w:b/>
                <w:bCs/>
                <w:sz w:val="26"/>
                <w:szCs w:val="26"/>
                <w:lang w:eastAsia="ro-RO"/>
              </w:rPr>
            </w:pPr>
          </w:p>
        </w:tc>
        <w:tc>
          <w:tcPr>
            <w:tcW w:w="1382" w:type="dxa"/>
            <w:tcBorders>
              <w:top w:val="nil"/>
              <w:left w:val="nil"/>
              <w:bottom w:val="single" w:sz="4" w:space="0" w:color="auto"/>
              <w:right w:val="single" w:sz="4" w:space="0" w:color="auto"/>
            </w:tcBorders>
            <w:noWrap/>
            <w:vAlign w:val="bottom"/>
          </w:tcPr>
          <w:p w14:paraId="7B0CB600" w14:textId="77777777" w:rsidR="00A23843" w:rsidRPr="00B41651" w:rsidRDefault="00A23843" w:rsidP="00A23843">
            <w:pPr>
              <w:spacing w:line="276" w:lineRule="auto"/>
              <w:jc w:val="center"/>
              <w:rPr>
                <w:rFonts w:asciiTheme="minorHAnsi" w:hAnsiTheme="minorHAnsi" w:cstheme="minorHAnsi"/>
                <w:b/>
                <w:bCs/>
                <w:sz w:val="26"/>
                <w:szCs w:val="26"/>
                <w:lang w:eastAsia="ro-RO"/>
              </w:rPr>
            </w:pPr>
          </w:p>
        </w:tc>
      </w:tr>
      <w:tr w:rsidR="00B41651" w:rsidRPr="00B41651" w14:paraId="67F0487B" w14:textId="77777777" w:rsidTr="00A23843">
        <w:trPr>
          <w:trHeight w:val="131"/>
          <w:jc w:val="center"/>
        </w:trPr>
        <w:tc>
          <w:tcPr>
            <w:tcW w:w="2605" w:type="dxa"/>
            <w:tcBorders>
              <w:left w:val="single" w:sz="4" w:space="0" w:color="auto"/>
              <w:bottom w:val="single" w:sz="4" w:space="0" w:color="auto"/>
              <w:right w:val="single" w:sz="4" w:space="0" w:color="auto"/>
            </w:tcBorders>
            <w:noWrap/>
            <w:vAlign w:val="bottom"/>
          </w:tcPr>
          <w:p w14:paraId="2274CD43" w14:textId="77777777" w:rsidR="00A23843" w:rsidRPr="00B41651" w:rsidRDefault="00A23843" w:rsidP="00A23843">
            <w:pPr>
              <w:spacing w:line="276" w:lineRule="auto"/>
              <w:jc w:val="center"/>
              <w:rPr>
                <w:rFonts w:asciiTheme="minorHAnsi" w:hAnsiTheme="minorHAnsi" w:cstheme="minorHAnsi"/>
                <w:sz w:val="26"/>
                <w:szCs w:val="26"/>
                <w:lang w:eastAsia="ro-RO"/>
              </w:rPr>
            </w:pPr>
            <w:r w:rsidRPr="00B41651">
              <w:rPr>
                <w:rFonts w:asciiTheme="minorHAnsi" w:hAnsiTheme="minorHAnsi" w:cstheme="minorHAnsi"/>
                <w:sz w:val="26"/>
                <w:szCs w:val="26"/>
                <w:lang w:eastAsia="ro-RO"/>
              </w:rPr>
              <w:t>I.N.M.</w:t>
            </w:r>
          </w:p>
        </w:tc>
        <w:tc>
          <w:tcPr>
            <w:tcW w:w="1105" w:type="dxa"/>
            <w:tcBorders>
              <w:top w:val="single" w:sz="4" w:space="0" w:color="auto"/>
              <w:left w:val="single" w:sz="4" w:space="0" w:color="auto"/>
              <w:bottom w:val="single" w:sz="4" w:space="0" w:color="000000"/>
              <w:right w:val="single" w:sz="4" w:space="0" w:color="auto"/>
            </w:tcBorders>
            <w:vAlign w:val="center"/>
          </w:tcPr>
          <w:p w14:paraId="75F3516A" w14:textId="77777777" w:rsidR="00A23843" w:rsidRPr="00B41651" w:rsidRDefault="00A23843" w:rsidP="00A23843">
            <w:pPr>
              <w:spacing w:line="276" w:lineRule="auto"/>
              <w:jc w:val="center"/>
              <w:rPr>
                <w:rFonts w:asciiTheme="minorHAnsi" w:hAnsiTheme="minorHAnsi" w:cstheme="minorHAnsi"/>
                <w:sz w:val="26"/>
                <w:szCs w:val="26"/>
                <w:lang w:eastAsia="ro-RO"/>
              </w:rPr>
            </w:pPr>
            <w:r w:rsidRPr="00B41651">
              <w:rPr>
                <w:rFonts w:asciiTheme="minorHAnsi" w:hAnsiTheme="minorHAnsi" w:cstheme="minorHAnsi"/>
                <w:sz w:val="26"/>
                <w:szCs w:val="26"/>
                <w:lang w:eastAsia="ro-RO"/>
              </w:rPr>
              <w:t>2</w:t>
            </w:r>
          </w:p>
        </w:tc>
        <w:tc>
          <w:tcPr>
            <w:tcW w:w="1456" w:type="dxa"/>
            <w:tcBorders>
              <w:top w:val="nil"/>
              <w:left w:val="nil"/>
              <w:bottom w:val="single" w:sz="4" w:space="0" w:color="auto"/>
              <w:right w:val="single" w:sz="4" w:space="0" w:color="auto"/>
            </w:tcBorders>
            <w:noWrap/>
            <w:vAlign w:val="bottom"/>
          </w:tcPr>
          <w:p w14:paraId="128733B1" w14:textId="77777777" w:rsidR="00A23843" w:rsidRPr="00B41651" w:rsidRDefault="00A23843" w:rsidP="00A23843">
            <w:pPr>
              <w:spacing w:line="276" w:lineRule="auto"/>
              <w:jc w:val="center"/>
              <w:rPr>
                <w:rFonts w:asciiTheme="minorHAnsi" w:hAnsiTheme="minorHAnsi" w:cstheme="minorHAnsi"/>
                <w:sz w:val="26"/>
                <w:szCs w:val="26"/>
                <w:lang w:eastAsia="ro-RO"/>
              </w:rPr>
            </w:pPr>
            <w:r w:rsidRPr="00B41651">
              <w:rPr>
                <w:rFonts w:asciiTheme="minorHAnsi" w:hAnsiTheme="minorHAnsi" w:cstheme="minorHAnsi"/>
                <w:sz w:val="26"/>
                <w:szCs w:val="26"/>
                <w:lang w:eastAsia="ro-RO"/>
              </w:rPr>
              <w:t>1</w:t>
            </w:r>
          </w:p>
        </w:tc>
        <w:tc>
          <w:tcPr>
            <w:tcW w:w="1229" w:type="dxa"/>
            <w:tcBorders>
              <w:top w:val="nil"/>
              <w:left w:val="nil"/>
              <w:bottom w:val="single" w:sz="4" w:space="0" w:color="auto"/>
              <w:right w:val="single" w:sz="4" w:space="0" w:color="auto"/>
            </w:tcBorders>
            <w:noWrap/>
          </w:tcPr>
          <w:p w14:paraId="67D6BB3B" w14:textId="77777777" w:rsidR="00A23843" w:rsidRPr="00B41651" w:rsidRDefault="00A23843" w:rsidP="00A23843">
            <w:pPr>
              <w:spacing w:line="276" w:lineRule="auto"/>
              <w:jc w:val="center"/>
              <w:rPr>
                <w:rFonts w:asciiTheme="minorHAnsi" w:hAnsiTheme="minorHAnsi" w:cstheme="minorHAnsi"/>
                <w:b/>
                <w:bCs/>
                <w:sz w:val="26"/>
                <w:szCs w:val="26"/>
                <w:lang w:eastAsia="ro-RO"/>
              </w:rPr>
            </w:pPr>
            <w:r w:rsidRPr="00B41651">
              <w:rPr>
                <w:rFonts w:asciiTheme="minorHAnsi" w:eastAsiaTheme="minorHAnsi" w:hAnsiTheme="minorHAnsi" w:cstheme="minorHAnsi"/>
                <w:sz w:val="26"/>
                <w:szCs w:val="26"/>
              </w:rPr>
              <w:t>50%</w:t>
            </w:r>
          </w:p>
        </w:tc>
        <w:tc>
          <w:tcPr>
            <w:tcW w:w="1668" w:type="dxa"/>
            <w:tcBorders>
              <w:top w:val="nil"/>
              <w:left w:val="nil"/>
              <w:bottom w:val="single" w:sz="4" w:space="0" w:color="auto"/>
              <w:right w:val="single" w:sz="4" w:space="0" w:color="auto"/>
            </w:tcBorders>
            <w:noWrap/>
            <w:vAlign w:val="bottom"/>
          </w:tcPr>
          <w:p w14:paraId="33D9AD89" w14:textId="77777777" w:rsidR="00A23843" w:rsidRPr="00B41651" w:rsidRDefault="00A23843" w:rsidP="00A23843">
            <w:pPr>
              <w:spacing w:line="276" w:lineRule="auto"/>
              <w:jc w:val="center"/>
              <w:rPr>
                <w:rFonts w:asciiTheme="minorHAnsi" w:hAnsiTheme="minorHAnsi" w:cstheme="minorHAnsi"/>
                <w:sz w:val="26"/>
                <w:szCs w:val="26"/>
                <w:lang w:eastAsia="ro-RO"/>
              </w:rPr>
            </w:pPr>
            <w:r w:rsidRPr="00B41651">
              <w:rPr>
                <w:rFonts w:asciiTheme="minorHAnsi" w:hAnsiTheme="minorHAnsi" w:cstheme="minorHAnsi"/>
                <w:sz w:val="26"/>
                <w:szCs w:val="26"/>
                <w:lang w:eastAsia="ro-RO"/>
              </w:rPr>
              <w:t>1</w:t>
            </w:r>
          </w:p>
        </w:tc>
        <w:tc>
          <w:tcPr>
            <w:tcW w:w="1382" w:type="dxa"/>
            <w:tcBorders>
              <w:top w:val="nil"/>
              <w:left w:val="nil"/>
              <w:bottom w:val="single" w:sz="4" w:space="0" w:color="auto"/>
              <w:right w:val="single" w:sz="4" w:space="0" w:color="auto"/>
            </w:tcBorders>
            <w:noWrap/>
            <w:vAlign w:val="bottom"/>
          </w:tcPr>
          <w:p w14:paraId="40E33836" w14:textId="77777777" w:rsidR="00A23843" w:rsidRPr="00B41651" w:rsidRDefault="00A23843" w:rsidP="00A23843">
            <w:pPr>
              <w:spacing w:line="276" w:lineRule="auto"/>
              <w:jc w:val="center"/>
              <w:rPr>
                <w:rFonts w:asciiTheme="minorHAnsi" w:hAnsiTheme="minorHAnsi" w:cstheme="minorHAnsi"/>
                <w:b/>
                <w:bCs/>
                <w:sz w:val="26"/>
                <w:szCs w:val="26"/>
                <w:lang w:eastAsia="ro-RO"/>
              </w:rPr>
            </w:pPr>
            <w:r w:rsidRPr="00B41651">
              <w:rPr>
                <w:rFonts w:asciiTheme="minorHAnsi" w:eastAsiaTheme="minorHAnsi" w:hAnsiTheme="minorHAnsi" w:cstheme="minorHAnsi"/>
                <w:sz w:val="26"/>
                <w:szCs w:val="26"/>
              </w:rPr>
              <w:t>50%</w:t>
            </w:r>
          </w:p>
        </w:tc>
      </w:tr>
      <w:tr w:rsidR="00B41651" w:rsidRPr="00B41651" w14:paraId="55713A28" w14:textId="77777777" w:rsidTr="00A23843">
        <w:trPr>
          <w:trHeight w:val="80"/>
          <w:jc w:val="center"/>
        </w:trPr>
        <w:tc>
          <w:tcPr>
            <w:tcW w:w="9445" w:type="dxa"/>
            <w:gridSpan w:val="6"/>
            <w:tcBorders>
              <w:top w:val="nil"/>
              <w:left w:val="single" w:sz="4" w:space="0" w:color="auto"/>
              <w:bottom w:val="single" w:sz="4" w:space="0" w:color="auto"/>
              <w:right w:val="single" w:sz="4" w:space="0" w:color="auto"/>
            </w:tcBorders>
            <w:noWrap/>
            <w:vAlign w:val="bottom"/>
          </w:tcPr>
          <w:p w14:paraId="081980DC" w14:textId="77777777" w:rsidR="00A23843" w:rsidRPr="00B41651" w:rsidRDefault="00A23843" w:rsidP="00A23843">
            <w:pPr>
              <w:spacing w:line="276" w:lineRule="auto"/>
              <w:jc w:val="center"/>
              <w:rPr>
                <w:rFonts w:asciiTheme="minorHAnsi" w:eastAsiaTheme="minorHAnsi" w:hAnsiTheme="minorHAnsi" w:cstheme="minorHAnsi"/>
                <w:b/>
                <w:bCs/>
                <w:sz w:val="26"/>
                <w:szCs w:val="26"/>
              </w:rPr>
            </w:pPr>
            <w:r w:rsidRPr="00B41651">
              <w:rPr>
                <w:rFonts w:asciiTheme="minorHAnsi" w:eastAsiaTheme="minorHAnsi" w:hAnsiTheme="minorHAnsi" w:cstheme="minorHAnsi"/>
                <w:b/>
                <w:bCs/>
                <w:sz w:val="26"/>
                <w:szCs w:val="26"/>
              </w:rPr>
              <w:t>Instanțe judecătorești</w:t>
            </w:r>
          </w:p>
        </w:tc>
      </w:tr>
      <w:tr w:rsidR="00B41651" w:rsidRPr="00B41651" w14:paraId="25616FA9" w14:textId="77777777" w:rsidTr="00A23843">
        <w:trPr>
          <w:trHeight w:val="253"/>
          <w:jc w:val="center"/>
        </w:trPr>
        <w:tc>
          <w:tcPr>
            <w:tcW w:w="2605" w:type="dxa"/>
            <w:tcBorders>
              <w:top w:val="nil"/>
              <w:left w:val="single" w:sz="4" w:space="0" w:color="auto"/>
              <w:bottom w:val="single" w:sz="4" w:space="0" w:color="auto"/>
              <w:right w:val="single" w:sz="4" w:space="0" w:color="auto"/>
            </w:tcBorders>
            <w:noWrap/>
            <w:vAlign w:val="bottom"/>
          </w:tcPr>
          <w:p w14:paraId="73D1003F" w14:textId="77777777" w:rsidR="00A23843" w:rsidRPr="00B41651" w:rsidRDefault="00A23843" w:rsidP="00A23843">
            <w:pPr>
              <w:spacing w:line="276" w:lineRule="auto"/>
              <w:jc w:val="center"/>
              <w:rPr>
                <w:rFonts w:asciiTheme="minorHAnsi" w:hAnsiTheme="minorHAnsi" w:cstheme="minorHAnsi"/>
                <w:sz w:val="26"/>
                <w:szCs w:val="26"/>
                <w:lang w:eastAsia="ro-RO"/>
              </w:rPr>
            </w:pPr>
            <w:r w:rsidRPr="00B41651">
              <w:rPr>
                <w:rFonts w:asciiTheme="minorHAnsi" w:hAnsiTheme="minorHAnsi" w:cstheme="minorHAnsi"/>
                <w:sz w:val="26"/>
                <w:szCs w:val="26"/>
                <w:lang w:eastAsia="ro-RO"/>
              </w:rPr>
              <w:t>I.C.C.J.</w:t>
            </w:r>
          </w:p>
        </w:tc>
        <w:tc>
          <w:tcPr>
            <w:tcW w:w="1105" w:type="dxa"/>
            <w:tcBorders>
              <w:top w:val="nil"/>
              <w:left w:val="single" w:sz="4" w:space="0" w:color="auto"/>
              <w:bottom w:val="single" w:sz="4" w:space="0" w:color="auto"/>
              <w:right w:val="single" w:sz="4" w:space="0" w:color="auto"/>
            </w:tcBorders>
            <w:noWrap/>
            <w:vAlign w:val="center"/>
          </w:tcPr>
          <w:p w14:paraId="34036A6C" w14:textId="77777777" w:rsidR="00A23843" w:rsidRPr="00B41651" w:rsidRDefault="00A23843" w:rsidP="00A23843">
            <w:pPr>
              <w:spacing w:line="276" w:lineRule="auto"/>
              <w:jc w:val="center"/>
              <w:rPr>
                <w:rFonts w:asciiTheme="minorHAnsi" w:hAnsiTheme="minorHAnsi" w:cstheme="minorHAnsi"/>
                <w:sz w:val="26"/>
                <w:szCs w:val="26"/>
                <w:lang w:eastAsia="ro-RO"/>
              </w:rPr>
            </w:pPr>
            <w:r w:rsidRPr="00B41651">
              <w:rPr>
                <w:rFonts w:asciiTheme="minorHAnsi" w:hAnsiTheme="minorHAnsi" w:cstheme="minorHAnsi"/>
                <w:sz w:val="26"/>
                <w:szCs w:val="26"/>
                <w:lang w:eastAsia="ro-RO"/>
              </w:rPr>
              <w:t>1</w:t>
            </w:r>
          </w:p>
        </w:tc>
        <w:tc>
          <w:tcPr>
            <w:tcW w:w="1456" w:type="dxa"/>
            <w:tcBorders>
              <w:top w:val="nil"/>
              <w:left w:val="nil"/>
              <w:bottom w:val="single" w:sz="4" w:space="0" w:color="auto"/>
              <w:right w:val="single" w:sz="4" w:space="0" w:color="auto"/>
            </w:tcBorders>
            <w:noWrap/>
            <w:vAlign w:val="center"/>
          </w:tcPr>
          <w:p w14:paraId="02167CB1" w14:textId="77777777" w:rsidR="00A23843" w:rsidRPr="00B41651" w:rsidRDefault="00A23843" w:rsidP="00A23843">
            <w:pPr>
              <w:spacing w:line="276" w:lineRule="auto"/>
              <w:jc w:val="center"/>
              <w:rPr>
                <w:rFonts w:asciiTheme="minorHAnsi" w:eastAsiaTheme="minorHAnsi" w:hAnsiTheme="minorHAnsi" w:cstheme="minorHAnsi"/>
                <w:sz w:val="26"/>
                <w:szCs w:val="26"/>
              </w:rPr>
            </w:pPr>
            <w:r w:rsidRPr="00B41651">
              <w:rPr>
                <w:rFonts w:asciiTheme="minorHAnsi" w:eastAsiaTheme="minorHAnsi" w:hAnsiTheme="minorHAnsi" w:cstheme="minorHAnsi"/>
                <w:sz w:val="26"/>
                <w:szCs w:val="26"/>
              </w:rPr>
              <w:t>1</w:t>
            </w:r>
          </w:p>
        </w:tc>
        <w:tc>
          <w:tcPr>
            <w:tcW w:w="1229" w:type="dxa"/>
            <w:tcBorders>
              <w:top w:val="nil"/>
              <w:left w:val="nil"/>
              <w:bottom w:val="single" w:sz="4" w:space="0" w:color="auto"/>
              <w:right w:val="single" w:sz="4" w:space="0" w:color="auto"/>
            </w:tcBorders>
            <w:noWrap/>
            <w:vAlign w:val="bottom"/>
          </w:tcPr>
          <w:p w14:paraId="33BA4268" w14:textId="77777777" w:rsidR="00A23843" w:rsidRPr="00B41651" w:rsidRDefault="00A23843" w:rsidP="00A23843">
            <w:pPr>
              <w:spacing w:line="276" w:lineRule="auto"/>
              <w:jc w:val="center"/>
              <w:rPr>
                <w:rFonts w:asciiTheme="minorHAnsi" w:eastAsiaTheme="minorHAnsi" w:hAnsiTheme="minorHAnsi" w:cstheme="minorHAnsi"/>
                <w:sz w:val="26"/>
                <w:szCs w:val="26"/>
              </w:rPr>
            </w:pPr>
            <w:r w:rsidRPr="00B41651">
              <w:rPr>
                <w:rFonts w:asciiTheme="minorHAnsi" w:eastAsiaTheme="minorHAnsi" w:hAnsiTheme="minorHAnsi" w:cstheme="minorHAnsi"/>
                <w:sz w:val="26"/>
                <w:szCs w:val="26"/>
              </w:rPr>
              <w:t>100,00%</w:t>
            </w:r>
          </w:p>
        </w:tc>
        <w:tc>
          <w:tcPr>
            <w:tcW w:w="1668" w:type="dxa"/>
            <w:tcBorders>
              <w:top w:val="nil"/>
              <w:left w:val="nil"/>
              <w:bottom w:val="single" w:sz="4" w:space="0" w:color="auto"/>
              <w:right w:val="single" w:sz="4" w:space="0" w:color="auto"/>
            </w:tcBorders>
            <w:noWrap/>
            <w:vAlign w:val="center"/>
          </w:tcPr>
          <w:p w14:paraId="0B925ACA" w14:textId="77777777" w:rsidR="00A23843" w:rsidRPr="00B41651" w:rsidRDefault="00A23843" w:rsidP="00A23843">
            <w:pPr>
              <w:spacing w:line="276" w:lineRule="auto"/>
              <w:jc w:val="right"/>
              <w:rPr>
                <w:rFonts w:asciiTheme="minorHAnsi" w:eastAsiaTheme="minorHAnsi" w:hAnsiTheme="minorHAnsi" w:cstheme="minorHAnsi"/>
                <w:sz w:val="26"/>
                <w:szCs w:val="26"/>
              </w:rPr>
            </w:pPr>
          </w:p>
        </w:tc>
        <w:tc>
          <w:tcPr>
            <w:tcW w:w="1382" w:type="dxa"/>
            <w:tcBorders>
              <w:top w:val="nil"/>
              <w:left w:val="nil"/>
              <w:bottom w:val="single" w:sz="4" w:space="0" w:color="auto"/>
              <w:right w:val="single" w:sz="4" w:space="0" w:color="auto"/>
            </w:tcBorders>
            <w:noWrap/>
            <w:vAlign w:val="bottom"/>
          </w:tcPr>
          <w:p w14:paraId="08B1BB0C" w14:textId="77777777" w:rsidR="00A23843" w:rsidRPr="00B41651" w:rsidRDefault="00A23843" w:rsidP="00A23843">
            <w:pPr>
              <w:spacing w:line="276" w:lineRule="auto"/>
              <w:jc w:val="right"/>
              <w:rPr>
                <w:rFonts w:asciiTheme="minorHAnsi" w:eastAsiaTheme="minorHAnsi" w:hAnsiTheme="minorHAnsi" w:cstheme="minorHAnsi"/>
                <w:sz w:val="26"/>
                <w:szCs w:val="26"/>
              </w:rPr>
            </w:pPr>
          </w:p>
        </w:tc>
      </w:tr>
      <w:tr w:rsidR="00B41651" w:rsidRPr="00B41651" w14:paraId="66D19CFC" w14:textId="77777777" w:rsidTr="00A23843">
        <w:trPr>
          <w:trHeight w:val="232"/>
          <w:jc w:val="center"/>
        </w:trPr>
        <w:tc>
          <w:tcPr>
            <w:tcW w:w="2605" w:type="dxa"/>
            <w:tcBorders>
              <w:top w:val="nil"/>
              <w:left w:val="single" w:sz="4" w:space="0" w:color="auto"/>
              <w:bottom w:val="single" w:sz="4" w:space="0" w:color="auto"/>
              <w:right w:val="single" w:sz="4" w:space="0" w:color="auto"/>
            </w:tcBorders>
            <w:noWrap/>
            <w:vAlign w:val="bottom"/>
          </w:tcPr>
          <w:p w14:paraId="260577FE" w14:textId="77777777" w:rsidR="00A23843" w:rsidRPr="00B41651" w:rsidRDefault="00A23843" w:rsidP="00A23843">
            <w:pPr>
              <w:spacing w:line="276" w:lineRule="auto"/>
              <w:jc w:val="center"/>
              <w:rPr>
                <w:rFonts w:asciiTheme="minorHAnsi" w:hAnsiTheme="minorHAnsi" w:cstheme="minorHAnsi"/>
                <w:sz w:val="26"/>
                <w:szCs w:val="26"/>
                <w:lang w:eastAsia="ro-RO"/>
              </w:rPr>
            </w:pPr>
            <w:r w:rsidRPr="00B41651">
              <w:rPr>
                <w:rFonts w:asciiTheme="minorHAnsi" w:hAnsiTheme="minorHAnsi" w:cstheme="minorHAnsi"/>
                <w:sz w:val="26"/>
                <w:szCs w:val="26"/>
                <w:lang w:eastAsia="ro-RO"/>
              </w:rPr>
              <w:t>C.A.</w:t>
            </w:r>
          </w:p>
        </w:tc>
        <w:tc>
          <w:tcPr>
            <w:tcW w:w="1105" w:type="dxa"/>
            <w:tcBorders>
              <w:top w:val="single" w:sz="4" w:space="0" w:color="auto"/>
              <w:left w:val="single" w:sz="4" w:space="0" w:color="auto"/>
              <w:bottom w:val="single" w:sz="4" w:space="0" w:color="auto"/>
              <w:right w:val="single" w:sz="4" w:space="0" w:color="auto"/>
            </w:tcBorders>
            <w:noWrap/>
            <w:vAlign w:val="bottom"/>
          </w:tcPr>
          <w:p w14:paraId="3AD91DB2" w14:textId="77777777" w:rsidR="00A23843" w:rsidRPr="00B41651" w:rsidRDefault="00A23843" w:rsidP="00A23843">
            <w:pPr>
              <w:spacing w:line="276" w:lineRule="auto"/>
              <w:jc w:val="center"/>
              <w:rPr>
                <w:rFonts w:asciiTheme="minorHAnsi" w:hAnsiTheme="minorHAnsi" w:cstheme="minorHAnsi"/>
                <w:sz w:val="26"/>
                <w:szCs w:val="26"/>
                <w:lang w:eastAsia="ro-RO"/>
              </w:rPr>
            </w:pPr>
            <w:r w:rsidRPr="00B41651">
              <w:rPr>
                <w:rFonts w:asciiTheme="minorHAnsi" w:eastAsiaTheme="minorHAnsi" w:hAnsiTheme="minorHAnsi" w:cstheme="minorHAnsi"/>
                <w:sz w:val="26"/>
                <w:szCs w:val="26"/>
              </w:rPr>
              <w:t>16</w:t>
            </w:r>
          </w:p>
        </w:tc>
        <w:tc>
          <w:tcPr>
            <w:tcW w:w="1456" w:type="dxa"/>
            <w:tcBorders>
              <w:top w:val="single" w:sz="4" w:space="0" w:color="auto"/>
              <w:left w:val="nil"/>
              <w:bottom w:val="single" w:sz="4" w:space="0" w:color="auto"/>
              <w:right w:val="single" w:sz="4" w:space="0" w:color="auto"/>
            </w:tcBorders>
            <w:noWrap/>
            <w:vAlign w:val="bottom"/>
          </w:tcPr>
          <w:p w14:paraId="36550803" w14:textId="77777777" w:rsidR="00A23843" w:rsidRPr="00B41651" w:rsidRDefault="00A23843" w:rsidP="00A23843">
            <w:pPr>
              <w:spacing w:line="276" w:lineRule="auto"/>
              <w:jc w:val="center"/>
              <w:rPr>
                <w:rFonts w:asciiTheme="minorHAnsi" w:eastAsiaTheme="minorHAnsi" w:hAnsiTheme="minorHAnsi" w:cstheme="minorHAnsi"/>
                <w:sz w:val="26"/>
                <w:szCs w:val="26"/>
              </w:rPr>
            </w:pPr>
            <w:r w:rsidRPr="00B41651">
              <w:rPr>
                <w:rFonts w:asciiTheme="minorHAnsi" w:eastAsiaTheme="minorHAnsi" w:hAnsiTheme="minorHAnsi" w:cstheme="minorHAnsi"/>
                <w:sz w:val="26"/>
                <w:szCs w:val="26"/>
              </w:rPr>
              <w:t>15</w:t>
            </w:r>
          </w:p>
        </w:tc>
        <w:tc>
          <w:tcPr>
            <w:tcW w:w="1229" w:type="dxa"/>
            <w:tcBorders>
              <w:top w:val="single" w:sz="4" w:space="0" w:color="auto"/>
              <w:left w:val="nil"/>
              <w:bottom w:val="single" w:sz="4" w:space="0" w:color="auto"/>
              <w:right w:val="single" w:sz="4" w:space="0" w:color="auto"/>
            </w:tcBorders>
            <w:noWrap/>
            <w:vAlign w:val="bottom"/>
          </w:tcPr>
          <w:p w14:paraId="77212677" w14:textId="77777777" w:rsidR="00A23843" w:rsidRPr="00B41651" w:rsidRDefault="00A23843" w:rsidP="00A23843">
            <w:pPr>
              <w:spacing w:line="276" w:lineRule="auto"/>
              <w:jc w:val="center"/>
              <w:rPr>
                <w:rFonts w:asciiTheme="minorHAnsi" w:eastAsiaTheme="minorHAnsi" w:hAnsiTheme="minorHAnsi" w:cstheme="minorHAnsi"/>
                <w:sz w:val="26"/>
                <w:szCs w:val="26"/>
              </w:rPr>
            </w:pPr>
            <w:r w:rsidRPr="00B41651">
              <w:rPr>
                <w:rFonts w:asciiTheme="minorHAnsi" w:eastAsiaTheme="minorHAnsi" w:hAnsiTheme="minorHAnsi" w:cstheme="minorHAnsi"/>
                <w:sz w:val="26"/>
                <w:szCs w:val="26"/>
              </w:rPr>
              <w:t>93,75 %</w:t>
            </w:r>
          </w:p>
        </w:tc>
        <w:tc>
          <w:tcPr>
            <w:tcW w:w="1668" w:type="dxa"/>
            <w:tcBorders>
              <w:top w:val="single" w:sz="4" w:space="0" w:color="auto"/>
              <w:left w:val="nil"/>
              <w:bottom w:val="single" w:sz="4" w:space="0" w:color="auto"/>
              <w:right w:val="single" w:sz="4" w:space="0" w:color="auto"/>
            </w:tcBorders>
            <w:noWrap/>
            <w:vAlign w:val="bottom"/>
          </w:tcPr>
          <w:p w14:paraId="4DCD9918" w14:textId="77777777" w:rsidR="00A23843" w:rsidRPr="00B41651" w:rsidRDefault="00A23843" w:rsidP="00A23843">
            <w:pPr>
              <w:spacing w:line="276" w:lineRule="auto"/>
              <w:jc w:val="center"/>
              <w:rPr>
                <w:rFonts w:asciiTheme="minorHAnsi" w:eastAsiaTheme="minorHAnsi" w:hAnsiTheme="minorHAnsi" w:cstheme="minorHAnsi"/>
                <w:sz w:val="26"/>
                <w:szCs w:val="26"/>
              </w:rPr>
            </w:pPr>
            <w:r w:rsidRPr="00B41651">
              <w:rPr>
                <w:rFonts w:asciiTheme="minorHAnsi" w:eastAsiaTheme="minorHAnsi" w:hAnsiTheme="minorHAnsi" w:cstheme="minorHAnsi"/>
                <w:sz w:val="26"/>
                <w:szCs w:val="26"/>
              </w:rPr>
              <w:t>1</w:t>
            </w:r>
          </w:p>
        </w:tc>
        <w:tc>
          <w:tcPr>
            <w:tcW w:w="1382" w:type="dxa"/>
            <w:tcBorders>
              <w:top w:val="single" w:sz="4" w:space="0" w:color="auto"/>
              <w:left w:val="nil"/>
              <w:bottom w:val="single" w:sz="4" w:space="0" w:color="auto"/>
              <w:right w:val="single" w:sz="4" w:space="0" w:color="auto"/>
            </w:tcBorders>
            <w:noWrap/>
            <w:vAlign w:val="bottom"/>
          </w:tcPr>
          <w:p w14:paraId="6376FCEB" w14:textId="77777777" w:rsidR="00A23843" w:rsidRPr="00B41651" w:rsidRDefault="00A23843" w:rsidP="00A23843">
            <w:pPr>
              <w:spacing w:line="276" w:lineRule="auto"/>
              <w:jc w:val="center"/>
              <w:rPr>
                <w:rFonts w:asciiTheme="minorHAnsi" w:eastAsiaTheme="minorHAnsi" w:hAnsiTheme="minorHAnsi" w:cstheme="minorHAnsi"/>
                <w:sz w:val="26"/>
                <w:szCs w:val="26"/>
              </w:rPr>
            </w:pPr>
            <w:r w:rsidRPr="00B41651">
              <w:rPr>
                <w:rFonts w:asciiTheme="minorHAnsi" w:eastAsiaTheme="minorHAnsi" w:hAnsiTheme="minorHAnsi" w:cstheme="minorHAnsi"/>
                <w:sz w:val="26"/>
                <w:szCs w:val="26"/>
              </w:rPr>
              <w:t>6,25 %</w:t>
            </w:r>
          </w:p>
        </w:tc>
      </w:tr>
      <w:tr w:rsidR="00B41651" w:rsidRPr="00B41651" w14:paraId="5FF09C99" w14:textId="77777777" w:rsidTr="00A23843">
        <w:trPr>
          <w:trHeight w:val="237"/>
          <w:jc w:val="center"/>
        </w:trPr>
        <w:tc>
          <w:tcPr>
            <w:tcW w:w="9445" w:type="dxa"/>
            <w:gridSpan w:val="6"/>
            <w:tcBorders>
              <w:top w:val="nil"/>
              <w:left w:val="single" w:sz="4" w:space="0" w:color="auto"/>
              <w:bottom w:val="single" w:sz="4" w:space="0" w:color="auto"/>
              <w:right w:val="single" w:sz="4" w:space="0" w:color="auto"/>
            </w:tcBorders>
            <w:noWrap/>
            <w:vAlign w:val="bottom"/>
          </w:tcPr>
          <w:p w14:paraId="128052AE" w14:textId="77777777" w:rsidR="00A23843" w:rsidRPr="00B41651" w:rsidRDefault="00A23843" w:rsidP="00A23843">
            <w:pPr>
              <w:spacing w:line="276" w:lineRule="auto"/>
              <w:jc w:val="center"/>
              <w:rPr>
                <w:rFonts w:asciiTheme="minorHAnsi" w:eastAsiaTheme="minorHAnsi" w:hAnsiTheme="minorHAnsi" w:cstheme="minorHAnsi"/>
                <w:b/>
                <w:bCs/>
                <w:sz w:val="26"/>
                <w:szCs w:val="26"/>
              </w:rPr>
            </w:pPr>
            <w:r w:rsidRPr="00B41651">
              <w:rPr>
                <w:rFonts w:asciiTheme="minorHAnsi" w:eastAsiaTheme="minorHAnsi" w:hAnsiTheme="minorHAnsi" w:cstheme="minorHAnsi"/>
                <w:b/>
                <w:bCs/>
                <w:sz w:val="26"/>
                <w:szCs w:val="26"/>
              </w:rPr>
              <w:t>Unități de parchet</w:t>
            </w:r>
          </w:p>
        </w:tc>
      </w:tr>
      <w:tr w:rsidR="00B41651" w:rsidRPr="00B41651" w14:paraId="1C0EC29F" w14:textId="77777777" w:rsidTr="00A23843">
        <w:trPr>
          <w:trHeight w:val="296"/>
          <w:jc w:val="center"/>
        </w:trPr>
        <w:tc>
          <w:tcPr>
            <w:tcW w:w="2605" w:type="dxa"/>
            <w:tcBorders>
              <w:top w:val="nil"/>
              <w:left w:val="single" w:sz="4" w:space="0" w:color="auto"/>
              <w:bottom w:val="single" w:sz="4" w:space="0" w:color="auto"/>
              <w:right w:val="single" w:sz="4" w:space="0" w:color="auto"/>
            </w:tcBorders>
            <w:noWrap/>
            <w:vAlign w:val="bottom"/>
          </w:tcPr>
          <w:p w14:paraId="2CB48D0C" w14:textId="77777777" w:rsidR="00A23843" w:rsidRPr="00B41651" w:rsidRDefault="00A23843" w:rsidP="00A23843">
            <w:pPr>
              <w:spacing w:line="276" w:lineRule="auto"/>
              <w:jc w:val="center"/>
              <w:rPr>
                <w:rFonts w:asciiTheme="minorHAnsi" w:hAnsiTheme="minorHAnsi" w:cstheme="minorHAnsi"/>
                <w:sz w:val="26"/>
                <w:szCs w:val="26"/>
                <w:lang w:eastAsia="ro-RO"/>
              </w:rPr>
            </w:pPr>
            <w:r w:rsidRPr="00B41651">
              <w:rPr>
                <w:rFonts w:asciiTheme="minorHAnsi" w:hAnsiTheme="minorHAnsi" w:cstheme="minorHAnsi"/>
                <w:sz w:val="26"/>
                <w:szCs w:val="26"/>
                <w:lang w:eastAsia="ro-RO"/>
              </w:rPr>
              <w:t>P.I.C.C.J.</w:t>
            </w:r>
          </w:p>
        </w:tc>
        <w:tc>
          <w:tcPr>
            <w:tcW w:w="1105" w:type="dxa"/>
            <w:tcBorders>
              <w:top w:val="nil"/>
              <w:left w:val="single" w:sz="4" w:space="0" w:color="auto"/>
              <w:bottom w:val="single" w:sz="4" w:space="0" w:color="auto"/>
              <w:right w:val="single" w:sz="4" w:space="0" w:color="auto"/>
            </w:tcBorders>
            <w:noWrap/>
            <w:vAlign w:val="center"/>
          </w:tcPr>
          <w:p w14:paraId="2593DBAE" w14:textId="77777777" w:rsidR="00A23843" w:rsidRPr="00B41651" w:rsidRDefault="00A23843" w:rsidP="00A23843">
            <w:pPr>
              <w:spacing w:line="276" w:lineRule="auto"/>
              <w:jc w:val="center"/>
              <w:rPr>
                <w:rFonts w:asciiTheme="minorHAnsi" w:hAnsiTheme="minorHAnsi" w:cstheme="minorHAnsi"/>
                <w:sz w:val="26"/>
                <w:szCs w:val="26"/>
                <w:lang w:eastAsia="ro-RO"/>
              </w:rPr>
            </w:pPr>
            <w:r w:rsidRPr="00B41651">
              <w:rPr>
                <w:rFonts w:asciiTheme="minorHAnsi" w:hAnsiTheme="minorHAnsi" w:cstheme="minorHAnsi"/>
                <w:sz w:val="26"/>
                <w:szCs w:val="26"/>
                <w:lang w:eastAsia="ro-RO"/>
              </w:rPr>
              <w:t>1</w:t>
            </w:r>
          </w:p>
        </w:tc>
        <w:tc>
          <w:tcPr>
            <w:tcW w:w="1456" w:type="dxa"/>
            <w:tcBorders>
              <w:top w:val="nil"/>
              <w:left w:val="nil"/>
              <w:bottom w:val="single" w:sz="4" w:space="0" w:color="auto"/>
              <w:right w:val="single" w:sz="4" w:space="0" w:color="auto"/>
            </w:tcBorders>
            <w:noWrap/>
            <w:vAlign w:val="center"/>
          </w:tcPr>
          <w:p w14:paraId="345F5F47" w14:textId="77777777" w:rsidR="00A23843" w:rsidRPr="00B41651" w:rsidRDefault="00A23843" w:rsidP="00A23843">
            <w:pPr>
              <w:spacing w:line="276" w:lineRule="auto"/>
              <w:jc w:val="center"/>
              <w:rPr>
                <w:rFonts w:asciiTheme="minorHAnsi" w:eastAsiaTheme="minorHAnsi" w:hAnsiTheme="minorHAnsi" w:cstheme="minorHAnsi"/>
                <w:sz w:val="26"/>
                <w:szCs w:val="26"/>
              </w:rPr>
            </w:pPr>
          </w:p>
        </w:tc>
        <w:tc>
          <w:tcPr>
            <w:tcW w:w="1229" w:type="dxa"/>
            <w:tcBorders>
              <w:top w:val="nil"/>
              <w:left w:val="nil"/>
              <w:bottom w:val="single" w:sz="4" w:space="0" w:color="auto"/>
              <w:right w:val="single" w:sz="4" w:space="0" w:color="auto"/>
            </w:tcBorders>
            <w:noWrap/>
            <w:vAlign w:val="bottom"/>
          </w:tcPr>
          <w:p w14:paraId="49D7020E" w14:textId="77777777" w:rsidR="00A23843" w:rsidRPr="00B41651" w:rsidRDefault="00A23843" w:rsidP="00A23843">
            <w:pPr>
              <w:spacing w:line="276" w:lineRule="auto"/>
              <w:jc w:val="center"/>
              <w:rPr>
                <w:rFonts w:asciiTheme="minorHAnsi" w:eastAsiaTheme="minorHAnsi" w:hAnsiTheme="minorHAnsi" w:cstheme="minorHAnsi"/>
                <w:sz w:val="26"/>
                <w:szCs w:val="26"/>
              </w:rPr>
            </w:pPr>
          </w:p>
        </w:tc>
        <w:tc>
          <w:tcPr>
            <w:tcW w:w="1668" w:type="dxa"/>
            <w:tcBorders>
              <w:top w:val="nil"/>
              <w:left w:val="nil"/>
              <w:bottom w:val="single" w:sz="4" w:space="0" w:color="auto"/>
              <w:right w:val="single" w:sz="4" w:space="0" w:color="auto"/>
            </w:tcBorders>
            <w:noWrap/>
            <w:vAlign w:val="center"/>
          </w:tcPr>
          <w:p w14:paraId="5876B611" w14:textId="77777777" w:rsidR="00A23843" w:rsidRPr="00B41651" w:rsidRDefault="00A23843" w:rsidP="00A23843">
            <w:pPr>
              <w:spacing w:line="276" w:lineRule="auto"/>
              <w:jc w:val="center"/>
              <w:rPr>
                <w:rFonts w:asciiTheme="minorHAnsi" w:eastAsiaTheme="minorHAnsi" w:hAnsiTheme="minorHAnsi" w:cstheme="minorHAnsi"/>
                <w:sz w:val="26"/>
                <w:szCs w:val="26"/>
              </w:rPr>
            </w:pPr>
            <w:r w:rsidRPr="00B41651">
              <w:rPr>
                <w:rFonts w:asciiTheme="minorHAnsi" w:eastAsiaTheme="minorHAnsi" w:hAnsiTheme="minorHAnsi" w:cstheme="minorHAnsi"/>
                <w:sz w:val="26"/>
                <w:szCs w:val="26"/>
              </w:rPr>
              <w:t>1</w:t>
            </w:r>
          </w:p>
        </w:tc>
        <w:tc>
          <w:tcPr>
            <w:tcW w:w="1382" w:type="dxa"/>
            <w:tcBorders>
              <w:top w:val="nil"/>
              <w:left w:val="nil"/>
              <w:bottom w:val="single" w:sz="4" w:space="0" w:color="auto"/>
              <w:right w:val="single" w:sz="4" w:space="0" w:color="auto"/>
            </w:tcBorders>
            <w:noWrap/>
            <w:vAlign w:val="bottom"/>
          </w:tcPr>
          <w:p w14:paraId="5D3381FE" w14:textId="77777777" w:rsidR="00A23843" w:rsidRPr="00B41651" w:rsidRDefault="00A23843" w:rsidP="00A23843">
            <w:pPr>
              <w:spacing w:line="276" w:lineRule="auto"/>
              <w:jc w:val="center"/>
              <w:rPr>
                <w:rFonts w:asciiTheme="minorHAnsi" w:eastAsiaTheme="minorHAnsi" w:hAnsiTheme="minorHAnsi" w:cstheme="minorHAnsi"/>
                <w:sz w:val="26"/>
                <w:szCs w:val="26"/>
              </w:rPr>
            </w:pPr>
            <w:r w:rsidRPr="00B41651">
              <w:rPr>
                <w:rFonts w:asciiTheme="minorHAnsi" w:eastAsiaTheme="minorHAnsi" w:hAnsiTheme="minorHAnsi" w:cstheme="minorHAnsi"/>
                <w:sz w:val="26"/>
                <w:szCs w:val="26"/>
              </w:rPr>
              <w:t>100,00%</w:t>
            </w:r>
          </w:p>
        </w:tc>
      </w:tr>
      <w:tr w:rsidR="00B41651" w:rsidRPr="00B41651" w14:paraId="590CC5C4" w14:textId="77777777" w:rsidTr="00A23843">
        <w:trPr>
          <w:trHeight w:val="296"/>
          <w:jc w:val="center"/>
        </w:trPr>
        <w:tc>
          <w:tcPr>
            <w:tcW w:w="2605" w:type="dxa"/>
            <w:tcBorders>
              <w:top w:val="nil"/>
              <w:left w:val="single" w:sz="4" w:space="0" w:color="auto"/>
              <w:bottom w:val="single" w:sz="4" w:space="0" w:color="auto"/>
              <w:right w:val="single" w:sz="4" w:space="0" w:color="auto"/>
            </w:tcBorders>
            <w:noWrap/>
            <w:vAlign w:val="bottom"/>
          </w:tcPr>
          <w:p w14:paraId="7D4CFCF7" w14:textId="77777777" w:rsidR="00A23843" w:rsidRPr="00B41651" w:rsidRDefault="00A23843" w:rsidP="00A23843">
            <w:pPr>
              <w:spacing w:line="276" w:lineRule="auto"/>
              <w:jc w:val="center"/>
              <w:rPr>
                <w:rFonts w:asciiTheme="minorHAnsi" w:hAnsiTheme="minorHAnsi" w:cstheme="minorHAnsi"/>
                <w:sz w:val="26"/>
                <w:szCs w:val="26"/>
                <w:lang w:eastAsia="ro-RO"/>
              </w:rPr>
            </w:pPr>
            <w:r w:rsidRPr="00B41651">
              <w:rPr>
                <w:rFonts w:asciiTheme="minorHAnsi" w:hAnsiTheme="minorHAnsi" w:cstheme="minorHAnsi"/>
                <w:sz w:val="26"/>
                <w:szCs w:val="26"/>
                <w:lang w:eastAsia="ro-RO"/>
              </w:rPr>
              <w:t>D.N.A.</w:t>
            </w:r>
          </w:p>
        </w:tc>
        <w:tc>
          <w:tcPr>
            <w:tcW w:w="1105" w:type="dxa"/>
            <w:tcBorders>
              <w:top w:val="nil"/>
              <w:left w:val="single" w:sz="4" w:space="0" w:color="auto"/>
              <w:bottom w:val="single" w:sz="4" w:space="0" w:color="auto"/>
              <w:right w:val="single" w:sz="4" w:space="0" w:color="auto"/>
            </w:tcBorders>
            <w:noWrap/>
            <w:vAlign w:val="center"/>
          </w:tcPr>
          <w:p w14:paraId="0D917A35" w14:textId="77777777" w:rsidR="00A23843" w:rsidRPr="00B41651" w:rsidRDefault="00A23843" w:rsidP="00A23843">
            <w:pPr>
              <w:spacing w:line="276" w:lineRule="auto"/>
              <w:jc w:val="center"/>
              <w:rPr>
                <w:rFonts w:asciiTheme="minorHAnsi" w:hAnsiTheme="minorHAnsi" w:cstheme="minorHAnsi"/>
                <w:sz w:val="26"/>
                <w:szCs w:val="26"/>
                <w:lang w:eastAsia="ro-RO"/>
              </w:rPr>
            </w:pPr>
            <w:r w:rsidRPr="00B41651">
              <w:rPr>
                <w:rFonts w:asciiTheme="minorHAnsi" w:hAnsiTheme="minorHAnsi" w:cstheme="minorHAnsi"/>
                <w:sz w:val="26"/>
                <w:szCs w:val="26"/>
                <w:lang w:eastAsia="ro-RO"/>
              </w:rPr>
              <w:t>1</w:t>
            </w:r>
          </w:p>
        </w:tc>
        <w:tc>
          <w:tcPr>
            <w:tcW w:w="1456" w:type="dxa"/>
            <w:tcBorders>
              <w:top w:val="nil"/>
              <w:left w:val="nil"/>
              <w:bottom w:val="single" w:sz="4" w:space="0" w:color="auto"/>
              <w:right w:val="single" w:sz="4" w:space="0" w:color="auto"/>
            </w:tcBorders>
            <w:noWrap/>
            <w:vAlign w:val="center"/>
          </w:tcPr>
          <w:p w14:paraId="2109FB14" w14:textId="77777777" w:rsidR="00A23843" w:rsidRPr="00B41651" w:rsidRDefault="00A23843" w:rsidP="00A23843">
            <w:pPr>
              <w:spacing w:line="276" w:lineRule="auto"/>
              <w:jc w:val="center"/>
              <w:rPr>
                <w:rFonts w:asciiTheme="minorHAnsi" w:eastAsiaTheme="minorHAnsi" w:hAnsiTheme="minorHAnsi" w:cstheme="minorHAnsi"/>
                <w:sz w:val="26"/>
                <w:szCs w:val="26"/>
              </w:rPr>
            </w:pPr>
            <w:r w:rsidRPr="00B41651">
              <w:rPr>
                <w:rFonts w:asciiTheme="minorHAnsi" w:eastAsiaTheme="minorHAnsi" w:hAnsiTheme="minorHAnsi" w:cstheme="minorHAnsi"/>
                <w:sz w:val="26"/>
                <w:szCs w:val="26"/>
              </w:rPr>
              <w:t>1</w:t>
            </w:r>
          </w:p>
        </w:tc>
        <w:tc>
          <w:tcPr>
            <w:tcW w:w="1229" w:type="dxa"/>
            <w:tcBorders>
              <w:top w:val="nil"/>
              <w:left w:val="nil"/>
              <w:bottom w:val="single" w:sz="4" w:space="0" w:color="auto"/>
              <w:right w:val="single" w:sz="4" w:space="0" w:color="auto"/>
            </w:tcBorders>
            <w:noWrap/>
          </w:tcPr>
          <w:p w14:paraId="16F1EE1B" w14:textId="77777777" w:rsidR="00A23843" w:rsidRPr="00B41651" w:rsidRDefault="00A23843" w:rsidP="00A23843">
            <w:pPr>
              <w:spacing w:line="276" w:lineRule="auto"/>
              <w:jc w:val="center"/>
              <w:rPr>
                <w:rFonts w:asciiTheme="minorHAnsi" w:eastAsiaTheme="minorHAnsi" w:hAnsiTheme="minorHAnsi" w:cstheme="minorHAnsi"/>
                <w:sz w:val="26"/>
                <w:szCs w:val="26"/>
              </w:rPr>
            </w:pPr>
            <w:r w:rsidRPr="00B41651">
              <w:rPr>
                <w:rFonts w:asciiTheme="minorHAnsi" w:eastAsiaTheme="minorHAnsi" w:hAnsiTheme="minorHAnsi" w:cstheme="minorHAnsi"/>
                <w:sz w:val="26"/>
                <w:szCs w:val="26"/>
              </w:rPr>
              <w:t>100,00%</w:t>
            </w:r>
          </w:p>
        </w:tc>
        <w:tc>
          <w:tcPr>
            <w:tcW w:w="1668" w:type="dxa"/>
            <w:tcBorders>
              <w:top w:val="nil"/>
              <w:left w:val="nil"/>
              <w:bottom w:val="single" w:sz="4" w:space="0" w:color="auto"/>
              <w:right w:val="single" w:sz="4" w:space="0" w:color="auto"/>
            </w:tcBorders>
            <w:noWrap/>
            <w:vAlign w:val="center"/>
          </w:tcPr>
          <w:p w14:paraId="5A48525B" w14:textId="77777777" w:rsidR="00A23843" w:rsidRPr="00B41651" w:rsidRDefault="00A23843" w:rsidP="00A23843">
            <w:pPr>
              <w:spacing w:line="276" w:lineRule="auto"/>
              <w:jc w:val="center"/>
              <w:rPr>
                <w:rFonts w:asciiTheme="minorHAnsi" w:eastAsiaTheme="minorHAnsi" w:hAnsiTheme="minorHAnsi" w:cstheme="minorHAnsi"/>
                <w:sz w:val="26"/>
                <w:szCs w:val="26"/>
              </w:rPr>
            </w:pPr>
          </w:p>
        </w:tc>
        <w:tc>
          <w:tcPr>
            <w:tcW w:w="1382" w:type="dxa"/>
            <w:tcBorders>
              <w:top w:val="nil"/>
              <w:left w:val="nil"/>
              <w:bottom w:val="single" w:sz="4" w:space="0" w:color="auto"/>
              <w:right w:val="single" w:sz="4" w:space="0" w:color="auto"/>
            </w:tcBorders>
            <w:noWrap/>
            <w:vAlign w:val="bottom"/>
          </w:tcPr>
          <w:p w14:paraId="238C5104" w14:textId="77777777" w:rsidR="00A23843" w:rsidRPr="00B41651" w:rsidRDefault="00A23843" w:rsidP="00A23843">
            <w:pPr>
              <w:spacing w:line="276" w:lineRule="auto"/>
              <w:jc w:val="center"/>
              <w:rPr>
                <w:rFonts w:asciiTheme="minorHAnsi" w:eastAsiaTheme="minorHAnsi" w:hAnsiTheme="minorHAnsi" w:cstheme="minorHAnsi"/>
                <w:sz w:val="26"/>
                <w:szCs w:val="26"/>
              </w:rPr>
            </w:pPr>
          </w:p>
        </w:tc>
      </w:tr>
      <w:tr w:rsidR="00B41651" w:rsidRPr="00B41651" w14:paraId="6C4F03AB" w14:textId="77777777" w:rsidTr="00A23843">
        <w:trPr>
          <w:trHeight w:val="296"/>
          <w:jc w:val="center"/>
        </w:trPr>
        <w:tc>
          <w:tcPr>
            <w:tcW w:w="2605" w:type="dxa"/>
            <w:tcBorders>
              <w:top w:val="nil"/>
              <w:left w:val="single" w:sz="4" w:space="0" w:color="auto"/>
              <w:bottom w:val="single" w:sz="4" w:space="0" w:color="auto"/>
              <w:right w:val="single" w:sz="4" w:space="0" w:color="auto"/>
            </w:tcBorders>
            <w:noWrap/>
            <w:vAlign w:val="bottom"/>
          </w:tcPr>
          <w:p w14:paraId="5A0BDCB3" w14:textId="77777777" w:rsidR="00A23843" w:rsidRPr="00B41651" w:rsidRDefault="00A23843" w:rsidP="00A23843">
            <w:pPr>
              <w:spacing w:line="276" w:lineRule="auto"/>
              <w:jc w:val="center"/>
              <w:rPr>
                <w:rFonts w:asciiTheme="minorHAnsi" w:hAnsiTheme="minorHAnsi" w:cstheme="minorHAnsi"/>
                <w:sz w:val="26"/>
                <w:szCs w:val="26"/>
                <w:lang w:eastAsia="ro-RO"/>
              </w:rPr>
            </w:pPr>
            <w:r w:rsidRPr="00B41651">
              <w:rPr>
                <w:rFonts w:asciiTheme="minorHAnsi" w:hAnsiTheme="minorHAnsi" w:cstheme="minorHAnsi"/>
                <w:sz w:val="26"/>
                <w:szCs w:val="26"/>
                <w:lang w:eastAsia="ro-RO"/>
              </w:rPr>
              <w:t>D.I.I.C.O.T.</w:t>
            </w:r>
          </w:p>
        </w:tc>
        <w:tc>
          <w:tcPr>
            <w:tcW w:w="1105" w:type="dxa"/>
            <w:tcBorders>
              <w:top w:val="nil"/>
              <w:left w:val="single" w:sz="4" w:space="0" w:color="auto"/>
              <w:bottom w:val="single" w:sz="4" w:space="0" w:color="auto"/>
              <w:right w:val="single" w:sz="4" w:space="0" w:color="auto"/>
            </w:tcBorders>
            <w:noWrap/>
            <w:vAlign w:val="center"/>
          </w:tcPr>
          <w:p w14:paraId="141E9978" w14:textId="77777777" w:rsidR="00A23843" w:rsidRPr="00B41651" w:rsidRDefault="00A23843" w:rsidP="00A23843">
            <w:pPr>
              <w:spacing w:line="276" w:lineRule="auto"/>
              <w:jc w:val="center"/>
              <w:rPr>
                <w:rFonts w:asciiTheme="minorHAnsi" w:hAnsiTheme="minorHAnsi" w:cstheme="minorHAnsi"/>
                <w:sz w:val="26"/>
                <w:szCs w:val="26"/>
                <w:lang w:eastAsia="ro-RO"/>
              </w:rPr>
            </w:pPr>
            <w:r w:rsidRPr="00B41651">
              <w:rPr>
                <w:rFonts w:asciiTheme="minorHAnsi" w:hAnsiTheme="minorHAnsi" w:cstheme="minorHAnsi"/>
                <w:sz w:val="26"/>
                <w:szCs w:val="26"/>
                <w:lang w:eastAsia="ro-RO"/>
              </w:rPr>
              <w:t>1</w:t>
            </w:r>
          </w:p>
        </w:tc>
        <w:tc>
          <w:tcPr>
            <w:tcW w:w="1456" w:type="dxa"/>
            <w:tcBorders>
              <w:top w:val="nil"/>
              <w:left w:val="nil"/>
              <w:bottom w:val="single" w:sz="4" w:space="0" w:color="auto"/>
              <w:right w:val="single" w:sz="4" w:space="0" w:color="auto"/>
            </w:tcBorders>
            <w:noWrap/>
            <w:vAlign w:val="center"/>
          </w:tcPr>
          <w:p w14:paraId="74F24D48" w14:textId="77777777" w:rsidR="00A23843" w:rsidRPr="00B41651" w:rsidRDefault="00A23843" w:rsidP="00A23843">
            <w:pPr>
              <w:spacing w:line="276" w:lineRule="auto"/>
              <w:jc w:val="center"/>
              <w:rPr>
                <w:rFonts w:asciiTheme="minorHAnsi" w:eastAsiaTheme="minorHAnsi" w:hAnsiTheme="minorHAnsi" w:cstheme="minorHAnsi"/>
                <w:sz w:val="26"/>
                <w:szCs w:val="26"/>
              </w:rPr>
            </w:pPr>
            <w:r w:rsidRPr="00B41651">
              <w:rPr>
                <w:rFonts w:asciiTheme="minorHAnsi" w:eastAsiaTheme="minorHAnsi" w:hAnsiTheme="minorHAnsi" w:cstheme="minorHAnsi"/>
                <w:sz w:val="26"/>
                <w:szCs w:val="26"/>
              </w:rPr>
              <w:t>1</w:t>
            </w:r>
          </w:p>
        </w:tc>
        <w:tc>
          <w:tcPr>
            <w:tcW w:w="1229" w:type="dxa"/>
            <w:tcBorders>
              <w:top w:val="nil"/>
              <w:left w:val="nil"/>
              <w:bottom w:val="single" w:sz="4" w:space="0" w:color="auto"/>
              <w:right w:val="single" w:sz="4" w:space="0" w:color="auto"/>
            </w:tcBorders>
            <w:noWrap/>
          </w:tcPr>
          <w:p w14:paraId="0E8BC84F" w14:textId="77777777" w:rsidR="00A23843" w:rsidRPr="00B41651" w:rsidRDefault="00A23843" w:rsidP="00A23843">
            <w:pPr>
              <w:spacing w:line="276" w:lineRule="auto"/>
              <w:jc w:val="center"/>
              <w:rPr>
                <w:rFonts w:asciiTheme="minorHAnsi" w:eastAsiaTheme="minorHAnsi" w:hAnsiTheme="minorHAnsi" w:cstheme="minorHAnsi"/>
                <w:sz w:val="26"/>
                <w:szCs w:val="26"/>
              </w:rPr>
            </w:pPr>
            <w:r w:rsidRPr="00B41651">
              <w:rPr>
                <w:rFonts w:asciiTheme="minorHAnsi" w:eastAsiaTheme="minorHAnsi" w:hAnsiTheme="minorHAnsi" w:cstheme="minorHAnsi"/>
                <w:sz w:val="26"/>
                <w:szCs w:val="26"/>
              </w:rPr>
              <w:t>100,00%</w:t>
            </w:r>
          </w:p>
        </w:tc>
        <w:tc>
          <w:tcPr>
            <w:tcW w:w="1668" w:type="dxa"/>
            <w:tcBorders>
              <w:top w:val="nil"/>
              <w:left w:val="nil"/>
              <w:bottom w:val="single" w:sz="4" w:space="0" w:color="auto"/>
              <w:right w:val="single" w:sz="4" w:space="0" w:color="auto"/>
            </w:tcBorders>
            <w:noWrap/>
            <w:vAlign w:val="center"/>
          </w:tcPr>
          <w:p w14:paraId="239029A3" w14:textId="77777777" w:rsidR="00A23843" w:rsidRPr="00B41651" w:rsidRDefault="00A23843" w:rsidP="00A23843">
            <w:pPr>
              <w:spacing w:line="276" w:lineRule="auto"/>
              <w:jc w:val="center"/>
              <w:rPr>
                <w:rFonts w:asciiTheme="minorHAnsi" w:eastAsiaTheme="minorHAnsi" w:hAnsiTheme="minorHAnsi" w:cstheme="minorHAnsi"/>
                <w:sz w:val="26"/>
                <w:szCs w:val="26"/>
              </w:rPr>
            </w:pPr>
          </w:p>
        </w:tc>
        <w:tc>
          <w:tcPr>
            <w:tcW w:w="1382" w:type="dxa"/>
            <w:tcBorders>
              <w:top w:val="nil"/>
              <w:left w:val="nil"/>
              <w:bottom w:val="single" w:sz="4" w:space="0" w:color="auto"/>
              <w:right w:val="single" w:sz="4" w:space="0" w:color="auto"/>
            </w:tcBorders>
            <w:noWrap/>
            <w:vAlign w:val="bottom"/>
          </w:tcPr>
          <w:p w14:paraId="6C9A08C3" w14:textId="77777777" w:rsidR="00A23843" w:rsidRPr="00B41651" w:rsidRDefault="00A23843" w:rsidP="00A23843">
            <w:pPr>
              <w:spacing w:line="276" w:lineRule="auto"/>
              <w:jc w:val="center"/>
              <w:rPr>
                <w:rFonts w:asciiTheme="minorHAnsi" w:eastAsiaTheme="minorHAnsi" w:hAnsiTheme="minorHAnsi" w:cstheme="minorHAnsi"/>
                <w:sz w:val="26"/>
                <w:szCs w:val="26"/>
              </w:rPr>
            </w:pPr>
          </w:p>
        </w:tc>
      </w:tr>
      <w:tr w:rsidR="00B41651" w:rsidRPr="00B41651" w14:paraId="439A8183" w14:textId="77777777" w:rsidTr="00A23843">
        <w:trPr>
          <w:trHeight w:val="332"/>
          <w:jc w:val="center"/>
        </w:trPr>
        <w:tc>
          <w:tcPr>
            <w:tcW w:w="2605" w:type="dxa"/>
            <w:tcBorders>
              <w:top w:val="single" w:sz="4" w:space="0" w:color="auto"/>
              <w:left w:val="single" w:sz="4" w:space="0" w:color="auto"/>
              <w:bottom w:val="single" w:sz="4" w:space="0" w:color="auto"/>
              <w:right w:val="single" w:sz="4" w:space="0" w:color="auto"/>
            </w:tcBorders>
            <w:noWrap/>
            <w:vAlign w:val="bottom"/>
          </w:tcPr>
          <w:p w14:paraId="2E4CA771" w14:textId="77777777" w:rsidR="00A23843" w:rsidRPr="00B41651" w:rsidRDefault="00A23843" w:rsidP="00A23843">
            <w:pPr>
              <w:spacing w:line="276" w:lineRule="auto"/>
              <w:jc w:val="center"/>
              <w:rPr>
                <w:rFonts w:asciiTheme="minorHAnsi" w:hAnsiTheme="minorHAnsi" w:cstheme="minorHAnsi"/>
                <w:sz w:val="26"/>
                <w:szCs w:val="26"/>
                <w:lang w:eastAsia="ro-RO"/>
              </w:rPr>
            </w:pPr>
            <w:r w:rsidRPr="00B41651">
              <w:rPr>
                <w:rFonts w:asciiTheme="minorHAnsi" w:hAnsiTheme="minorHAnsi" w:cstheme="minorHAnsi"/>
                <w:sz w:val="26"/>
                <w:szCs w:val="26"/>
                <w:lang w:eastAsia="ro-RO"/>
              </w:rPr>
              <w:t>P.C.A.</w:t>
            </w:r>
          </w:p>
        </w:tc>
        <w:tc>
          <w:tcPr>
            <w:tcW w:w="1105" w:type="dxa"/>
            <w:tcBorders>
              <w:top w:val="single" w:sz="4" w:space="0" w:color="auto"/>
              <w:left w:val="single" w:sz="4" w:space="0" w:color="auto"/>
              <w:bottom w:val="single" w:sz="4" w:space="0" w:color="auto"/>
              <w:right w:val="single" w:sz="4" w:space="0" w:color="auto"/>
            </w:tcBorders>
            <w:noWrap/>
            <w:vAlign w:val="center"/>
          </w:tcPr>
          <w:p w14:paraId="4DC05851" w14:textId="77777777" w:rsidR="00A23843" w:rsidRPr="00B41651" w:rsidRDefault="00A23843" w:rsidP="00A23843">
            <w:pPr>
              <w:spacing w:line="276" w:lineRule="auto"/>
              <w:jc w:val="center"/>
              <w:rPr>
                <w:rFonts w:asciiTheme="minorHAnsi" w:hAnsiTheme="minorHAnsi" w:cstheme="minorHAnsi"/>
                <w:sz w:val="26"/>
                <w:szCs w:val="26"/>
                <w:lang w:eastAsia="ro-RO"/>
              </w:rPr>
            </w:pPr>
            <w:r w:rsidRPr="00B41651">
              <w:rPr>
                <w:rFonts w:asciiTheme="minorHAnsi" w:hAnsiTheme="minorHAnsi" w:cstheme="minorHAnsi"/>
                <w:sz w:val="26"/>
                <w:szCs w:val="26"/>
                <w:lang w:eastAsia="ro-RO"/>
              </w:rPr>
              <w:t>15</w:t>
            </w:r>
          </w:p>
        </w:tc>
        <w:tc>
          <w:tcPr>
            <w:tcW w:w="1456" w:type="dxa"/>
            <w:tcBorders>
              <w:top w:val="single" w:sz="4" w:space="0" w:color="auto"/>
              <w:left w:val="nil"/>
              <w:bottom w:val="single" w:sz="4" w:space="0" w:color="auto"/>
              <w:right w:val="single" w:sz="4" w:space="0" w:color="auto"/>
            </w:tcBorders>
            <w:noWrap/>
          </w:tcPr>
          <w:p w14:paraId="6708F317" w14:textId="77777777" w:rsidR="00A23843" w:rsidRPr="00B41651" w:rsidRDefault="00A23843" w:rsidP="00A23843">
            <w:pPr>
              <w:spacing w:line="276" w:lineRule="auto"/>
              <w:jc w:val="center"/>
              <w:rPr>
                <w:rFonts w:asciiTheme="minorHAnsi" w:eastAsiaTheme="minorHAnsi" w:hAnsiTheme="minorHAnsi" w:cstheme="minorHAnsi"/>
                <w:sz w:val="26"/>
                <w:szCs w:val="26"/>
              </w:rPr>
            </w:pPr>
            <w:r w:rsidRPr="00B41651">
              <w:rPr>
                <w:rFonts w:asciiTheme="minorHAnsi" w:eastAsiaTheme="minorHAnsi" w:hAnsiTheme="minorHAnsi" w:cstheme="minorHAnsi"/>
                <w:sz w:val="26"/>
                <w:szCs w:val="26"/>
              </w:rPr>
              <w:t>9</w:t>
            </w:r>
          </w:p>
        </w:tc>
        <w:tc>
          <w:tcPr>
            <w:tcW w:w="1229" w:type="dxa"/>
            <w:tcBorders>
              <w:top w:val="single" w:sz="4" w:space="0" w:color="auto"/>
              <w:left w:val="nil"/>
              <w:bottom w:val="single" w:sz="4" w:space="0" w:color="auto"/>
              <w:right w:val="single" w:sz="4" w:space="0" w:color="auto"/>
            </w:tcBorders>
            <w:noWrap/>
          </w:tcPr>
          <w:p w14:paraId="5D62A720" w14:textId="77777777" w:rsidR="00A23843" w:rsidRPr="00B41651" w:rsidRDefault="00A23843" w:rsidP="00A23843">
            <w:pPr>
              <w:spacing w:line="276" w:lineRule="auto"/>
              <w:jc w:val="center"/>
              <w:rPr>
                <w:rFonts w:asciiTheme="minorHAnsi" w:eastAsiaTheme="minorHAnsi" w:hAnsiTheme="minorHAnsi" w:cstheme="minorHAnsi"/>
                <w:sz w:val="26"/>
                <w:szCs w:val="26"/>
              </w:rPr>
            </w:pPr>
            <w:r w:rsidRPr="00B41651">
              <w:rPr>
                <w:rFonts w:asciiTheme="minorHAnsi" w:eastAsiaTheme="minorHAnsi" w:hAnsiTheme="minorHAnsi" w:cstheme="minorHAnsi"/>
                <w:sz w:val="26"/>
                <w:szCs w:val="26"/>
              </w:rPr>
              <w:t>60%</w:t>
            </w:r>
          </w:p>
        </w:tc>
        <w:tc>
          <w:tcPr>
            <w:tcW w:w="1668" w:type="dxa"/>
            <w:tcBorders>
              <w:top w:val="single" w:sz="4" w:space="0" w:color="auto"/>
              <w:left w:val="nil"/>
              <w:bottom w:val="single" w:sz="4" w:space="0" w:color="auto"/>
              <w:right w:val="single" w:sz="4" w:space="0" w:color="auto"/>
            </w:tcBorders>
            <w:noWrap/>
          </w:tcPr>
          <w:p w14:paraId="2CB25470" w14:textId="77777777" w:rsidR="00A23843" w:rsidRPr="00B41651" w:rsidRDefault="00A23843" w:rsidP="00A23843">
            <w:pPr>
              <w:spacing w:line="276" w:lineRule="auto"/>
              <w:jc w:val="center"/>
              <w:rPr>
                <w:rFonts w:asciiTheme="minorHAnsi" w:eastAsiaTheme="minorHAnsi" w:hAnsiTheme="minorHAnsi" w:cstheme="minorHAnsi"/>
                <w:sz w:val="26"/>
                <w:szCs w:val="26"/>
              </w:rPr>
            </w:pPr>
            <w:r w:rsidRPr="00B41651">
              <w:rPr>
                <w:rFonts w:asciiTheme="minorHAnsi" w:eastAsiaTheme="minorHAnsi" w:hAnsiTheme="minorHAnsi" w:cstheme="minorHAnsi"/>
                <w:sz w:val="26"/>
                <w:szCs w:val="26"/>
              </w:rPr>
              <w:t>6</w:t>
            </w:r>
          </w:p>
        </w:tc>
        <w:tc>
          <w:tcPr>
            <w:tcW w:w="1382" w:type="dxa"/>
            <w:tcBorders>
              <w:top w:val="single" w:sz="4" w:space="0" w:color="auto"/>
              <w:left w:val="nil"/>
              <w:bottom w:val="single" w:sz="4" w:space="0" w:color="auto"/>
              <w:right w:val="single" w:sz="4" w:space="0" w:color="auto"/>
            </w:tcBorders>
            <w:noWrap/>
          </w:tcPr>
          <w:p w14:paraId="505E100C" w14:textId="77777777" w:rsidR="00A23843" w:rsidRPr="00B41651" w:rsidRDefault="00A23843" w:rsidP="00A23843">
            <w:pPr>
              <w:spacing w:line="276" w:lineRule="auto"/>
              <w:jc w:val="center"/>
              <w:rPr>
                <w:rFonts w:asciiTheme="minorHAnsi" w:eastAsiaTheme="minorHAnsi" w:hAnsiTheme="minorHAnsi" w:cstheme="minorHAnsi"/>
                <w:sz w:val="26"/>
                <w:szCs w:val="26"/>
              </w:rPr>
            </w:pPr>
            <w:r w:rsidRPr="00B41651">
              <w:rPr>
                <w:rFonts w:asciiTheme="minorHAnsi" w:eastAsiaTheme="minorHAnsi" w:hAnsiTheme="minorHAnsi" w:cstheme="minorHAnsi"/>
                <w:sz w:val="26"/>
                <w:szCs w:val="26"/>
              </w:rPr>
              <w:t>40%</w:t>
            </w:r>
          </w:p>
        </w:tc>
      </w:tr>
      <w:tr w:rsidR="00B41651" w:rsidRPr="00B41651" w14:paraId="2DF47769" w14:textId="77777777" w:rsidTr="00A23843">
        <w:trPr>
          <w:trHeight w:val="80"/>
          <w:jc w:val="center"/>
        </w:trPr>
        <w:tc>
          <w:tcPr>
            <w:tcW w:w="9445" w:type="dxa"/>
            <w:gridSpan w:val="6"/>
            <w:tcBorders>
              <w:top w:val="nil"/>
              <w:left w:val="single" w:sz="4" w:space="0" w:color="auto"/>
              <w:bottom w:val="single" w:sz="4" w:space="0" w:color="auto"/>
              <w:right w:val="single" w:sz="4" w:space="0" w:color="auto"/>
            </w:tcBorders>
            <w:noWrap/>
            <w:vAlign w:val="bottom"/>
          </w:tcPr>
          <w:p w14:paraId="196760AC" w14:textId="77777777" w:rsidR="00A23843" w:rsidRPr="00B41651" w:rsidRDefault="00A23843" w:rsidP="00A23843">
            <w:pPr>
              <w:spacing w:line="276" w:lineRule="auto"/>
              <w:jc w:val="center"/>
              <w:rPr>
                <w:rFonts w:asciiTheme="minorHAnsi" w:eastAsiaTheme="minorHAnsi" w:hAnsiTheme="minorHAnsi" w:cstheme="minorHAnsi"/>
                <w:sz w:val="26"/>
                <w:szCs w:val="26"/>
              </w:rPr>
            </w:pPr>
            <w:r w:rsidRPr="00B41651">
              <w:rPr>
                <w:rFonts w:asciiTheme="minorHAnsi" w:hAnsiTheme="minorHAnsi" w:cstheme="minorHAnsi"/>
                <w:b/>
                <w:bCs/>
                <w:sz w:val="26"/>
                <w:szCs w:val="26"/>
                <w:lang w:eastAsia="ro-RO"/>
              </w:rPr>
              <w:t>Total</w:t>
            </w:r>
          </w:p>
        </w:tc>
      </w:tr>
      <w:tr w:rsidR="00B41651" w:rsidRPr="00B41651" w14:paraId="67E90D67" w14:textId="77777777" w:rsidTr="00A23843">
        <w:trPr>
          <w:trHeight w:val="321"/>
          <w:jc w:val="center"/>
        </w:trPr>
        <w:tc>
          <w:tcPr>
            <w:tcW w:w="2605" w:type="dxa"/>
            <w:tcBorders>
              <w:top w:val="nil"/>
              <w:left w:val="single" w:sz="4" w:space="0" w:color="auto"/>
              <w:bottom w:val="single" w:sz="4" w:space="0" w:color="auto"/>
              <w:right w:val="single" w:sz="4" w:space="0" w:color="auto"/>
            </w:tcBorders>
            <w:noWrap/>
            <w:vAlign w:val="bottom"/>
          </w:tcPr>
          <w:p w14:paraId="1695B138" w14:textId="77777777" w:rsidR="00A23843" w:rsidRPr="00B41651" w:rsidRDefault="00A23843" w:rsidP="00A23843">
            <w:pPr>
              <w:spacing w:line="276" w:lineRule="auto"/>
              <w:jc w:val="center"/>
              <w:rPr>
                <w:rFonts w:asciiTheme="minorHAnsi" w:hAnsiTheme="minorHAnsi" w:cstheme="minorHAnsi"/>
                <w:b/>
                <w:bCs/>
                <w:sz w:val="26"/>
                <w:szCs w:val="26"/>
                <w:lang w:eastAsia="ro-RO"/>
              </w:rPr>
            </w:pPr>
            <w:r w:rsidRPr="00B41651">
              <w:rPr>
                <w:rFonts w:asciiTheme="minorHAnsi" w:hAnsiTheme="minorHAnsi" w:cstheme="minorHAnsi"/>
                <w:b/>
                <w:bCs/>
                <w:sz w:val="26"/>
                <w:szCs w:val="26"/>
                <w:lang w:eastAsia="ro-RO"/>
              </w:rPr>
              <w:t>Situație posturi psiholog</w:t>
            </w:r>
          </w:p>
        </w:tc>
        <w:tc>
          <w:tcPr>
            <w:tcW w:w="1105" w:type="dxa"/>
            <w:tcBorders>
              <w:top w:val="nil"/>
              <w:left w:val="single" w:sz="4" w:space="0" w:color="auto"/>
              <w:bottom w:val="single" w:sz="4" w:space="0" w:color="auto"/>
              <w:right w:val="single" w:sz="4" w:space="0" w:color="auto"/>
            </w:tcBorders>
            <w:noWrap/>
          </w:tcPr>
          <w:p w14:paraId="07BC5C0F" w14:textId="77777777" w:rsidR="00A23843" w:rsidRPr="00B41651" w:rsidRDefault="00A23843" w:rsidP="00A23843">
            <w:pPr>
              <w:spacing w:line="276" w:lineRule="auto"/>
              <w:jc w:val="center"/>
              <w:rPr>
                <w:rFonts w:asciiTheme="minorHAnsi" w:eastAsiaTheme="minorHAnsi" w:hAnsiTheme="minorHAnsi" w:cstheme="minorHAnsi"/>
                <w:b/>
                <w:bCs/>
                <w:sz w:val="26"/>
                <w:szCs w:val="26"/>
              </w:rPr>
            </w:pPr>
          </w:p>
          <w:p w14:paraId="60244D17" w14:textId="77777777" w:rsidR="00A23843" w:rsidRPr="00B41651" w:rsidRDefault="00A23843" w:rsidP="00A23843">
            <w:pPr>
              <w:spacing w:line="276" w:lineRule="auto"/>
              <w:jc w:val="center"/>
              <w:rPr>
                <w:rFonts w:asciiTheme="minorHAnsi" w:hAnsiTheme="minorHAnsi" w:cstheme="minorHAnsi"/>
                <w:b/>
                <w:bCs/>
                <w:sz w:val="26"/>
                <w:szCs w:val="26"/>
                <w:lang w:eastAsia="ro-RO"/>
              </w:rPr>
            </w:pPr>
            <w:r w:rsidRPr="00B41651">
              <w:rPr>
                <w:rFonts w:asciiTheme="minorHAnsi" w:eastAsiaTheme="minorHAnsi" w:hAnsiTheme="minorHAnsi" w:cstheme="minorHAnsi"/>
                <w:b/>
                <w:bCs/>
                <w:sz w:val="26"/>
                <w:szCs w:val="26"/>
              </w:rPr>
              <w:t>40</w:t>
            </w:r>
          </w:p>
        </w:tc>
        <w:tc>
          <w:tcPr>
            <w:tcW w:w="1456" w:type="dxa"/>
            <w:tcBorders>
              <w:top w:val="nil"/>
              <w:left w:val="nil"/>
              <w:bottom w:val="single" w:sz="4" w:space="0" w:color="auto"/>
              <w:right w:val="single" w:sz="4" w:space="0" w:color="auto"/>
            </w:tcBorders>
            <w:noWrap/>
          </w:tcPr>
          <w:p w14:paraId="6BAE5A8C" w14:textId="77777777" w:rsidR="00A23843" w:rsidRPr="00B41651" w:rsidRDefault="00A23843" w:rsidP="00A23843">
            <w:pPr>
              <w:spacing w:line="276" w:lineRule="auto"/>
              <w:jc w:val="center"/>
              <w:rPr>
                <w:rFonts w:asciiTheme="minorHAnsi" w:eastAsiaTheme="minorHAnsi" w:hAnsiTheme="minorHAnsi" w:cstheme="minorHAnsi"/>
                <w:b/>
                <w:bCs/>
                <w:sz w:val="26"/>
                <w:szCs w:val="26"/>
              </w:rPr>
            </w:pPr>
          </w:p>
          <w:p w14:paraId="1AD49BFB" w14:textId="77777777" w:rsidR="00A23843" w:rsidRPr="00B41651" w:rsidRDefault="00A23843" w:rsidP="00A23843">
            <w:pPr>
              <w:spacing w:line="276" w:lineRule="auto"/>
              <w:jc w:val="center"/>
              <w:rPr>
                <w:rFonts w:asciiTheme="minorHAnsi" w:eastAsiaTheme="minorHAnsi" w:hAnsiTheme="minorHAnsi" w:cstheme="minorHAnsi"/>
                <w:b/>
                <w:bCs/>
                <w:sz w:val="26"/>
                <w:szCs w:val="26"/>
              </w:rPr>
            </w:pPr>
            <w:r w:rsidRPr="00B41651">
              <w:rPr>
                <w:rFonts w:asciiTheme="minorHAnsi" w:eastAsiaTheme="minorHAnsi" w:hAnsiTheme="minorHAnsi" w:cstheme="minorHAnsi"/>
                <w:b/>
                <w:bCs/>
                <w:sz w:val="26"/>
                <w:szCs w:val="26"/>
              </w:rPr>
              <w:t>31</w:t>
            </w:r>
          </w:p>
        </w:tc>
        <w:tc>
          <w:tcPr>
            <w:tcW w:w="1229" w:type="dxa"/>
            <w:tcBorders>
              <w:top w:val="nil"/>
              <w:left w:val="nil"/>
              <w:bottom w:val="single" w:sz="4" w:space="0" w:color="auto"/>
              <w:right w:val="single" w:sz="4" w:space="0" w:color="auto"/>
            </w:tcBorders>
            <w:noWrap/>
          </w:tcPr>
          <w:p w14:paraId="6970AE0B" w14:textId="77777777" w:rsidR="00A23843" w:rsidRPr="00B41651" w:rsidRDefault="00A23843" w:rsidP="00A23843">
            <w:pPr>
              <w:spacing w:line="276" w:lineRule="auto"/>
              <w:jc w:val="center"/>
              <w:rPr>
                <w:rFonts w:asciiTheme="minorHAnsi" w:eastAsiaTheme="minorHAnsi" w:hAnsiTheme="minorHAnsi" w:cstheme="minorHAnsi"/>
                <w:b/>
                <w:bCs/>
                <w:sz w:val="26"/>
                <w:szCs w:val="26"/>
              </w:rPr>
            </w:pPr>
          </w:p>
          <w:p w14:paraId="22D1CF3D" w14:textId="77777777" w:rsidR="00A23843" w:rsidRPr="00B41651" w:rsidRDefault="00A23843" w:rsidP="00A23843">
            <w:pPr>
              <w:spacing w:line="276" w:lineRule="auto"/>
              <w:jc w:val="center"/>
              <w:rPr>
                <w:rFonts w:asciiTheme="minorHAnsi" w:eastAsiaTheme="minorHAnsi" w:hAnsiTheme="minorHAnsi" w:cstheme="minorHAnsi"/>
                <w:b/>
                <w:bCs/>
                <w:sz w:val="26"/>
                <w:szCs w:val="26"/>
              </w:rPr>
            </w:pPr>
            <w:r w:rsidRPr="00B41651">
              <w:rPr>
                <w:rFonts w:asciiTheme="minorHAnsi" w:eastAsiaTheme="minorHAnsi" w:hAnsiTheme="minorHAnsi" w:cstheme="minorHAnsi"/>
                <w:b/>
                <w:bCs/>
                <w:sz w:val="26"/>
                <w:szCs w:val="26"/>
              </w:rPr>
              <w:t>77.5 %</w:t>
            </w:r>
          </w:p>
        </w:tc>
        <w:tc>
          <w:tcPr>
            <w:tcW w:w="1668" w:type="dxa"/>
            <w:tcBorders>
              <w:top w:val="nil"/>
              <w:left w:val="nil"/>
              <w:bottom w:val="single" w:sz="4" w:space="0" w:color="auto"/>
              <w:right w:val="single" w:sz="4" w:space="0" w:color="auto"/>
            </w:tcBorders>
            <w:noWrap/>
          </w:tcPr>
          <w:p w14:paraId="66081892" w14:textId="77777777" w:rsidR="00A23843" w:rsidRPr="00B41651" w:rsidRDefault="00A23843" w:rsidP="00A23843">
            <w:pPr>
              <w:spacing w:line="276" w:lineRule="auto"/>
              <w:jc w:val="center"/>
              <w:rPr>
                <w:rFonts w:asciiTheme="minorHAnsi" w:eastAsiaTheme="minorHAnsi" w:hAnsiTheme="minorHAnsi" w:cstheme="minorHAnsi"/>
                <w:b/>
                <w:bCs/>
                <w:sz w:val="26"/>
                <w:szCs w:val="26"/>
              </w:rPr>
            </w:pPr>
          </w:p>
          <w:p w14:paraId="5FA388D5" w14:textId="77777777" w:rsidR="00A23843" w:rsidRPr="00B41651" w:rsidRDefault="00A23843" w:rsidP="00A23843">
            <w:pPr>
              <w:spacing w:line="276" w:lineRule="auto"/>
              <w:jc w:val="center"/>
              <w:rPr>
                <w:rFonts w:asciiTheme="minorHAnsi" w:eastAsiaTheme="minorHAnsi" w:hAnsiTheme="minorHAnsi" w:cstheme="minorHAnsi"/>
                <w:b/>
                <w:bCs/>
                <w:sz w:val="26"/>
                <w:szCs w:val="26"/>
              </w:rPr>
            </w:pPr>
            <w:r w:rsidRPr="00B41651">
              <w:rPr>
                <w:rFonts w:asciiTheme="minorHAnsi" w:eastAsiaTheme="minorHAnsi" w:hAnsiTheme="minorHAnsi" w:cstheme="minorHAnsi"/>
                <w:b/>
                <w:bCs/>
                <w:sz w:val="26"/>
                <w:szCs w:val="26"/>
              </w:rPr>
              <w:t>9</w:t>
            </w:r>
          </w:p>
        </w:tc>
        <w:tc>
          <w:tcPr>
            <w:tcW w:w="1382" w:type="dxa"/>
            <w:tcBorders>
              <w:top w:val="nil"/>
              <w:left w:val="nil"/>
              <w:bottom w:val="single" w:sz="4" w:space="0" w:color="auto"/>
              <w:right w:val="single" w:sz="4" w:space="0" w:color="auto"/>
            </w:tcBorders>
            <w:noWrap/>
          </w:tcPr>
          <w:p w14:paraId="1FC52D85" w14:textId="77777777" w:rsidR="00A23843" w:rsidRPr="00B41651" w:rsidRDefault="00A23843" w:rsidP="00A23843">
            <w:pPr>
              <w:spacing w:line="276" w:lineRule="auto"/>
              <w:jc w:val="center"/>
              <w:rPr>
                <w:rFonts w:asciiTheme="minorHAnsi" w:eastAsiaTheme="minorHAnsi" w:hAnsiTheme="minorHAnsi" w:cstheme="minorHAnsi"/>
                <w:b/>
                <w:bCs/>
                <w:sz w:val="26"/>
                <w:szCs w:val="26"/>
              </w:rPr>
            </w:pPr>
          </w:p>
          <w:p w14:paraId="6A700E7F" w14:textId="77777777" w:rsidR="00A23843" w:rsidRPr="00B41651" w:rsidRDefault="00A23843" w:rsidP="00A23843">
            <w:pPr>
              <w:spacing w:line="276" w:lineRule="auto"/>
              <w:jc w:val="center"/>
              <w:rPr>
                <w:rFonts w:asciiTheme="minorHAnsi" w:eastAsiaTheme="minorHAnsi" w:hAnsiTheme="minorHAnsi" w:cstheme="minorHAnsi"/>
                <w:b/>
                <w:bCs/>
                <w:sz w:val="26"/>
                <w:szCs w:val="26"/>
              </w:rPr>
            </w:pPr>
            <w:r w:rsidRPr="00B41651">
              <w:rPr>
                <w:rFonts w:asciiTheme="minorHAnsi" w:eastAsiaTheme="minorHAnsi" w:hAnsiTheme="minorHAnsi" w:cstheme="minorHAnsi"/>
                <w:b/>
                <w:bCs/>
                <w:sz w:val="26"/>
                <w:szCs w:val="26"/>
              </w:rPr>
              <w:t>22.5 %</w:t>
            </w:r>
          </w:p>
        </w:tc>
      </w:tr>
    </w:tbl>
    <w:p w14:paraId="72B41E81" w14:textId="77777777" w:rsidR="00A23843" w:rsidRPr="00B41651" w:rsidRDefault="00A23843" w:rsidP="00A23843">
      <w:pPr>
        <w:tabs>
          <w:tab w:val="left" w:pos="3120"/>
        </w:tabs>
        <w:spacing w:line="276" w:lineRule="auto"/>
        <w:ind w:firstLine="720"/>
        <w:jc w:val="both"/>
        <w:rPr>
          <w:rFonts w:asciiTheme="minorHAnsi" w:eastAsiaTheme="minorHAnsi" w:hAnsiTheme="minorHAnsi" w:cstheme="minorHAnsi"/>
          <w:sz w:val="26"/>
          <w:szCs w:val="26"/>
        </w:rPr>
      </w:pPr>
      <w:r w:rsidRPr="00B41651">
        <w:rPr>
          <w:rFonts w:asciiTheme="minorHAnsi" w:eastAsiaTheme="minorHAnsi" w:hAnsiTheme="minorHAnsi" w:cstheme="minorHAnsi"/>
          <w:bCs/>
          <w:sz w:val="26"/>
          <w:szCs w:val="26"/>
        </w:rPr>
        <w:lastRenderedPageBreak/>
        <w:t>În ceea ce privește</w:t>
      </w:r>
      <w:r w:rsidRPr="00B41651">
        <w:rPr>
          <w:rFonts w:asciiTheme="minorHAnsi" w:eastAsiaTheme="minorHAnsi" w:hAnsiTheme="minorHAnsi" w:cstheme="minorHAnsi"/>
          <w:sz w:val="26"/>
          <w:szCs w:val="26"/>
        </w:rPr>
        <w:t xml:space="preserve"> situația posturilor de psiholog de la nivelul instituțiilor din sistemul judiciar</w:t>
      </w:r>
      <w:r w:rsidRPr="00B41651">
        <w:rPr>
          <w:rFonts w:asciiTheme="minorHAnsi" w:eastAsiaTheme="minorHAnsi" w:hAnsiTheme="minorHAnsi" w:cstheme="minorHAnsi"/>
          <w:bCs/>
          <w:sz w:val="26"/>
          <w:szCs w:val="26"/>
        </w:rPr>
        <w:t xml:space="preserve">, acestea sunt ocupate în proporție de 77.5%, </w:t>
      </w:r>
      <w:r w:rsidRPr="00B41651">
        <w:rPr>
          <w:rFonts w:asciiTheme="minorHAnsi" w:eastAsiaTheme="minorHAnsi" w:hAnsiTheme="minorHAnsi" w:cstheme="minorHAnsi"/>
          <w:sz w:val="26"/>
          <w:szCs w:val="26"/>
        </w:rPr>
        <w:t xml:space="preserve">procente mai mari fiind înregistrate la nivelul I.J., 100% grad de ocupare, respectiv al instanțelor judecătorești, 93,75% grad de ocupare. </w:t>
      </w:r>
    </w:p>
    <w:p w14:paraId="03031EE6" w14:textId="77777777" w:rsidR="00A23843" w:rsidRPr="00B41651" w:rsidRDefault="00A23843" w:rsidP="00A23843">
      <w:pPr>
        <w:tabs>
          <w:tab w:val="left" w:pos="3120"/>
        </w:tabs>
        <w:spacing w:line="276" w:lineRule="auto"/>
        <w:ind w:firstLine="720"/>
        <w:jc w:val="both"/>
        <w:rPr>
          <w:rFonts w:asciiTheme="minorHAnsi" w:eastAsiaTheme="minorHAnsi" w:hAnsiTheme="minorHAnsi" w:cstheme="minorHAnsi"/>
          <w:sz w:val="26"/>
          <w:szCs w:val="26"/>
        </w:rPr>
      </w:pPr>
      <w:r w:rsidRPr="00B41651">
        <w:rPr>
          <w:rFonts w:asciiTheme="minorHAnsi" w:eastAsiaTheme="minorHAnsi" w:hAnsiTheme="minorHAnsi" w:cstheme="minorHAnsi"/>
          <w:sz w:val="26"/>
          <w:szCs w:val="26"/>
        </w:rPr>
        <w:t>Referitor la schema de personal de la nivelul unităților de parchet, aceasta este ocupată doar în proporție de 60%, pe parcursul anului 2025 fiind ocupat un post de psiholog la Parchetul de pe lângă Curtea de Apel Galați, în timp ce postul de la Parchetul de pe lângă Înalta Curte de Casație și Justiție a devenit vacant.</w:t>
      </w:r>
    </w:p>
    <w:p w14:paraId="29C4FD8D" w14:textId="77777777" w:rsidR="00A23843" w:rsidRPr="00B41651" w:rsidRDefault="00A23843" w:rsidP="00A23843">
      <w:pPr>
        <w:spacing w:line="276" w:lineRule="auto"/>
        <w:ind w:firstLine="720"/>
        <w:jc w:val="both"/>
        <w:rPr>
          <w:rFonts w:asciiTheme="minorHAnsi" w:eastAsiaTheme="minorHAnsi" w:hAnsiTheme="minorHAnsi" w:cstheme="minorHAnsi"/>
          <w:sz w:val="26"/>
          <w:szCs w:val="26"/>
        </w:rPr>
      </w:pPr>
      <w:r w:rsidRPr="00B41651">
        <w:rPr>
          <w:rFonts w:asciiTheme="minorHAnsi" w:eastAsiaTheme="minorHAnsi" w:hAnsiTheme="minorHAnsi" w:cstheme="minorHAnsi"/>
          <w:sz w:val="26"/>
          <w:szCs w:val="26"/>
        </w:rPr>
        <w:t>De asemenea, C.P.P. a procedat la formularea propunerilor privind componența comisiei de evaluare din cadrul procedurii de transfer, la cerere, pe postul de inspector de specialitate - psiholog, personal contractual la Curtea de Apel Bacău, procedură în cadrul căreia au fost depuse 3 cereri de transfer. Toate cele 3 cereri au fost respinse în cadrul etapei de selecție a dosarelor, candidații neîndeplinind condițiile pentru ocuparea postului vacant prin transfer.</w:t>
      </w:r>
    </w:p>
    <w:p w14:paraId="053FD336" w14:textId="77777777" w:rsidR="00A23843" w:rsidRPr="00B41651" w:rsidRDefault="00A23843" w:rsidP="00A23843">
      <w:pPr>
        <w:spacing w:line="276" w:lineRule="auto"/>
        <w:ind w:firstLine="720"/>
        <w:jc w:val="both"/>
        <w:rPr>
          <w:rFonts w:asciiTheme="minorHAnsi" w:eastAsiaTheme="minorHAnsi" w:hAnsiTheme="minorHAnsi" w:cstheme="minorHAnsi"/>
          <w:sz w:val="26"/>
          <w:szCs w:val="26"/>
        </w:rPr>
      </w:pPr>
      <w:r w:rsidRPr="00B41651">
        <w:rPr>
          <w:rFonts w:asciiTheme="minorHAnsi" w:eastAsiaTheme="minorHAnsi" w:hAnsiTheme="minorHAnsi" w:cstheme="minorHAnsi"/>
          <w:sz w:val="26"/>
          <w:szCs w:val="26"/>
        </w:rPr>
        <w:t>Suplimentar, Curtea de Apel Bacău a organizat în data de 10 decembrie 2025 concurs pentru ocuparea, pe durată nedeterminată, a funcţiei contractuale de execuţie vacante de inspector de specialitate (psiholog), gradul I – personal contractual din cadrul Curţii de Apel Bacău, procedură la care nu a fost depus niciun dosar de înscriere.</w:t>
      </w:r>
    </w:p>
    <w:p w14:paraId="7C965F95" w14:textId="77777777" w:rsidR="00A23843" w:rsidRPr="00B41651" w:rsidRDefault="00A23843" w:rsidP="00A23843">
      <w:pPr>
        <w:tabs>
          <w:tab w:val="left" w:pos="426"/>
        </w:tabs>
        <w:spacing w:line="276" w:lineRule="auto"/>
        <w:ind w:firstLine="720"/>
        <w:jc w:val="both"/>
        <w:rPr>
          <w:rFonts w:asciiTheme="minorHAnsi" w:eastAsiaTheme="minorHAnsi" w:hAnsiTheme="minorHAnsi" w:cstheme="minorHAnsi"/>
          <w:sz w:val="26"/>
          <w:szCs w:val="26"/>
        </w:rPr>
      </w:pPr>
      <w:r w:rsidRPr="00B41651">
        <w:rPr>
          <w:rFonts w:asciiTheme="minorHAnsi" w:eastAsiaTheme="minorHAnsi" w:hAnsiTheme="minorHAnsi" w:cstheme="minorHAnsi"/>
          <w:sz w:val="26"/>
          <w:szCs w:val="26"/>
        </w:rPr>
        <w:t>Menționăm faptul că această situație apare frecvent în cadrul procedurilor de concurs/transfer desfășurate la nivelul instanțelor sau unităților de parchet, fapt care scoate în evidență dificultatea de a recruta personal calificat în domeniul de specializare psihologie.</w:t>
      </w:r>
    </w:p>
    <w:p w14:paraId="2FDDD456" w14:textId="77777777" w:rsidR="00A23843" w:rsidRPr="008832FB" w:rsidRDefault="00A23843" w:rsidP="00A23843">
      <w:pPr>
        <w:spacing w:line="276" w:lineRule="auto"/>
        <w:ind w:firstLine="720"/>
        <w:jc w:val="both"/>
        <w:rPr>
          <w:rFonts w:asciiTheme="minorHAnsi" w:eastAsiaTheme="minorHAnsi" w:hAnsiTheme="minorHAnsi" w:cstheme="minorHAnsi"/>
          <w:sz w:val="26"/>
          <w:szCs w:val="26"/>
        </w:rPr>
      </w:pPr>
      <w:r w:rsidRPr="00B41651">
        <w:rPr>
          <w:rFonts w:asciiTheme="minorHAnsi" w:eastAsiaTheme="minorHAnsi" w:hAnsiTheme="minorHAnsi" w:cstheme="minorHAnsi"/>
          <w:sz w:val="26"/>
          <w:szCs w:val="26"/>
        </w:rPr>
        <w:t xml:space="preserve">Din punct de vedere al treptei de specializare, 26 de psihologi </w:t>
      </w:r>
      <w:r w:rsidRPr="008832FB">
        <w:rPr>
          <w:rFonts w:asciiTheme="minorHAnsi" w:eastAsiaTheme="minorHAnsi" w:hAnsiTheme="minorHAnsi" w:cstheme="minorHAnsi"/>
          <w:sz w:val="26"/>
          <w:szCs w:val="26"/>
        </w:rPr>
        <w:t>sunt cel puțin la treapta de specializare practicant „autonom”, în timp ce 5 psihologi se află în perioada de stagiu profesional (2 psihologi la C</w:t>
      </w:r>
      <w:r w:rsidRPr="000F0D8B">
        <w:rPr>
          <w:rFonts w:asciiTheme="minorHAnsi" w:eastAsiaTheme="minorHAnsi" w:hAnsiTheme="minorHAnsi" w:cstheme="minorHAnsi"/>
          <w:sz w:val="26"/>
          <w:szCs w:val="26"/>
        </w:rPr>
        <w:t xml:space="preserve">onsiliul </w:t>
      </w:r>
      <w:r w:rsidRPr="008832FB">
        <w:rPr>
          <w:rFonts w:asciiTheme="minorHAnsi" w:eastAsiaTheme="minorHAnsi" w:hAnsiTheme="minorHAnsi" w:cstheme="minorHAnsi"/>
          <w:sz w:val="26"/>
          <w:szCs w:val="26"/>
        </w:rPr>
        <w:t>S</w:t>
      </w:r>
      <w:r w:rsidRPr="000F0D8B">
        <w:rPr>
          <w:rFonts w:asciiTheme="minorHAnsi" w:eastAsiaTheme="minorHAnsi" w:hAnsiTheme="minorHAnsi" w:cstheme="minorHAnsi"/>
          <w:sz w:val="26"/>
          <w:szCs w:val="26"/>
        </w:rPr>
        <w:t xml:space="preserve">uperior al </w:t>
      </w:r>
      <w:r w:rsidRPr="008832FB">
        <w:rPr>
          <w:rFonts w:asciiTheme="minorHAnsi" w:eastAsiaTheme="minorHAnsi" w:hAnsiTheme="minorHAnsi" w:cstheme="minorHAnsi"/>
          <w:sz w:val="26"/>
          <w:szCs w:val="26"/>
        </w:rPr>
        <w:t>M</w:t>
      </w:r>
      <w:r w:rsidRPr="000F0D8B">
        <w:rPr>
          <w:rFonts w:asciiTheme="minorHAnsi" w:eastAsiaTheme="minorHAnsi" w:hAnsiTheme="minorHAnsi" w:cstheme="minorHAnsi"/>
          <w:sz w:val="26"/>
          <w:szCs w:val="26"/>
        </w:rPr>
        <w:t>agistraturii</w:t>
      </w:r>
      <w:r w:rsidRPr="008832FB">
        <w:rPr>
          <w:rFonts w:asciiTheme="minorHAnsi" w:eastAsiaTheme="minorHAnsi" w:hAnsiTheme="minorHAnsi" w:cstheme="minorHAnsi"/>
          <w:sz w:val="26"/>
          <w:szCs w:val="26"/>
        </w:rPr>
        <w:t xml:space="preserve"> și Inspecția Judiciară și 3 psihologi la Parchetele de pe lângă Curțile de Apel). De remarcat este faptul că în anul 2025 procentul de psihologi aflați în perioada de stagiu profesional a scăzut la 12,5%, fapt care surprinde preocuparea pentru formarea profesională continuă și integrarea la nivelul unităților unde funcționează.</w:t>
      </w:r>
    </w:p>
    <w:p w14:paraId="6C27AECC" w14:textId="77777777" w:rsidR="00A23843" w:rsidRPr="008832FB" w:rsidRDefault="00A23843" w:rsidP="00A23843">
      <w:pPr>
        <w:spacing w:line="276" w:lineRule="auto"/>
        <w:ind w:firstLine="720"/>
        <w:jc w:val="both"/>
        <w:rPr>
          <w:rFonts w:asciiTheme="minorHAnsi" w:eastAsiaTheme="minorHAnsi" w:hAnsiTheme="minorHAnsi" w:cstheme="minorHAnsi"/>
          <w:sz w:val="26"/>
          <w:szCs w:val="26"/>
        </w:rPr>
      </w:pPr>
      <w:r w:rsidRPr="008832FB">
        <w:rPr>
          <w:rFonts w:asciiTheme="minorHAnsi" w:eastAsiaTheme="minorHAnsi" w:hAnsiTheme="minorHAnsi" w:cstheme="minorHAnsi"/>
          <w:sz w:val="26"/>
          <w:szCs w:val="26"/>
        </w:rPr>
        <w:t>În ceea ce privește competența C</w:t>
      </w:r>
      <w:r w:rsidRPr="000F0D8B">
        <w:rPr>
          <w:rFonts w:asciiTheme="minorHAnsi" w:eastAsiaTheme="minorHAnsi" w:hAnsiTheme="minorHAnsi" w:cstheme="minorHAnsi"/>
          <w:sz w:val="26"/>
          <w:szCs w:val="26"/>
        </w:rPr>
        <w:t>.</w:t>
      </w:r>
      <w:r w:rsidRPr="008832FB">
        <w:rPr>
          <w:rFonts w:asciiTheme="minorHAnsi" w:eastAsiaTheme="minorHAnsi" w:hAnsiTheme="minorHAnsi" w:cstheme="minorHAnsi"/>
          <w:sz w:val="26"/>
          <w:szCs w:val="26"/>
        </w:rPr>
        <w:t>P</w:t>
      </w:r>
      <w:r w:rsidRPr="000F0D8B">
        <w:rPr>
          <w:rFonts w:asciiTheme="minorHAnsi" w:eastAsiaTheme="minorHAnsi" w:hAnsiTheme="minorHAnsi" w:cstheme="minorHAnsi"/>
          <w:sz w:val="26"/>
          <w:szCs w:val="26"/>
        </w:rPr>
        <w:t>.</w:t>
      </w:r>
      <w:r w:rsidRPr="008832FB">
        <w:rPr>
          <w:rFonts w:asciiTheme="minorHAnsi" w:eastAsiaTheme="minorHAnsi" w:hAnsiTheme="minorHAnsi" w:cstheme="minorHAnsi"/>
          <w:sz w:val="26"/>
          <w:szCs w:val="26"/>
        </w:rPr>
        <w:t>P</w:t>
      </w:r>
      <w:r w:rsidRPr="000F0D8B">
        <w:rPr>
          <w:rFonts w:asciiTheme="minorHAnsi" w:eastAsiaTheme="minorHAnsi" w:hAnsiTheme="minorHAnsi" w:cstheme="minorHAnsi"/>
          <w:sz w:val="26"/>
          <w:szCs w:val="26"/>
        </w:rPr>
        <w:t>.</w:t>
      </w:r>
      <w:r w:rsidRPr="008832FB">
        <w:rPr>
          <w:rFonts w:asciiTheme="minorHAnsi" w:eastAsiaTheme="minorHAnsi" w:hAnsiTheme="minorHAnsi" w:cstheme="minorHAnsi"/>
          <w:sz w:val="26"/>
          <w:szCs w:val="26"/>
        </w:rPr>
        <w:t xml:space="preserve"> în elaborarea metodologiilor privind organizarea și desfășurarea testări</w:t>
      </w:r>
      <w:r>
        <w:rPr>
          <w:rFonts w:asciiTheme="minorHAnsi" w:eastAsiaTheme="minorHAnsi" w:hAnsiTheme="minorHAnsi" w:cstheme="minorHAnsi"/>
          <w:sz w:val="26"/>
          <w:szCs w:val="26"/>
        </w:rPr>
        <w:t>i</w:t>
      </w:r>
      <w:r w:rsidRPr="008832FB">
        <w:rPr>
          <w:rFonts w:asciiTheme="minorHAnsi" w:eastAsiaTheme="minorHAnsi" w:hAnsiTheme="minorHAnsi" w:cstheme="minorHAnsi"/>
          <w:sz w:val="26"/>
          <w:szCs w:val="26"/>
        </w:rPr>
        <w:t xml:space="preserve"> psihologice din cadrul concursurilor organizate de către Consiliu, potrivit legii și regulamentelor, în cursul anului 2025 au fost elaborate</w:t>
      </w:r>
      <w:r w:rsidRPr="00A35EF2">
        <w:rPr>
          <w:rFonts w:asciiTheme="minorHAnsi" w:eastAsiaTheme="minorHAnsi" w:hAnsiTheme="minorHAnsi" w:cstheme="minorHAnsi"/>
          <w:sz w:val="26"/>
          <w:szCs w:val="26"/>
        </w:rPr>
        <w:t>:</w:t>
      </w:r>
      <w:r w:rsidRPr="000F0D8B">
        <w:rPr>
          <w:rFonts w:asciiTheme="minorHAnsi" w:eastAsiaTheme="minorHAnsi" w:hAnsiTheme="minorHAnsi" w:cstheme="minorHAnsi"/>
          <w:sz w:val="26"/>
          <w:szCs w:val="26"/>
        </w:rPr>
        <w:t xml:space="preserve"> </w:t>
      </w:r>
      <w:r w:rsidRPr="008832FB">
        <w:rPr>
          <w:rFonts w:asciiTheme="minorHAnsi" w:eastAsiaTheme="minorHAnsi" w:hAnsiTheme="minorHAnsi" w:cstheme="minorHAnsi"/>
          <w:sz w:val="26"/>
          <w:szCs w:val="26"/>
        </w:rPr>
        <w:t>metodologia privind organizarea și desfășurarea testări psihologice din cadrul concursului/examenului pentru numirea în funcții de conducere a judecătorilor</w:t>
      </w:r>
      <w:r w:rsidRPr="000F0D8B">
        <w:rPr>
          <w:rFonts w:asciiTheme="minorHAnsi" w:eastAsiaTheme="minorHAnsi" w:hAnsiTheme="minorHAnsi" w:cstheme="minorHAnsi"/>
          <w:sz w:val="26"/>
          <w:szCs w:val="26"/>
        </w:rPr>
        <w:t xml:space="preserve"> și </w:t>
      </w:r>
      <w:r w:rsidRPr="008832FB">
        <w:rPr>
          <w:rFonts w:asciiTheme="minorHAnsi" w:eastAsiaTheme="minorHAnsi" w:hAnsiTheme="minorHAnsi" w:cstheme="minorHAnsi"/>
          <w:sz w:val="26"/>
          <w:szCs w:val="26"/>
        </w:rPr>
        <w:t>metodologia privind organizarea și desfășurarea testări</w:t>
      </w:r>
      <w:r>
        <w:rPr>
          <w:rFonts w:asciiTheme="minorHAnsi" w:eastAsiaTheme="minorHAnsi" w:hAnsiTheme="minorHAnsi" w:cstheme="minorHAnsi"/>
          <w:sz w:val="26"/>
          <w:szCs w:val="26"/>
        </w:rPr>
        <w:t>i</w:t>
      </w:r>
      <w:r w:rsidRPr="008832FB">
        <w:rPr>
          <w:rFonts w:asciiTheme="minorHAnsi" w:eastAsiaTheme="minorHAnsi" w:hAnsiTheme="minorHAnsi" w:cstheme="minorHAnsi"/>
          <w:sz w:val="26"/>
          <w:szCs w:val="26"/>
        </w:rPr>
        <w:t xml:space="preserve"> psihologice din cadrul concursului/examenului pentru numirea în funcții de conducere a procurorilor.</w:t>
      </w:r>
    </w:p>
    <w:p w14:paraId="4969B3DB" w14:textId="77777777" w:rsidR="00A23843" w:rsidRPr="008832FB" w:rsidRDefault="00A23843" w:rsidP="00A23843">
      <w:pPr>
        <w:spacing w:line="276" w:lineRule="auto"/>
        <w:ind w:firstLine="720"/>
        <w:jc w:val="both"/>
        <w:rPr>
          <w:rFonts w:asciiTheme="minorHAnsi" w:eastAsiaTheme="minorHAnsi" w:hAnsiTheme="minorHAnsi" w:cstheme="minorHAnsi"/>
          <w:sz w:val="26"/>
          <w:szCs w:val="26"/>
        </w:rPr>
      </w:pPr>
      <w:r w:rsidRPr="008832FB">
        <w:rPr>
          <w:rFonts w:asciiTheme="minorHAnsi" w:eastAsiaTheme="minorHAnsi" w:hAnsiTheme="minorHAnsi" w:cstheme="minorHAnsi"/>
          <w:sz w:val="26"/>
          <w:szCs w:val="26"/>
          <w:shd w:val="clear" w:color="auto" w:fill="FFFFFF"/>
        </w:rPr>
        <w:t xml:space="preserve">Referitor la atribuția de asigurare a testării psihologice </w:t>
      </w:r>
      <w:r w:rsidRPr="008832FB">
        <w:rPr>
          <w:rFonts w:asciiTheme="minorHAnsi" w:eastAsiaTheme="minorHAnsi" w:hAnsiTheme="minorHAnsi" w:cstheme="minorHAnsi"/>
          <w:sz w:val="26"/>
          <w:szCs w:val="26"/>
        </w:rPr>
        <w:t>a candidaților la concursurile organizate de  Consiliu, aceasta este îndeplinită în condițiile legii, regulamentelor, precum și a metodologiei de organizare și desfășurare a testării psihologice.</w:t>
      </w:r>
    </w:p>
    <w:p w14:paraId="7725BA30" w14:textId="77777777" w:rsidR="00A23843" w:rsidRPr="008832FB" w:rsidRDefault="00A23843" w:rsidP="00A23843">
      <w:pPr>
        <w:spacing w:line="276" w:lineRule="auto"/>
        <w:ind w:firstLine="720"/>
        <w:jc w:val="both"/>
        <w:rPr>
          <w:rFonts w:asciiTheme="minorHAnsi" w:eastAsiaTheme="minorHAnsi" w:hAnsiTheme="minorHAnsi" w:cstheme="minorHAnsi"/>
          <w:sz w:val="26"/>
          <w:szCs w:val="26"/>
        </w:rPr>
      </w:pPr>
      <w:r w:rsidRPr="008832FB">
        <w:rPr>
          <w:rFonts w:asciiTheme="minorHAnsi" w:eastAsiaTheme="minorHAnsi" w:hAnsiTheme="minorHAnsi" w:cstheme="minorHAnsi"/>
          <w:sz w:val="26"/>
          <w:szCs w:val="26"/>
        </w:rPr>
        <w:t>Prestarea serviciilor psihologice de către psihologii desemnaţi să realizeze testarea, respectiv reexaminarea psihologică este condiţionată de deţinerea atestatului de liberă practică în specialitatea „psihologia muncii şi organizaţională”, treapta de specializare cel puțin „autonom”, eliberat în conformitate cu dispoziţiile legale în vigoare, precum şi de dreptul de a desfășura activitățile prevăzute de dispoziţiile art. 5 din Legea nr. 213/2004, cu modificările ulterioare.</w:t>
      </w:r>
    </w:p>
    <w:p w14:paraId="7D64B746" w14:textId="77777777" w:rsidR="00A23843" w:rsidRPr="008832FB" w:rsidRDefault="00A23843" w:rsidP="00A23843">
      <w:pPr>
        <w:spacing w:line="276" w:lineRule="auto"/>
        <w:ind w:firstLine="720"/>
        <w:jc w:val="both"/>
        <w:rPr>
          <w:rFonts w:asciiTheme="minorHAnsi" w:eastAsiaTheme="minorHAnsi" w:hAnsiTheme="minorHAnsi" w:cstheme="minorHAnsi"/>
          <w:sz w:val="26"/>
          <w:szCs w:val="26"/>
        </w:rPr>
      </w:pPr>
      <w:r w:rsidRPr="008832FB">
        <w:rPr>
          <w:rFonts w:asciiTheme="minorHAnsi" w:eastAsiaTheme="minorHAnsi" w:hAnsiTheme="minorHAnsi" w:cstheme="minorHAnsi"/>
          <w:sz w:val="26"/>
          <w:szCs w:val="26"/>
          <w:shd w:val="clear" w:color="auto" w:fill="FFFFFF"/>
        </w:rPr>
        <w:t xml:space="preserve">În cursul anului 2025, testarea psihologică a fost asigurată de psihologi din cadrul Consiliului, </w:t>
      </w:r>
      <w:r>
        <w:rPr>
          <w:rFonts w:asciiTheme="minorHAnsi" w:eastAsiaTheme="minorHAnsi" w:hAnsiTheme="minorHAnsi" w:cstheme="minorHAnsi"/>
          <w:sz w:val="26"/>
          <w:szCs w:val="26"/>
          <w:shd w:val="clear" w:color="auto" w:fill="FFFFFF"/>
        </w:rPr>
        <w:t>Î</w:t>
      </w:r>
      <w:r w:rsidRPr="000F0D8B">
        <w:rPr>
          <w:rFonts w:asciiTheme="minorHAnsi" w:eastAsiaTheme="minorHAnsi" w:hAnsiTheme="minorHAnsi" w:cstheme="minorHAnsi"/>
          <w:sz w:val="26"/>
          <w:szCs w:val="26"/>
          <w:shd w:val="clear" w:color="auto" w:fill="FFFFFF"/>
        </w:rPr>
        <w:t>.</w:t>
      </w:r>
      <w:r w:rsidRPr="008832FB">
        <w:rPr>
          <w:rFonts w:asciiTheme="minorHAnsi" w:eastAsiaTheme="minorHAnsi" w:hAnsiTheme="minorHAnsi" w:cstheme="minorHAnsi"/>
          <w:sz w:val="26"/>
          <w:szCs w:val="26"/>
          <w:shd w:val="clear" w:color="auto" w:fill="FFFFFF"/>
        </w:rPr>
        <w:t>C</w:t>
      </w:r>
      <w:r w:rsidRPr="000F0D8B">
        <w:rPr>
          <w:rFonts w:asciiTheme="minorHAnsi" w:eastAsiaTheme="minorHAnsi" w:hAnsiTheme="minorHAnsi" w:cstheme="minorHAnsi"/>
          <w:sz w:val="26"/>
          <w:szCs w:val="26"/>
          <w:shd w:val="clear" w:color="auto" w:fill="FFFFFF"/>
        </w:rPr>
        <w:t>.</w:t>
      </w:r>
      <w:r w:rsidRPr="008832FB">
        <w:rPr>
          <w:rFonts w:asciiTheme="minorHAnsi" w:eastAsiaTheme="minorHAnsi" w:hAnsiTheme="minorHAnsi" w:cstheme="minorHAnsi"/>
          <w:sz w:val="26"/>
          <w:szCs w:val="26"/>
          <w:shd w:val="clear" w:color="auto" w:fill="FFFFFF"/>
        </w:rPr>
        <w:t>C</w:t>
      </w:r>
      <w:r w:rsidRPr="000F0D8B">
        <w:rPr>
          <w:rFonts w:asciiTheme="minorHAnsi" w:eastAsiaTheme="minorHAnsi" w:hAnsiTheme="minorHAnsi" w:cstheme="minorHAnsi"/>
          <w:sz w:val="26"/>
          <w:szCs w:val="26"/>
          <w:shd w:val="clear" w:color="auto" w:fill="FFFFFF"/>
        </w:rPr>
        <w:t>.</w:t>
      </w:r>
      <w:r w:rsidRPr="008832FB">
        <w:rPr>
          <w:rFonts w:asciiTheme="minorHAnsi" w:eastAsiaTheme="minorHAnsi" w:hAnsiTheme="minorHAnsi" w:cstheme="minorHAnsi"/>
          <w:sz w:val="26"/>
          <w:szCs w:val="26"/>
          <w:shd w:val="clear" w:color="auto" w:fill="FFFFFF"/>
        </w:rPr>
        <w:t>J</w:t>
      </w:r>
      <w:r w:rsidRPr="000F0D8B">
        <w:rPr>
          <w:rFonts w:asciiTheme="minorHAnsi" w:eastAsiaTheme="minorHAnsi" w:hAnsiTheme="minorHAnsi" w:cstheme="minorHAnsi"/>
          <w:sz w:val="26"/>
          <w:szCs w:val="26"/>
          <w:shd w:val="clear" w:color="auto" w:fill="FFFFFF"/>
        </w:rPr>
        <w:t>.</w:t>
      </w:r>
      <w:r w:rsidRPr="008832FB">
        <w:rPr>
          <w:rFonts w:asciiTheme="minorHAnsi" w:eastAsiaTheme="minorHAnsi" w:hAnsiTheme="minorHAnsi" w:cstheme="minorHAnsi"/>
          <w:sz w:val="26"/>
          <w:szCs w:val="26"/>
          <w:shd w:val="clear" w:color="auto" w:fill="FFFFFF"/>
        </w:rPr>
        <w:t>, I</w:t>
      </w:r>
      <w:r w:rsidRPr="000F0D8B">
        <w:rPr>
          <w:rFonts w:asciiTheme="minorHAnsi" w:eastAsiaTheme="minorHAnsi" w:hAnsiTheme="minorHAnsi" w:cstheme="minorHAnsi"/>
          <w:sz w:val="26"/>
          <w:szCs w:val="26"/>
          <w:shd w:val="clear" w:color="auto" w:fill="FFFFFF"/>
        </w:rPr>
        <w:t>.</w:t>
      </w:r>
      <w:r w:rsidRPr="008832FB">
        <w:rPr>
          <w:rFonts w:asciiTheme="minorHAnsi" w:eastAsiaTheme="minorHAnsi" w:hAnsiTheme="minorHAnsi" w:cstheme="minorHAnsi"/>
          <w:sz w:val="26"/>
          <w:szCs w:val="26"/>
          <w:shd w:val="clear" w:color="auto" w:fill="FFFFFF"/>
        </w:rPr>
        <w:t>N</w:t>
      </w:r>
      <w:r w:rsidRPr="000F0D8B">
        <w:rPr>
          <w:rFonts w:asciiTheme="minorHAnsi" w:eastAsiaTheme="minorHAnsi" w:hAnsiTheme="minorHAnsi" w:cstheme="minorHAnsi"/>
          <w:sz w:val="26"/>
          <w:szCs w:val="26"/>
          <w:shd w:val="clear" w:color="auto" w:fill="FFFFFF"/>
        </w:rPr>
        <w:t>.</w:t>
      </w:r>
      <w:r w:rsidRPr="008832FB">
        <w:rPr>
          <w:rFonts w:asciiTheme="minorHAnsi" w:eastAsiaTheme="minorHAnsi" w:hAnsiTheme="minorHAnsi" w:cstheme="minorHAnsi"/>
          <w:sz w:val="26"/>
          <w:szCs w:val="26"/>
          <w:shd w:val="clear" w:color="auto" w:fill="FFFFFF"/>
        </w:rPr>
        <w:t>M</w:t>
      </w:r>
      <w:r w:rsidRPr="000F0D8B">
        <w:rPr>
          <w:rFonts w:asciiTheme="minorHAnsi" w:eastAsiaTheme="minorHAnsi" w:hAnsiTheme="minorHAnsi" w:cstheme="minorHAnsi"/>
          <w:sz w:val="26"/>
          <w:szCs w:val="26"/>
          <w:shd w:val="clear" w:color="auto" w:fill="FFFFFF"/>
        </w:rPr>
        <w:t>.</w:t>
      </w:r>
      <w:r w:rsidRPr="008832FB">
        <w:rPr>
          <w:rFonts w:asciiTheme="minorHAnsi" w:eastAsiaTheme="minorHAnsi" w:hAnsiTheme="minorHAnsi" w:cstheme="minorHAnsi"/>
          <w:sz w:val="26"/>
          <w:szCs w:val="26"/>
          <w:shd w:val="clear" w:color="auto" w:fill="FFFFFF"/>
        </w:rPr>
        <w:t xml:space="preserve">, curților de apel și parchetelor de pe lângă curțile de apel, compartimentul asigurând coordonarea metodologică a comisiilor de testare psihologică/soluţionare a contestaţiilor pentru evaluarea unui număr total de 616 candidați, distribuiți astfel: </w:t>
      </w:r>
    </w:p>
    <w:p w14:paraId="1BD7F1BE" w14:textId="77777777" w:rsidR="00A23843" w:rsidRPr="008832FB" w:rsidRDefault="00A23843" w:rsidP="00A23843">
      <w:pPr>
        <w:numPr>
          <w:ilvl w:val="0"/>
          <w:numId w:val="6"/>
        </w:numPr>
        <w:tabs>
          <w:tab w:val="left" w:pos="990"/>
        </w:tabs>
        <w:spacing w:line="276" w:lineRule="auto"/>
        <w:ind w:left="0" w:firstLine="720"/>
        <w:contextualSpacing/>
        <w:jc w:val="both"/>
        <w:rPr>
          <w:rFonts w:asciiTheme="minorHAnsi" w:eastAsiaTheme="minorHAnsi" w:hAnsiTheme="minorHAnsi" w:cstheme="minorHAnsi"/>
          <w:sz w:val="26"/>
          <w:szCs w:val="26"/>
          <w:shd w:val="clear" w:color="auto" w:fill="FFFFFF"/>
        </w:rPr>
      </w:pPr>
      <w:r w:rsidRPr="008832FB">
        <w:rPr>
          <w:rFonts w:asciiTheme="minorHAnsi" w:eastAsiaTheme="minorHAnsi" w:hAnsiTheme="minorHAnsi" w:cstheme="minorHAnsi"/>
          <w:sz w:val="26"/>
          <w:szCs w:val="26"/>
          <w:shd w:val="clear" w:color="auto" w:fill="FFFFFF"/>
        </w:rPr>
        <w:lastRenderedPageBreak/>
        <w:t xml:space="preserve">58 </w:t>
      </w:r>
      <w:r>
        <w:rPr>
          <w:rFonts w:asciiTheme="minorHAnsi" w:eastAsiaTheme="minorHAnsi" w:hAnsiTheme="minorHAnsi" w:cstheme="minorHAnsi"/>
          <w:sz w:val="26"/>
          <w:szCs w:val="26"/>
          <w:shd w:val="clear" w:color="auto" w:fill="FFFFFF"/>
        </w:rPr>
        <w:t xml:space="preserve">de </w:t>
      </w:r>
      <w:r w:rsidRPr="008832FB">
        <w:rPr>
          <w:rFonts w:asciiTheme="minorHAnsi" w:eastAsiaTheme="minorHAnsi" w:hAnsiTheme="minorHAnsi" w:cstheme="minorHAnsi"/>
          <w:sz w:val="26"/>
          <w:szCs w:val="26"/>
          <w:shd w:val="clear" w:color="auto" w:fill="FFFFFF"/>
        </w:rPr>
        <w:t>candidați în cadrul concursului/examenului pentru numirea în funcţii de conducere a judecătorilor, sesiunea  august</w:t>
      </w:r>
      <w:r>
        <w:rPr>
          <w:rFonts w:asciiTheme="minorHAnsi" w:eastAsiaTheme="minorHAnsi" w:hAnsiTheme="minorHAnsi" w:cstheme="minorHAnsi"/>
          <w:sz w:val="26"/>
          <w:szCs w:val="26"/>
          <w:shd w:val="clear" w:color="auto" w:fill="FFFFFF"/>
        </w:rPr>
        <w:t xml:space="preserve"> - </w:t>
      </w:r>
      <w:r w:rsidRPr="008832FB">
        <w:rPr>
          <w:rFonts w:asciiTheme="minorHAnsi" w:eastAsiaTheme="minorHAnsi" w:hAnsiTheme="minorHAnsi" w:cstheme="minorHAnsi"/>
          <w:sz w:val="26"/>
          <w:szCs w:val="26"/>
          <w:shd w:val="clear" w:color="auto" w:fill="FFFFFF"/>
        </w:rPr>
        <w:t>decembrie 2025</w:t>
      </w:r>
      <w:r w:rsidRPr="00A35EF2">
        <w:rPr>
          <w:rFonts w:asciiTheme="minorHAnsi" w:eastAsiaTheme="minorHAnsi" w:hAnsiTheme="minorHAnsi" w:cstheme="minorHAnsi"/>
          <w:sz w:val="26"/>
          <w:szCs w:val="26"/>
          <w:shd w:val="clear" w:color="auto" w:fill="FFFFFF"/>
          <w:lang w:val="fr-FR"/>
        </w:rPr>
        <w:t>;</w:t>
      </w:r>
    </w:p>
    <w:p w14:paraId="4661BC7F" w14:textId="77777777" w:rsidR="00A23843" w:rsidRPr="008832FB" w:rsidRDefault="00A23843" w:rsidP="00A23843">
      <w:pPr>
        <w:numPr>
          <w:ilvl w:val="0"/>
          <w:numId w:val="6"/>
        </w:numPr>
        <w:tabs>
          <w:tab w:val="left" w:pos="990"/>
        </w:tabs>
        <w:spacing w:line="276" w:lineRule="auto"/>
        <w:ind w:left="0" w:firstLine="720"/>
        <w:contextualSpacing/>
        <w:jc w:val="both"/>
        <w:rPr>
          <w:rFonts w:asciiTheme="minorHAnsi" w:eastAsiaTheme="minorHAnsi" w:hAnsiTheme="minorHAnsi" w:cstheme="minorHAnsi"/>
          <w:sz w:val="26"/>
          <w:szCs w:val="26"/>
          <w:shd w:val="clear" w:color="auto" w:fill="FFFFFF"/>
        </w:rPr>
      </w:pPr>
      <w:r w:rsidRPr="008832FB">
        <w:rPr>
          <w:rFonts w:asciiTheme="minorHAnsi" w:eastAsiaTheme="minorHAnsi" w:hAnsiTheme="minorHAnsi" w:cstheme="minorHAnsi"/>
          <w:sz w:val="26"/>
          <w:szCs w:val="26"/>
          <w:shd w:val="clear" w:color="auto" w:fill="FFFFFF"/>
        </w:rPr>
        <w:t>50</w:t>
      </w:r>
      <w:r>
        <w:rPr>
          <w:rFonts w:asciiTheme="minorHAnsi" w:eastAsiaTheme="minorHAnsi" w:hAnsiTheme="minorHAnsi" w:cstheme="minorHAnsi"/>
          <w:sz w:val="26"/>
          <w:szCs w:val="26"/>
          <w:shd w:val="clear" w:color="auto" w:fill="FFFFFF"/>
        </w:rPr>
        <w:t xml:space="preserve"> de</w:t>
      </w:r>
      <w:r w:rsidRPr="008832FB">
        <w:rPr>
          <w:rFonts w:asciiTheme="minorHAnsi" w:eastAsiaTheme="minorHAnsi" w:hAnsiTheme="minorHAnsi" w:cstheme="minorHAnsi"/>
          <w:sz w:val="26"/>
          <w:szCs w:val="26"/>
          <w:shd w:val="clear" w:color="auto" w:fill="FFFFFF"/>
        </w:rPr>
        <w:t xml:space="preserve"> candidați în cadrul concursului/examenului pentru numirea în funcţii de conducere a procurorilor, sesiunea august</w:t>
      </w:r>
      <w:r>
        <w:rPr>
          <w:rFonts w:asciiTheme="minorHAnsi" w:eastAsiaTheme="minorHAnsi" w:hAnsiTheme="minorHAnsi" w:cstheme="minorHAnsi"/>
          <w:sz w:val="26"/>
          <w:szCs w:val="26"/>
          <w:shd w:val="clear" w:color="auto" w:fill="FFFFFF"/>
        </w:rPr>
        <w:t xml:space="preserve"> - </w:t>
      </w:r>
      <w:r w:rsidRPr="008832FB">
        <w:rPr>
          <w:rFonts w:asciiTheme="minorHAnsi" w:eastAsiaTheme="minorHAnsi" w:hAnsiTheme="minorHAnsi" w:cstheme="minorHAnsi"/>
          <w:sz w:val="26"/>
          <w:szCs w:val="26"/>
          <w:shd w:val="clear" w:color="auto" w:fill="FFFFFF"/>
        </w:rPr>
        <w:t>decembrie 2025</w:t>
      </w:r>
      <w:r w:rsidRPr="000F0D8B">
        <w:rPr>
          <w:rFonts w:asciiTheme="minorHAnsi" w:eastAsiaTheme="minorHAnsi" w:hAnsiTheme="minorHAnsi" w:cstheme="minorHAnsi"/>
          <w:sz w:val="26"/>
          <w:szCs w:val="26"/>
          <w:shd w:val="clear" w:color="auto" w:fill="FFFFFF"/>
        </w:rPr>
        <w:t>;</w:t>
      </w:r>
    </w:p>
    <w:p w14:paraId="2E893000" w14:textId="77777777" w:rsidR="00A23843" w:rsidRPr="008832FB" w:rsidRDefault="00A23843" w:rsidP="00A23843">
      <w:pPr>
        <w:numPr>
          <w:ilvl w:val="0"/>
          <w:numId w:val="6"/>
        </w:numPr>
        <w:tabs>
          <w:tab w:val="left" w:pos="990"/>
        </w:tabs>
        <w:spacing w:line="276" w:lineRule="auto"/>
        <w:ind w:left="0" w:firstLine="720"/>
        <w:contextualSpacing/>
        <w:jc w:val="both"/>
        <w:rPr>
          <w:rFonts w:asciiTheme="minorHAnsi" w:eastAsiaTheme="minorHAnsi" w:hAnsiTheme="minorHAnsi" w:cstheme="minorHAnsi"/>
          <w:sz w:val="26"/>
          <w:szCs w:val="26"/>
          <w:shd w:val="clear" w:color="auto" w:fill="FFFFFF"/>
        </w:rPr>
      </w:pPr>
      <w:r w:rsidRPr="008832FB">
        <w:rPr>
          <w:rFonts w:asciiTheme="minorHAnsi" w:eastAsiaTheme="minorHAnsi" w:hAnsiTheme="minorHAnsi" w:cstheme="minorHAnsi"/>
          <w:sz w:val="26"/>
          <w:szCs w:val="26"/>
          <w:shd w:val="clear" w:color="auto" w:fill="FFFFFF"/>
        </w:rPr>
        <w:t>152</w:t>
      </w:r>
      <w:r>
        <w:rPr>
          <w:rFonts w:asciiTheme="minorHAnsi" w:eastAsiaTheme="minorHAnsi" w:hAnsiTheme="minorHAnsi" w:cstheme="minorHAnsi"/>
          <w:sz w:val="26"/>
          <w:szCs w:val="26"/>
          <w:shd w:val="clear" w:color="auto" w:fill="FFFFFF"/>
        </w:rPr>
        <w:t xml:space="preserve"> de</w:t>
      </w:r>
      <w:r w:rsidRPr="008832FB">
        <w:rPr>
          <w:rFonts w:asciiTheme="minorHAnsi" w:eastAsiaTheme="minorHAnsi" w:hAnsiTheme="minorHAnsi" w:cstheme="minorHAnsi"/>
          <w:sz w:val="26"/>
          <w:szCs w:val="26"/>
          <w:shd w:val="clear" w:color="auto" w:fill="FFFFFF"/>
        </w:rPr>
        <w:t xml:space="preserve"> candidați în cadrul concursului de admitere </w:t>
      </w:r>
      <w:r>
        <w:rPr>
          <w:rFonts w:asciiTheme="minorHAnsi" w:eastAsiaTheme="minorHAnsi" w:hAnsiTheme="minorHAnsi" w:cstheme="minorHAnsi"/>
          <w:sz w:val="26"/>
          <w:szCs w:val="26"/>
          <w:shd w:val="clear" w:color="auto" w:fill="FFFFFF"/>
        </w:rPr>
        <w:t>î</w:t>
      </w:r>
      <w:r w:rsidRPr="008832FB">
        <w:rPr>
          <w:rFonts w:asciiTheme="minorHAnsi" w:eastAsiaTheme="minorHAnsi" w:hAnsiTheme="minorHAnsi" w:cstheme="minorHAnsi"/>
          <w:sz w:val="26"/>
          <w:szCs w:val="26"/>
          <w:shd w:val="clear" w:color="auto" w:fill="FFFFFF"/>
        </w:rPr>
        <w:t>n magistratura, sesiunea iulie 2024</w:t>
      </w:r>
      <w:r>
        <w:rPr>
          <w:rFonts w:asciiTheme="minorHAnsi" w:eastAsiaTheme="minorHAnsi" w:hAnsiTheme="minorHAnsi" w:cstheme="minorHAnsi"/>
          <w:sz w:val="26"/>
          <w:szCs w:val="26"/>
          <w:shd w:val="clear" w:color="auto" w:fill="FFFFFF"/>
        </w:rPr>
        <w:t xml:space="preserve"> - </w:t>
      </w:r>
      <w:r w:rsidRPr="008832FB">
        <w:rPr>
          <w:rFonts w:asciiTheme="minorHAnsi" w:eastAsiaTheme="minorHAnsi" w:hAnsiTheme="minorHAnsi" w:cstheme="minorHAnsi"/>
          <w:sz w:val="26"/>
          <w:szCs w:val="26"/>
          <w:shd w:val="clear" w:color="auto" w:fill="FFFFFF"/>
        </w:rPr>
        <w:t>martie 2025</w:t>
      </w:r>
      <w:r w:rsidRPr="000F0D8B">
        <w:rPr>
          <w:rFonts w:asciiTheme="minorHAnsi" w:eastAsiaTheme="minorHAnsi" w:hAnsiTheme="minorHAnsi" w:cstheme="minorHAnsi"/>
          <w:sz w:val="26"/>
          <w:szCs w:val="26"/>
          <w:shd w:val="clear" w:color="auto" w:fill="FFFFFF"/>
        </w:rPr>
        <w:t>;</w:t>
      </w:r>
    </w:p>
    <w:p w14:paraId="60033E00" w14:textId="77777777" w:rsidR="00A23843" w:rsidRPr="008832FB" w:rsidRDefault="00A23843" w:rsidP="00A23843">
      <w:pPr>
        <w:numPr>
          <w:ilvl w:val="0"/>
          <w:numId w:val="6"/>
        </w:numPr>
        <w:tabs>
          <w:tab w:val="left" w:pos="990"/>
        </w:tabs>
        <w:spacing w:line="276" w:lineRule="auto"/>
        <w:ind w:left="0" w:firstLine="720"/>
        <w:contextualSpacing/>
        <w:jc w:val="both"/>
        <w:rPr>
          <w:rFonts w:asciiTheme="minorHAnsi" w:eastAsiaTheme="minorHAnsi" w:hAnsiTheme="minorHAnsi" w:cstheme="minorHAnsi"/>
          <w:sz w:val="26"/>
          <w:szCs w:val="26"/>
          <w:shd w:val="clear" w:color="auto" w:fill="FFFFFF"/>
        </w:rPr>
      </w:pPr>
      <w:r w:rsidRPr="008832FB">
        <w:rPr>
          <w:rFonts w:asciiTheme="minorHAnsi" w:eastAsiaTheme="minorHAnsi" w:hAnsiTheme="minorHAnsi" w:cstheme="minorHAnsi"/>
          <w:sz w:val="26"/>
          <w:szCs w:val="26"/>
          <w:shd w:val="clear" w:color="auto" w:fill="FFFFFF"/>
        </w:rPr>
        <w:t xml:space="preserve">343 </w:t>
      </w:r>
      <w:r>
        <w:rPr>
          <w:rFonts w:asciiTheme="minorHAnsi" w:eastAsiaTheme="minorHAnsi" w:hAnsiTheme="minorHAnsi" w:cstheme="minorHAnsi"/>
          <w:sz w:val="26"/>
          <w:szCs w:val="26"/>
          <w:shd w:val="clear" w:color="auto" w:fill="FFFFFF"/>
        </w:rPr>
        <w:t xml:space="preserve">de </w:t>
      </w:r>
      <w:r w:rsidRPr="008832FB">
        <w:rPr>
          <w:rFonts w:asciiTheme="minorHAnsi" w:eastAsiaTheme="minorHAnsi" w:hAnsiTheme="minorHAnsi" w:cstheme="minorHAnsi"/>
          <w:sz w:val="26"/>
          <w:szCs w:val="26"/>
          <w:shd w:val="clear" w:color="auto" w:fill="FFFFFF"/>
        </w:rPr>
        <w:t>candidați în cadrul concursului de admitere la Institutul Național al Magistraturii, sesiunea iulie 2024</w:t>
      </w:r>
      <w:r>
        <w:rPr>
          <w:rFonts w:asciiTheme="minorHAnsi" w:eastAsiaTheme="minorHAnsi" w:hAnsiTheme="minorHAnsi" w:cstheme="minorHAnsi"/>
          <w:sz w:val="26"/>
          <w:szCs w:val="26"/>
          <w:shd w:val="clear" w:color="auto" w:fill="FFFFFF"/>
        </w:rPr>
        <w:t xml:space="preserve"> - </w:t>
      </w:r>
      <w:r w:rsidRPr="008832FB">
        <w:rPr>
          <w:rFonts w:asciiTheme="minorHAnsi" w:eastAsiaTheme="minorHAnsi" w:hAnsiTheme="minorHAnsi" w:cstheme="minorHAnsi"/>
          <w:sz w:val="26"/>
          <w:szCs w:val="26"/>
          <w:shd w:val="clear" w:color="auto" w:fill="FFFFFF"/>
        </w:rPr>
        <w:t>aprilie 2025</w:t>
      </w:r>
      <w:r w:rsidRPr="000F0D8B">
        <w:rPr>
          <w:rFonts w:asciiTheme="minorHAnsi" w:eastAsiaTheme="minorHAnsi" w:hAnsiTheme="minorHAnsi" w:cstheme="minorHAnsi"/>
          <w:sz w:val="26"/>
          <w:szCs w:val="26"/>
          <w:shd w:val="clear" w:color="auto" w:fill="FFFFFF"/>
        </w:rPr>
        <w:t>;</w:t>
      </w:r>
    </w:p>
    <w:p w14:paraId="776E6335" w14:textId="77777777" w:rsidR="00A23843" w:rsidRPr="008832FB" w:rsidRDefault="00A23843" w:rsidP="00A23843">
      <w:pPr>
        <w:numPr>
          <w:ilvl w:val="0"/>
          <w:numId w:val="6"/>
        </w:numPr>
        <w:tabs>
          <w:tab w:val="left" w:pos="990"/>
        </w:tabs>
        <w:spacing w:line="276" w:lineRule="auto"/>
        <w:ind w:left="0" w:firstLine="720"/>
        <w:contextualSpacing/>
        <w:jc w:val="both"/>
        <w:rPr>
          <w:rFonts w:asciiTheme="minorHAnsi" w:eastAsiaTheme="minorHAnsi" w:hAnsiTheme="minorHAnsi" w:cstheme="minorHAnsi"/>
          <w:sz w:val="26"/>
          <w:szCs w:val="26"/>
          <w:shd w:val="clear" w:color="auto" w:fill="FFFFFF"/>
        </w:rPr>
      </w:pPr>
      <w:r w:rsidRPr="008832FB">
        <w:rPr>
          <w:rFonts w:asciiTheme="minorHAnsi" w:eastAsiaTheme="minorHAnsi" w:hAnsiTheme="minorHAnsi" w:cstheme="minorHAnsi"/>
          <w:sz w:val="26"/>
          <w:szCs w:val="26"/>
          <w:shd w:val="clear" w:color="auto" w:fill="FFFFFF"/>
        </w:rPr>
        <w:t>8 candidați în cadrul procedurii de reîncadrare în funcția de judecător, sesiunea mai</w:t>
      </w:r>
      <w:r w:rsidRPr="000F0D8B">
        <w:rPr>
          <w:rFonts w:asciiTheme="minorHAnsi" w:eastAsiaTheme="minorHAnsi" w:hAnsiTheme="minorHAnsi" w:cstheme="minorHAnsi"/>
          <w:sz w:val="26"/>
          <w:szCs w:val="26"/>
          <w:shd w:val="clear" w:color="auto" w:fill="FFFFFF"/>
        </w:rPr>
        <w:t xml:space="preserve"> </w:t>
      </w:r>
      <w:r w:rsidRPr="008832FB">
        <w:rPr>
          <w:rFonts w:asciiTheme="minorHAnsi" w:eastAsiaTheme="minorHAnsi" w:hAnsiTheme="minorHAnsi" w:cstheme="minorHAnsi"/>
          <w:sz w:val="26"/>
          <w:szCs w:val="26"/>
          <w:shd w:val="clear" w:color="auto" w:fill="FFFFFF"/>
        </w:rPr>
        <w:t>-</w:t>
      </w:r>
      <w:r w:rsidRPr="000F0D8B">
        <w:rPr>
          <w:rFonts w:asciiTheme="minorHAnsi" w:eastAsiaTheme="minorHAnsi" w:hAnsiTheme="minorHAnsi" w:cstheme="minorHAnsi"/>
          <w:sz w:val="26"/>
          <w:szCs w:val="26"/>
          <w:shd w:val="clear" w:color="auto" w:fill="FFFFFF"/>
        </w:rPr>
        <w:t xml:space="preserve"> </w:t>
      </w:r>
      <w:r w:rsidRPr="008832FB">
        <w:rPr>
          <w:rFonts w:asciiTheme="minorHAnsi" w:eastAsiaTheme="minorHAnsi" w:hAnsiTheme="minorHAnsi" w:cstheme="minorHAnsi"/>
          <w:sz w:val="26"/>
          <w:szCs w:val="26"/>
          <w:shd w:val="clear" w:color="auto" w:fill="FFFFFF"/>
        </w:rPr>
        <w:t>septembrie 2025</w:t>
      </w:r>
      <w:r w:rsidRPr="000F0D8B">
        <w:rPr>
          <w:rFonts w:asciiTheme="minorHAnsi" w:eastAsiaTheme="minorHAnsi" w:hAnsiTheme="minorHAnsi" w:cstheme="minorHAnsi"/>
          <w:sz w:val="26"/>
          <w:szCs w:val="26"/>
          <w:shd w:val="clear" w:color="auto" w:fill="FFFFFF"/>
        </w:rPr>
        <w:t>;</w:t>
      </w:r>
    </w:p>
    <w:p w14:paraId="60E0E6F5" w14:textId="77777777" w:rsidR="00A23843" w:rsidRPr="008832FB" w:rsidRDefault="00A23843" w:rsidP="00A23843">
      <w:pPr>
        <w:numPr>
          <w:ilvl w:val="0"/>
          <w:numId w:val="6"/>
        </w:numPr>
        <w:tabs>
          <w:tab w:val="left" w:pos="990"/>
        </w:tabs>
        <w:spacing w:line="276" w:lineRule="auto"/>
        <w:ind w:left="0" w:firstLine="720"/>
        <w:contextualSpacing/>
        <w:jc w:val="both"/>
        <w:rPr>
          <w:rFonts w:asciiTheme="minorHAnsi" w:eastAsiaTheme="minorHAnsi" w:hAnsiTheme="minorHAnsi" w:cstheme="minorHAnsi"/>
          <w:sz w:val="26"/>
          <w:szCs w:val="26"/>
          <w:shd w:val="clear" w:color="auto" w:fill="FFFFFF"/>
        </w:rPr>
      </w:pPr>
      <w:r w:rsidRPr="008832FB">
        <w:rPr>
          <w:rFonts w:asciiTheme="minorHAnsi" w:eastAsiaTheme="minorHAnsi" w:hAnsiTheme="minorHAnsi" w:cstheme="minorHAnsi"/>
          <w:sz w:val="26"/>
          <w:szCs w:val="26"/>
          <w:shd w:val="clear" w:color="auto" w:fill="FFFFFF"/>
        </w:rPr>
        <w:t>5 candidați în cadrul procedurii de reîncadrare în funcția de procuror,</w:t>
      </w:r>
      <w:r>
        <w:rPr>
          <w:rFonts w:asciiTheme="minorHAnsi" w:eastAsiaTheme="minorHAnsi" w:hAnsiTheme="minorHAnsi" w:cstheme="minorHAnsi"/>
          <w:sz w:val="26"/>
          <w:szCs w:val="26"/>
          <w:shd w:val="clear" w:color="auto" w:fill="FFFFFF"/>
        </w:rPr>
        <w:t xml:space="preserve"> </w:t>
      </w:r>
      <w:r w:rsidRPr="008832FB">
        <w:rPr>
          <w:rFonts w:asciiTheme="minorHAnsi" w:eastAsiaTheme="minorHAnsi" w:hAnsiTheme="minorHAnsi" w:cstheme="minorHAnsi"/>
          <w:sz w:val="26"/>
          <w:szCs w:val="26"/>
          <w:shd w:val="clear" w:color="auto" w:fill="FFFFFF"/>
        </w:rPr>
        <w:t>sesiunea               decembrie 2024 - martie 2025</w:t>
      </w:r>
      <w:r>
        <w:rPr>
          <w:rFonts w:asciiTheme="minorHAnsi" w:eastAsiaTheme="minorHAnsi" w:hAnsiTheme="minorHAnsi" w:cstheme="minorHAnsi"/>
          <w:sz w:val="26"/>
          <w:szCs w:val="26"/>
          <w:shd w:val="clear" w:color="auto" w:fill="FFFFFF"/>
        </w:rPr>
        <w:t>;</w:t>
      </w:r>
    </w:p>
    <w:p w14:paraId="2F0924D7" w14:textId="77777777" w:rsidR="00A23843" w:rsidRDefault="00A23843" w:rsidP="00A23843">
      <w:pPr>
        <w:tabs>
          <w:tab w:val="left" w:pos="709"/>
          <w:tab w:val="left" w:pos="3120"/>
        </w:tabs>
        <w:spacing w:line="276" w:lineRule="auto"/>
        <w:jc w:val="both"/>
        <w:rPr>
          <w:rFonts w:asciiTheme="minorHAnsi" w:eastAsiaTheme="minorHAnsi" w:hAnsiTheme="minorHAnsi" w:cstheme="minorHAnsi"/>
          <w:sz w:val="26"/>
          <w:szCs w:val="26"/>
        </w:rPr>
      </w:pPr>
      <w:r w:rsidRPr="008832FB">
        <w:rPr>
          <w:rFonts w:asciiTheme="minorHAnsi" w:eastAsiaTheme="minorHAnsi" w:hAnsiTheme="minorHAnsi" w:cstheme="minorHAnsi"/>
          <w:sz w:val="26"/>
          <w:szCs w:val="26"/>
          <w:shd w:val="clear" w:color="auto" w:fill="FFFFFF"/>
        </w:rPr>
        <w:t xml:space="preserve">       </w:t>
      </w:r>
      <w:r>
        <w:rPr>
          <w:rFonts w:asciiTheme="minorHAnsi" w:eastAsiaTheme="minorHAnsi" w:hAnsiTheme="minorHAnsi" w:cstheme="minorHAnsi"/>
          <w:sz w:val="26"/>
          <w:szCs w:val="26"/>
          <w:shd w:val="clear" w:color="auto" w:fill="FFFFFF"/>
        </w:rPr>
        <w:tab/>
      </w:r>
      <w:r w:rsidRPr="008832FB">
        <w:rPr>
          <w:rFonts w:asciiTheme="minorHAnsi" w:eastAsiaTheme="minorHAnsi" w:hAnsiTheme="minorHAnsi" w:cstheme="minorHAnsi"/>
          <w:sz w:val="26"/>
          <w:szCs w:val="26"/>
        </w:rPr>
        <w:t>Activitățile desfășurate în cadrul comisiilor de examinare/soluţionare a contestaţiilor din cadrul concursurilor/examenelor enumerate au fost consemnate în rapoartele de activitate întocmite la nivelul C</w:t>
      </w:r>
      <w:r w:rsidRPr="000F0D8B">
        <w:rPr>
          <w:rFonts w:asciiTheme="minorHAnsi" w:eastAsiaTheme="minorHAnsi" w:hAnsiTheme="minorHAnsi" w:cstheme="minorHAnsi"/>
          <w:sz w:val="26"/>
          <w:szCs w:val="26"/>
        </w:rPr>
        <w:t>.</w:t>
      </w:r>
      <w:r w:rsidRPr="008832FB">
        <w:rPr>
          <w:rFonts w:asciiTheme="minorHAnsi" w:eastAsiaTheme="minorHAnsi" w:hAnsiTheme="minorHAnsi" w:cstheme="minorHAnsi"/>
          <w:sz w:val="26"/>
          <w:szCs w:val="26"/>
        </w:rPr>
        <w:t>P</w:t>
      </w:r>
      <w:r w:rsidRPr="000F0D8B">
        <w:rPr>
          <w:rFonts w:asciiTheme="minorHAnsi" w:eastAsiaTheme="minorHAnsi" w:hAnsiTheme="minorHAnsi" w:cstheme="minorHAnsi"/>
          <w:sz w:val="26"/>
          <w:szCs w:val="26"/>
        </w:rPr>
        <w:t>.</w:t>
      </w:r>
      <w:r w:rsidRPr="008832FB">
        <w:rPr>
          <w:rFonts w:asciiTheme="minorHAnsi" w:eastAsiaTheme="minorHAnsi" w:hAnsiTheme="minorHAnsi" w:cstheme="minorHAnsi"/>
          <w:sz w:val="26"/>
          <w:szCs w:val="26"/>
        </w:rPr>
        <w:t>P</w:t>
      </w:r>
      <w:r w:rsidRPr="000F0D8B">
        <w:rPr>
          <w:rFonts w:asciiTheme="minorHAnsi" w:eastAsiaTheme="minorHAnsi" w:hAnsiTheme="minorHAnsi" w:cstheme="minorHAnsi"/>
          <w:sz w:val="26"/>
          <w:szCs w:val="26"/>
        </w:rPr>
        <w:t>.</w:t>
      </w:r>
      <w:r w:rsidRPr="008832FB">
        <w:rPr>
          <w:rFonts w:asciiTheme="minorHAnsi" w:eastAsiaTheme="minorHAnsi" w:hAnsiTheme="minorHAnsi" w:cstheme="minorHAnsi"/>
          <w:sz w:val="26"/>
          <w:szCs w:val="26"/>
        </w:rPr>
        <w:t>, acestea fiind comunicate</w:t>
      </w:r>
      <w:r w:rsidRPr="000F0D8B">
        <w:rPr>
          <w:rFonts w:asciiTheme="minorHAnsi" w:eastAsiaTheme="minorHAnsi" w:hAnsiTheme="minorHAnsi" w:cstheme="minorHAnsi"/>
          <w:sz w:val="26"/>
          <w:szCs w:val="26"/>
        </w:rPr>
        <w:t xml:space="preserve"> </w:t>
      </w:r>
      <w:r w:rsidRPr="008832FB">
        <w:rPr>
          <w:rFonts w:asciiTheme="minorHAnsi" w:eastAsiaTheme="minorHAnsi" w:hAnsiTheme="minorHAnsi" w:cstheme="minorHAnsi"/>
          <w:sz w:val="26"/>
          <w:szCs w:val="26"/>
        </w:rPr>
        <w:t xml:space="preserve">Comisiei de organizare a concursului/examenului.  </w:t>
      </w:r>
    </w:p>
    <w:p w14:paraId="6D60D0DC" w14:textId="77777777" w:rsidR="00A23843" w:rsidRPr="008832FB" w:rsidRDefault="00A23843" w:rsidP="00A23843">
      <w:pPr>
        <w:tabs>
          <w:tab w:val="left" w:pos="709"/>
          <w:tab w:val="left" w:pos="3120"/>
        </w:tabs>
        <w:spacing w:line="276" w:lineRule="auto"/>
        <w:jc w:val="both"/>
        <w:rPr>
          <w:rFonts w:asciiTheme="minorHAnsi" w:eastAsiaTheme="minorHAnsi" w:hAnsiTheme="minorHAnsi" w:cstheme="minorHAnsi"/>
          <w:sz w:val="26"/>
          <w:szCs w:val="26"/>
          <w:shd w:val="clear" w:color="auto" w:fill="FFFFFF"/>
        </w:rPr>
      </w:pPr>
      <w:r w:rsidRPr="008832FB">
        <w:rPr>
          <w:rFonts w:asciiTheme="minorHAnsi" w:eastAsiaTheme="minorHAnsi" w:hAnsiTheme="minorHAnsi" w:cstheme="minorHAnsi"/>
          <w:sz w:val="26"/>
          <w:szCs w:val="26"/>
          <w:shd w:val="clear" w:color="auto" w:fill="FFFFFF"/>
        </w:rPr>
        <w:t xml:space="preserve">      </w:t>
      </w:r>
      <w:r>
        <w:rPr>
          <w:rFonts w:asciiTheme="minorHAnsi" w:eastAsiaTheme="minorHAnsi" w:hAnsiTheme="minorHAnsi" w:cstheme="minorHAnsi"/>
          <w:sz w:val="26"/>
          <w:szCs w:val="26"/>
          <w:shd w:val="clear" w:color="auto" w:fill="FFFFFF"/>
        </w:rPr>
        <w:tab/>
      </w:r>
      <w:r w:rsidRPr="008832FB">
        <w:rPr>
          <w:rFonts w:asciiTheme="minorHAnsi" w:eastAsiaTheme="minorHAnsi" w:hAnsiTheme="minorHAnsi" w:cstheme="minorHAnsi"/>
          <w:sz w:val="26"/>
          <w:szCs w:val="26"/>
          <w:shd w:val="clear" w:color="auto" w:fill="FFFFFF"/>
        </w:rPr>
        <w:t>Cu privire la situaţia calificativelor acordate în cadrul comisiilor de testare psihologică, aceasta se prezintă astfel:</w:t>
      </w:r>
    </w:p>
    <w:tbl>
      <w:tblPr>
        <w:tblW w:w="10060" w:type="dxa"/>
        <w:tblLook w:val="04A0" w:firstRow="1" w:lastRow="0" w:firstColumn="1" w:lastColumn="0" w:noHBand="0" w:noVBand="1"/>
      </w:tblPr>
      <w:tblGrid>
        <w:gridCol w:w="3369"/>
        <w:gridCol w:w="1446"/>
        <w:gridCol w:w="1512"/>
        <w:gridCol w:w="1058"/>
        <w:gridCol w:w="1732"/>
        <w:gridCol w:w="1064"/>
      </w:tblGrid>
      <w:tr w:rsidR="00A23843" w:rsidRPr="008832FB" w14:paraId="5F49B686" w14:textId="77777777" w:rsidTr="00A23843">
        <w:trPr>
          <w:trHeight w:val="288"/>
        </w:trPr>
        <w:tc>
          <w:tcPr>
            <w:tcW w:w="3369" w:type="dxa"/>
            <w:vMerge w:val="restart"/>
            <w:tcBorders>
              <w:top w:val="single" w:sz="4" w:space="0" w:color="auto"/>
              <w:left w:val="single" w:sz="4" w:space="0" w:color="auto"/>
              <w:right w:val="single" w:sz="4" w:space="0" w:color="auto"/>
            </w:tcBorders>
            <w:noWrap/>
            <w:vAlign w:val="bottom"/>
            <w:hideMark/>
          </w:tcPr>
          <w:p w14:paraId="36398A4C" w14:textId="77777777" w:rsidR="00A23843" w:rsidRPr="008832FB" w:rsidRDefault="00A23843" w:rsidP="00A23843">
            <w:pPr>
              <w:spacing w:line="276" w:lineRule="auto"/>
              <w:jc w:val="both"/>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Concurs</w:t>
            </w:r>
          </w:p>
          <w:p w14:paraId="587B618C" w14:textId="77777777" w:rsidR="00A23843" w:rsidRPr="008832FB" w:rsidRDefault="00A23843" w:rsidP="00A23843">
            <w:pPr>
              <w:spacing w:line="276" w:lineRule="auto"/>
              <w:jc w:val="both"/>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 </w:t>
            </w:r>
          </w:p>
        </w:tc>
        <w:tc>
          <w:tcPr>
            <w:tcW w:w="1446" w:type="dxa"/>
            <w:vMerge w:val="restart"/>
            <w:tcBorders>
              <w:top w:val="single" w:sz="4" w:space="0" w:color="auto"/>
              <w:left w:val="single" w:sz="4" w:space="0" w:color="auto"/>
              <w:bottom w:val="single" w:sz="4" w:space="0" w:color="000000"/>
              <w:right w:val="single" w:sz="4" w:space="0" w:color="auto"/>
            </w:tcBorders>
            <w:noWrap/>
            <w:vAlign w:val="bottom"/>
            <w:hideMark/>
          </w:tcPr>
          <w:p w14:paraId="105A0CD5" w14:textId="77777777" w:rsidR="00A23843" w:rsidRPr="008832FB" w:rsidRDefault="00A23843" w:rsidP="00A23843">
            <w:pPr>
              <w:spacing w:line="276" w:lineRule="auto"/>
              <w:jc w:val="center"/>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Persoane examinate</w:t>
            </w:r>
          </w:p>
        </w:tc>
        <w:tc>
          <w:tcPr>
            <w:tcW w:w="5245" w:type="dxa"/>
            <w:gridSpan w:val="4"/>
            <w:tcBorders>
              <w:top w:val="single" w:sz="4" w:space="0" w:color="auto"/>
              <w:left w:val="nil"/>
              <w:bottom w:val="single" w:sz="4" w:space="0" w:color="auto"/>
              <w:right w:val="single" w:sz="4" w:space="0" w:color="auto"/>
            </w:tcBorders>
            <w:noWrap/>
            <w:vAlign w:val="bottom"/>
            <w:hideMark/>
          </w:tcPr>
          <w:p w14:paraId="69AAFA1A" w14:textId="77777777" w:rsidR="00A23843" w:rsidRPr="008832FB" w:rsidRDefault="00A23843" w:rsidP="00A23843">
            <w:pPr>
              <w:spacing w:line="276" w:lineRule="auto"/>
              <w:jc w:val="center"/>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Calificative acordate</w:t>
            </w:r>
          </w:p>
        </w:tc>
      </w:tr>
      <w:tr w:rsidR="00A23843" w:rsidRPr="008832FB" w14:paraId="6DBD5653" w14:textId="77777777" w:rsidTr="00A23843">
        <w:trPr>
          <w:trHeight w:val="288"/>
        </w:trPr>
        <w:tc>
          <w:tcPr>
            <w:tcW w:w="3369" w:type="dxa"/>
            <w:vMerge/>
            <w:tcBorders>
              <w:left w:val="single" w:sz="4" w:space="0" w:color="auto"/>
              <w:bottom w:val="single" w:sz="4" w:space="0" w:color="auto"/>
              <w:right w:val="single" w:sz="4" w:space="0" w:color="auto"/>
            </w:tcBorders>
            <w:noWrap/>
            <w:vAlign w:val="bottom"/>
            <w:hideMark/>
          </w:tcPr>
          <w:p w14:paraId="29EC0EEB" w14:textId="77777777" w:rsidR="00A23843" w:rsidRPr="008832FB" w:rsidRDefault="00A23843" w:rsidP="00A23843">
            <w:pPr>
              <w:spacing w:line="276" w:lineRule="auto"/>
              <w:jc w:val="both"/>
              <w:rPr>
                <w:rFonts w:asciiTheme="minorHAnsi" w:hAnsiTheme="minorHAnsi" w:cstheme="minorHAnsi"/>
                <w:b/>
                <w:bCs/>
                <w:color w:val="000000"/>
                <w:sz w:val="26"/>
                <w:szCs w:val="26"/>
                <w:lang w:eastAsia="ro-RO"/>
              </w:rPr>
            </w:pPr>
          </w:p>
        </w:tc>
        <w:tc>
          <w:tcPr>
            <w:tcW w:w="1446" w:type="dxa"/>
            <w:vMerge/>
            <w:tcBorders>
              <w:top w:val="single" w:sz="4" w:space="0" w:color="auto"/>
              <w:left w:val="single" w:sz="4" w:space="0" w:color="auto"/>
              <w:bottom w:val="single" w:sz="4" w:space="0" w:color="000000"/>
              <w:right w:val="single" w:sz="4" w:space="0" w:color="auto"/>
            </w:tcBorders>
            <w:vAlign w:val="center"/>
            <w:hideMark/>
          </w:tcPr>
          <w:p w14:paraId="600517D9" w14:textId="77777777" w:rsidR="00A23843" w:rsidRPr="008832FB" w:rsidRDefault="00A23843" w:rsidP="00A23843">
            <w:pPr>
              <w:spacing w:line="276" w:lineRule="auto"/>
              <w:jc w:val="both"/>
              <w:rPr>
                <w:rFonts w:asciiTheme="minorHAnsi" w:hAnsiTheme="minorHAnsi" w:cstheme="minorHAnsi"/>
                <w:b/>
                <w:bCs/>
                <w:color w:val="000000"/>
                <w:sz w:val="26"/>
                <w:szCs w:val="26"/>
                <w:lang w:eastAsia="ro-RO"/>
              </w:rPr>
            </w:pPr>
          </w:p>
        </w:tc>
        <w:tc>
          <w:tcPr>
            <w:tcW w:w="1512" w:type="dxa"/>
            <w:tcBorders>
              <w:top w:val="nil"/>
              <w:left w:val="nil"/>
              <w:bottom w:val="single" w:sz="4" w:space="0" w:color="auto"/>
              <w:right w:val="single" w:sz="4" w:space="0" w:color="auto"/>
            </w:tcBorders>
            <w:noWrap/>
            <w:vAlign w:val="bottom"/>
            <w:hideMark/>
          </w:tcPr>
          <w:p w14:paraId="3E70CECD" w14:textId="77777777" w:rsidR="00A23843" w:rsidRPr="008832FB" w:rsidRDefault="00A23843" w:rsidP="00A23843">
            <w:pPr>
              <w:spacing w:line="276" w:lineRule="auto"/>
              <w:jc w:val="center"/>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apt</w:t>
            </w:r>
          </w:p>
        </w:tc>
        <w:tc>
          <w:tcPr>
            <w:tcW w:w="937" w:type="dxa"/>
            <w:tcBorders>
              <w:top w:val="nil"/>
              <w:left w:val="nil"/>
              <w:bottom w:val="single" w:sz="4" w:space="0" w:color="auto"/>
              <w:right w:val="single" w:sz="4" w:space="0" w:color="auto"/>
            </w:tcBorders>
            <w:noWrap/>
            <w:vAlign w:val="bottom"/>
            <w:hideMark/>
          </w:tcPr>
          <w:p w14:paraId="08BA68B1" w14:textId="77777777" w:rsidR="00A23843" w:rsidRPr="008832FB" w:rsidRDefault="00A23843" w:rsidP="00A23843">
            <w:pPr>
              <w:spacing w:line="276" w:lineRule="auto"/>
              <w:jc w:val="both"/>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procent</w:t>
            </w:r>
          </w:p>
        </w:tc>
        <w:tc>
          <w:tcPr>
            <w:tcW w:w="1732" w:type="dxa"/>
            <w:tcBorders>
              <w:top w:val="nil"/>
              <w:left w:val="nil"/>
              <w:bottom w:val="single" w:sz="4" w:space="0" w:color="auto"/>
              <w:right w:val="single" w:sz="4" w:space="0" w:color="auto"/>
            </w:tcBorders>
            <w:noWrap/>
            <w:vAlign w:val="bottom"/>
            <w:hideMark/>
          </w:tcPr>
          <w:p w14:paraId="724EF616" w14:textId="77777777" w:rsidR="00A23843" w:rsidRPr="008832FB" w:rsidRDefault="00A23843" w:rsidP="00A23843">
            <w:pPr>
              <w:spacing w:line="276" w:lineRule="auto"/>
              <w:jc w:val="center"/>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inapt</w:t>
            </w:r>
          </w:p>
        </w:tc>
        <w:tc>
          <w:tcPr>
            <w:tcW w:w="1064" w:type="dxa"/>
            <w:tcBorders>
              <w:top w:val="nil"/>
              <w:left w:val="nil"/>
              <w:bottom w:val="single" w:sz="4" w:space="0" w:color="auto"/>
              <w:right w:val="single" w:sz="4" w:space="0" w:color="auto"/>
            </w:tcBorders>
            <w:noWrap/>
            <w:vAlign w:val="bottom"/>
            <w:hideMark/>
          </w:tcPr>
          <w:p w14:paraId="5A439523" w14:textId="77777777" w:rsidR="00A23843" w:rsidRPr="008832FB" w:rsidRDefault="00A23843" w:rsidP="00A23843">
            <w:pPr>
              <w:spacing w:line="276" w:lineRule="auto"/>
              <w:jc w:val="both"/>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procent</w:t>
            </w:r>
          </w:p>
        </w:tc>
      </w:tr>
      <w:tr w:rsidR="00A23843" w:rsidRPr="008832FB" w14:paraId="6C88A056" w14:textId="77777777" w:rsidTr="00A23843">
        <w:trPr>
          <w:trHeight w:val="735"/>
        </w:trPr>
        <w:tc>
          <w:tcPr>
            <w:tcW w:w="3369" w:type="dxa"/>
            <w:tcBorders>
              <w:top w:val="nil"/>
              <w:left w:val="single" w:sz="4" w:space="0" w:color="auto"/>
              <w:bottom w:val="single" w:sz="4" w:space="0" w:color="auto"/>
              <w:right w:val="single" w:sz="4" w:space="0" w:color="auto"/>
            </w:tcBorders>
            <w:noWrap/>
            <w:vAlign w:val="bottom"/>
            <w:hideMark/>
          </w:tcPr>
          <w:p w14:paraId="13A59C9A" w14:textId="77777777" w:rsidR="00A23843" w:rsidRPr="008832FB" w:rsidRDefault="00A23843" w:rsidP="00A23843">
            <w:pPr>
              <w:spacing w:line="276" w:lineRule="auto"/>
              <w:jc w:val="both"/>
              <w:rPr>
                <w:rFonts w:asciiTheme="minorHAnsi" w:hAnsiTheme="minorHAnsi" w:cstheme="minorHAnsi"/>
                <w:color w:val="000000"/>
                <w:sz w:val="26"/>
                <w:szCs w:val="26"/>
                <w:lang w:eastAsia="ro-RO"/>
              </w:rPr>
            </w:pPr>
            <w:r w:rsidRPr="008832FB">
              <w:rPr>
                <w:rFonts w:asciiTheme="minorHAnsi" w:hAnsiTheme="minorHAnsi" w:cstheme="minorHAnsi"/>
                <w:color w:val="000000"/>
                <w:sz w:val="26"/>
                <w:szCs w:val="26"/>
                <w:lang w:eastAsia="ro-RO"/>
              </w:rPr>
              <w:t>numirea în funcții de conducere a judecătorilor</w:t>
            </w:r>
          </w:p>
        </w:tc>
        <w:tc>
          <w:tcPr>
            <w:tcW w:w="1446" w:type="dxa"/>
            <w:tcBorders>
              <w:top w:val="single" w:sz="4" w:space="0" w:color="auto"/>
              <w:left w:val="single" w:sz="4" w:space="0" w:color="auto"/>
              <w:bottom w:val="single" w:sz="4" w:space="0" w:color="auto"/>
              <w:right w:val="single" w:sz="4" w:space="0" w:color="auto"/>
            </w:tcBorders>
            <w:noWrap/>
            <w:vAlign w:val="bottom"/>
          </w:tcPr>
          <w:p w14:paraId="53756988" w14:textId="77777777" w:rsidR="00A23843" w:rsidRPr="008832FB" w:rsidRDefault="00A23843" w:rsidP="00A23843">
            <w:pPr>
              <w:spacing w:line="276" w:lineRule="auto"/>
              <w:jc w:val="center"/>
              <w:rPr>
                <w:rFonts w:asciiTheme="minorHAnsi" w:hAnsiTheme="minorHAnsi" w:cstheme="minorHAnsi"/>
                <w:color w:val="000000"/>
                <w:sz w:val="26"/>
                <w:szCs w:val="26"/>
                <w:lang w:eastAsia="ro-RO"/>
              </w:rPr>
            </w:pPr>
            <w:r w:rsidRPr="008832FB">
              <w:rPr>
                <w:rFonts w:asciiTheme="minorHAnsi" w:eastAsiaTheme="minorHAnsi" w:hAnsiTheme="minorHAnsi" w:cstheme="minorHAnsi"/>
                <w:color w:val="000000"/>
                <w:sz w:val="26"/>
                <w:szCs w:val="26"/>
              </w:rPr>
              <w:t>58</w:t>
            </w:r>
          </w:p>
        </w:tc>
        <w:tc>
          <w:tcPr>
            <w:tcW w:w="1512" w:type="dxa"/>
            <w:tcBorders>
              <w:top w:val="single" w:sz="4" w:space="0" w:color="auto"/>
              <w:left w:val="nil"/>
              <w:bottom w:val="single" w:sz="4" w:space="0" w:color="auto"/>
              <w:right w:val="single" w:sz="4" w:space="0" w:color="auto"/>
            </w:tcBorders>
            <w:noWrap/>
            <w:vAlign w:val="bottom"/>
          </w:tcPr>
          <w:p w14:paraId="5A5E58FA"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54</w:t>
            </w:r>
          </w:p>
        </w:tc>
        <w:tc>
          <w:tcPr>
            <w:tcW w:w="937" w:type="dxa"/>
            <w:tcBorders>
              <w:top w:val="single" w:sz="4" w:space="0" w:color="auto"/>
              <w:left w:val="nil"/>
              <w:bottom w:val="single" w:sz="4" w:space="0" w:color="auto"/>
              <w:right w:val="single" w:sz="4" w:space="0" w:color="auto"/>
            </w:tcBorders>
            <w:noWrap/>
            <w:vAlign w:val="bottom"/>
          </w:tcPr>
          <w:p w14:paraId="70884F1A"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93,10%</w:t>
            </w:r>
          </w:p>
        </w:tc>
        <w:tc>
          <w:tcPr>
            <w:tcW w:w="1732" w:type="dxa"/>
            <w:tcBorders>
              <w:top w:val="single" w:sz="4" w:space="0" w:color="auto"/>
              <w:left w:val="nil"/>
              <w:bottom w:val="single" w:sz="4" w:space="0" w:color="auto"/>
              <w:right w:val="single" w:sz="4" w:space="0" w:color="auto"/>
            </w:tcBorders>
            <w:noWrap/>
            <w:vAlign w:val="bottom"/>
          </w:tcPr>
          <w:p w14:paraId="384F81F2"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4</w:t>
            </w:r>
          </w:p>
        </w:tc>
        <w:tc>
          <w:tcPr>
            <w:tcW w:w="1064" w:type="dxa"/>
            <w:tcBorders>
              <w:top w:val="single" w:sz="4" w:space="0" w:color="auto"/>
              <w:left w:val="nil"/>
              <w:bottom w:val="single" w:sz="4" w:space="0" w:color="auto"/>
              <w:right w:val="single" w:sz="4" w:space="0" w:color="auto"/>
            </w:tcBorders>
            <w:noWrap/>
            <w:vAlign w:val="bottom"/>
          </w:tcPr>
          <w:p w14:paraId="5D38F129"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6,90%</w:t>
            </w:r>
          </w:p>
        </w:tc>
      </w:tr>
      <w:tr w:rsidR="00A23843" w:rsidRPr="008832FB" w14:paraId="487FAC96" w14:textId="77777777" w:rsidTr="00A23843">
        <w:trPr>
          <w:trHeight w:val="703"/>
        </w:trPr>
        <w:tc>
          <w:tcPr>
            <w:tcW w:w="3369" w:type="dxa"/>
            <w:tcBorders>
              <w:top w:val="nil"/>
              <w:left w:val="single" w:sz="4" w:space="0" w:color="auto"/>
              <w:bottom w:val="single" w:sz="4" w:space="0" w:color="auto"/>
              <w:right w:val="single" w:sz="4" w:space="0" w:color="auto"/>
            </w:tcBorders>
            <w:noWrap/>
            <w:vAlign w:val="bottom"/>
            <w:hideMark/>
          </w:tcPr>
          <w:p w14:paraId="507BF967" w14:textId="77777777" w:rsidR="00A23843" w:rsidRPr="008832FB" w:rsidRDefault="00A23843" w:rsidP="00A23843">
            <w:pPr>
              <w:spacing w:line="276" w:lineRule="auto"/>
              <w:jc w:val="both"/>
              <w:rPr>
                <w:rFonts w:asciiTheme="minorHAnsi" w:hAnsiTheme="minorHAnsi" w:cstheme="minorHAnsi"/>
                <w:color w:val="000000"/>
                <w:sz w:val="26"/>
                <w:szCs w:val="26"/>
                <w:lang w:eastAsia="ro-RO"/>
              </w:rPr>
            </w:pPr>
            <w:r w:rsidRPr="008832FB">
              <w:rPr>
                <w:rFonts w:asciiTheme="minorHAnsi" w:hAnsiTheme="minorHAnsi" w:cstheme="minorHAnsi"/>
                <w:color w:val="000000"/>
                <w:sz w:val="26"/>
                <w:szCs w:val="26"/>
                <w:lang w:eastAsia="ro-RO"/>
              </w:rPr>
              <w:t>numirea  în func</w:t>
            </w:r>
            <w:r w:rsidRPr="000F0D8B">
              <w:rPr>
                <w:rFonts w:asciiTheme="minorHAnsi" w:hAnsiTheme="minorHAnsi" w:cstheme="minorHAnsi"/>
                <w:color w:val="000000"/>
                <w:sz w:val="26"/>
                <w:szCs w:val="26"/>
                <w:lang w:eastAsia="ro-RO"/>
              </w:rPr>
              <w:t>ț</w:t>
            </w:r>
            <w:r w:rsidRPr="008832FB">
              <w:rPr>
                <w:rFonts w:asciiTheme="minorHAnsi" w:hAnsiTheme="minorHAnsi" w:cstheme="minorHAnsi"/>
                <w:color w:val="000000"/>
                <w:sz w:val="26"/>
                <w:szCs w:val="26"/>
                <w:lang w:eastAsia="ro-RO"/>
              </w:rPr>
              <w:t>ii de conducere a procurorilor</w:t>
            </w:r>
          </w:p>
        </w:tc>
        <w:tc>
          <w:tcPr>
            <w:tcW w:w="1446" w:type="dxa"/>
            <w:tcBorders>
              <w:top w:val="single" w:sz="4" w:space="0" w:color="auto"/>
              <w:left w:val="single" w:sz="4" w:space="0" w:color="auto"/>
              <w:bottom w:val="single" w:sz="4" w:space="0" w:color="auto"/>
              <w:right w:val="single" w:sz="4" w:space="0" w:color="auto"/>
            </w:tcBorders>
            <w:noWrap/>
            <w:vAlign w:val="bottom"/>
          </w:tcPr>
          <w:p w14:paraId="3F1BCF7E" w14:textId="77777777" w:rsidR="00A23843" w:rsidRPr="008832FB" w:rsidRDefault="00A23843" w:rsidP="00A23843">
            <w:pPr>
              <w:spacing w:line="276" w:lineRule="auto"/>
              <w:jc w:val="center"/>
              <w:rPr>
                <w:rFonts w:asciiTheme="minorHAnsi" w:hAnsiTheme="minorHAnsi" w:cstheme="minorHAnsi"/>
                <w:color w:val="000000"/>
                <w:sz w:val="26"/>
                <w:szCs w:val="26"/>
                <w:lang w:eastAsia="ro-RO"/>
              </w:rPr>
            </w:pPr>
            <w:r w:rsidRPr="008832FB">
              <w:rPr>
                <w:rFonts w:asciiTheme="minorHAnsi" w:eastAsiaTheme="minorHAnsi" w:hAnsiTheme="minorHAnsi" w:cstheme="minorHAnsi"/>
                <w:color w:val="000000"/>
                <w:sz w:val="26"/>
                <w:szCs w:val="26"/>
              </w:rPr>
              <w:t>50</w:t>
            </w:r>
          </w:p>
        </w:tc>
        <w:tc>
          <w:tcPr>
            <w:tcW w:w="1512" w:type="dxa"/>
            <w:tcBorders>
              <w:top w:val="single" w:sz="4" w:space="0" w:color="auto"/>
              <w:left w:val="nil"/>
              <w:bottom w:val="single" w:sz="4" w:space="0" w:color="auto"/>
              <w:right w:val="single" w:sz="4" w:space="0" w:color="auto"/>
            </w:tcBorders>
            <w:noWrap/>
            <w:vAlign w:val="bottom"/>
          </w:tcPr>
          <w:p w14:paraId="28F3DDE8"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49</w:t>
            </w:r>
          </w:p>
        </w:tc>
        <w:tc>
          <w:tcPr>
            <w:tcW w:w="937" w:type="dxa"/>
            <w:tcBorders>
              <w:top w:val="single" w:sz="4" w:space="0" w:color="auto"/>
              <w:left w:val="nil"/>
              <w:bottom w:val="single" w:sz="4" w:space="0" w:color="auto"/>
              <w:right w:val="single" w:sz="4" w:space="0" w:color="auto"/>
            </w:tcBorders>
            <w:noWrap/>
            <w:vAlign w:val="bottom"/>
          </w:tcPr>
          <w:p w14:paraId="2E94CB8C"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98,00%</w:t>
            </w:r>
          </w:p>
        </w:tc>
        <w:tc>
          <w:tcPr>
            <w:tcW w:w="1732" w:type="dxa"/>
            <w:tcBorders>
              <w:top w:val="single" w:sz="4" w:space="0" w:color="auto"/>
              <w:left w:val="nil"/>
              <w:bottom w:val="single" w:sz="4" w:space="0" w:color="auto"/>
              <w:right w:val="single" w:sz="4" w:space="0" w:color="auto"/>
            </w:tcBorders>
            <w:noWrap/>
            <w:vAlign w:val="bottom"/>
          </w:tcPr>
          <w:p w14:paraId="1D519187"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1</w:t>
            </w:r>
          </w:p>
        </w:tc>
        <w:tc>
          <w:tcPr>
            <w:tcW w:w="1064" w:type="dxa"/>
            <w:tcBorders>
              <w:top w:val="single" w:sz="4" w:space="0" w:color="auto"/>
              <w:left w:val="nil"/>
              <w:bottom w:val="single" w:sz="4" w:space="0" w:color="auto"/>
              <w:right w:val="single" w:sz="4" w:space="0" w:color="auto"/>
            </w:tcBorders>
            <w:noWrap/>
            <w:vAlign w:val="bottom"/>
          </w:tcPr>
          <w:p w14:paraId="5D48AF73"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2,00%</w:t>
            </w:r>
          </w:p>
        </w:tc>
      </w:tr>
      <w:tr w:rsidR="00A23843" w:rsidRPr="008832FB" w14:paraId="58B09171" w14:textId="77777777" w:rsidTr="00A23843">
        <w:trPr>
          <w:trHeight w:val="468"/>
        </w:trPr>
        <w:tc>
          <w:tcPr>
            <w:tcW w:w="3369" w:type="dxa"/>
            <w:tcBorders>
              <w:top w:val="nil"/>
              <w:left w:val="single" w:sz="4" w:space="0" w:color="auto"/>
              <w:bottom w:val="single" w:sz="4" w:space="0" w:color="auto"/>
              <w:right w:val="single" w:sz="4" w:space="0" w:color="auto"/>
            </w:tcBorders>
            <w:noWrap/>
            <w:vAlign w:val="bottom"/>
            <w:hideMark/>
          </w:tcPr>
          <w:p w14:paraId="650CE037" w14:textId="77777777" w:rsidR="00A23843" w:rsidRPr="008832FB" w:rsidRDefault="00A23843" w:rsidP="00A23843">
            <w:pPr>
              <w:spacing w:line="276" w:lineRule="auto"/>
              <w:jc w:val="both"/>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Total</w:t>
            </w:r>
          </w:p>
        </w:tc>
        <w:tc>
          <w:tcPr>
            <w:tcW w:w="1446" w:type="dxa"/>
            <w:tcBorders>
              <w:top w:val="single" w:sz="4" w:space="0" w:color="auto"/>
              <w:left w:val="single" w:sz="4" w:space="0" w:color="auto"/>
              <w:bottom w:val="single" w:sz="4" w:space="0" w:color="auto"/>
              <w:right w:val="single" w:sz="4" w:space="0" w:color="auto"/>
            </w:tcBorders>
            <w:noWrap/>
            <w:vAlign w:val="bottom"/>
          </w:tcPr>
          <w:p w14:paraId="3A028322" w14:textId="77777777" w:rsidR="00A23843" w:rsidRPr="008832FB" w:rsidRDefault="00A23843" w:rsidP="00A23843">
            <w:pPr>
              <w:spacing w:line="276" w:lineRule="auto"/>
              <w:jc w:val="center"/>
              <w:rPr>
                <w:rFonts w:asciiTheme="minorHAnsi" w:hAnsiTheme="minorHAnsi" w:cstheme="minorHAnsi"/>
                <w:b/>
                <w:bCs/>
                <w:color w:val="000000"/>
                <w:sz w:val="26"/>
                <w:szCs w:val="26"/>
                <w:lang w:eastAsia="ro-RO"/>
              </w:rPr>
            </w:pPr>
            <w:r w:rsidRPr="008832FB">
              <w:rPr>
                <w:rFonts w:asciiTheme="minorHAnsi" w:eastAsiaTheme="minorHAnsi" w:hAnsiTheme="minorHAnsi" w:cstheme="minorHAnsi"/>
                <w:color w:val="000000"/>
                <w:sz w:val="26"/>
                <w:szCs w:val="26"/>
              </w:rPr>
              <w:t>108</w:t>
            </w:r>
          </w:p>
        </w:tc>
        <w:tc>
          <w:tcPr>
            <w:tcW w:w="1512" w:type="dxa"/>
            <w:tcBorders>
              <w:top w:val="single" w:sz="4" w:space="0" w:color="auto"/>
              <w:left w:val="nil"/>
              <w:bottom w:val="single" w:sz="4" w:space="0" w:color="auto"/>
              <w:right w:val="single" w:sz="4" w:space="0" w:color="auto"/>
            </w:tcBorders>
            <w:noWrap/>
            <w:vAlign w:val="bottom"/>
          </w:tcPr>
          <w:p w14:paraId="0D6D9170" w14:textId="77777777" w:rsidR="00A23843" w:rsidRPr="008832FB" w:rsidRDefault="00A23843" w:rsidP="00A23843">
            <w:pPr>
              <w:spacing w:line="276" w:lineRule="auto"/>
              <w:jc w:val="center"/>
              <w:rPr>
                <w:rFonts w:asciiTheme="minorHAnsi" w:eastAsiaTheme="minorHAnsi" w:hAnsiTheme="minorHAnsi" w:cstheme="minorHAnsi"/>
                <w:b/>
                <w:bCs/>
                <w:color w:val="000000"/>
                <w:sz w:val="26"/>
                <w:szCs w:val="26"/>
              </w:rPr>
            </w:pPr>
            <w:r w:rsidRPr="008832FB">
              <w:rPr>
                <w:rFonts w:asciiTheme="minorHAnsi" w:eastAsiaTheme="minorHAnsi" w:hAnsiTheme="minorHAnsi" w:cstheme="minorHAnsi"/>
                <w:color w:val="000000"/>
                <w:sz w:val="26"/>
                <w:szCs w:val="26"/>
              </w:rPr>
              <w:t>103</w:t>
            </w:r>
          </w:p>
        </w:tc>
        <w:tc>
          <w:tcPr>
            <w:tcW w:w="937" w:type="dxa"/>
            <w:tcBorders>
              <w:top w:val="single" w:sz="4" w:space="0" w:color="auto"/>
              <w:left w:val="nil"/>
              <w:bottom w:val="single" w:sz="4" w:space="0" w:color="auto"/>
              <w:right w:val="single" w:sz="4" w:space="0" w:color="auto"/>
            </w:tcBorders>
            <w:noWrap/>
            <w:vAlign w:val="bottom"/>
          </w:tcPr>
          <w:p w14:paraId="3F71203F"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95,37%</w:t>
            </w:r>
          </w:p>
        </w:tc>
        <w:tc>
          <w:tcPr>
            <w:tcW w:w="1732" w:type="dxa"/>
            <w:tcBorders>
              <w:top w:val="single" w:sz="4" w:space="0" w:color="auto"/>
              <w:left w:val="nil"/>
              <w:bottom w:val="single" w:sz="4" w:space="0" w:color="auto"/>
              <w:right w:val="single" w:sz="4" w:space="0" w:color="auto"/>
            </w:tcBorders>
            <w:noWrap/>
            <w:vAlign w:val="bottom"/>
          </w:tcPr>
          <w:p w14:paraId="71EEF151" w14:textId="77777777" w:rsidR="00A23843" w:rsidRPr="008832FB" w:rsidRDefault="00A23843" w:rsidP="00A23843">
            <w:pPr>
              <w:spacing w:line="276" w:lineRule="auto"/>
              <w:jc w:val="center"/>
              <w:rPr>
                <w:rFonts w:asciiTheme="minorHAnsi" w:eastAsiaTheme="minorHAnsi" w:hAnsiTheme="minorHAnsi" w:cstheme="minorHAnsi"/>
                <w:b/>
                <w:bCs/>
                <w:color w:val="000000"/>
                <w:sz w:val="26"/>
                <w:szCs w:val="26"/>
              </w:rPr>
            </w:pPr>
            <w:r w:rsidRPr="008832FB">
              <w:rPr>
                <w:rFonts w:asciiTheme="minorHAnsi" w:eastAsiaTheme="minorHAnsi" w:hAnsiTheme="minorHAnsi" w:cstheme="minorHAnsi"/>
                <w:color w:val="000000"/>
                <w:sz w:val="26"/>
                <w:szCs w:val="26"/>
              </w:rPr>
              <w:t>5</w:t>
            </w:r>
          </w:p>
        </w:tc>
        <w:tc>
          <w:tcPr>
            <w:tcW w:w="1064" w:type="dxa"/>
            <w:tcBorders>
              <w:top w:val="single" w:sz="4" w:space="0" w:color="auto"/>
              <w:left w:val="nil"/>
              <w:bottom w:val="single" w:sz="4" w:space="0" w:color="auto"/>
              <w:right w:val="single" w:sz="4" w:space="0" w:color="auto"/>
            </w:tcBorders>
            <w:noWrap/>
            <w:vAlign w:val="bottom"/>
          </w:tcPr>
          <w:p w14:paraId="76ACA7DC"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4,63%</w:t>
            </w:r>
          </w:p>
        </w:tc>
      </w:tr>
    </w:tbl>
    <w:p w14:paraId="08C872E5" w14:textId="77777777" w:rsidR="00A23843" w:rsidRPr="008832FB" w:rsidRDefault="00A23843" w:rsidP="00A23843">
      <w:pPr>
        <w:tabs>
          <w:tab w:val="left" w:pos="3120"/>
        </w:tabs>
        <w:spacing w:line="276" w:lineRule="auto"/>
        <w:jc w:val="both"/>
        <w:rPr>
          <w:rFonts w:asciiTheme="minorHAnsi" w:eastAsiaTheme="minorHAnsi" w:hAnsiTheme="minorHAnsi" w:cstheme="minorHAnsi"/>
          <w:sz w:val="26"/>
          <w:szCs w:val="26"/>
          <w:shd w:val="clear" w:color="auto" w:fill="FFFFFF"/>
        </w:rPr>
      </w:pPr>
    </w:p>
    <w:tbl>
      <w:tblPr>
        <w:tblW w:w="10053" w:type="dxa"/>
        <w:tblLook w:val="04A0" w:firstRow="1" w:lastRow="0" w:firstColumn="1" w:lastColumn="0" w:noHBand="0" w:noVBand="1"/>
      </w:tblPr>
      <w:tblGrid>
        <w:gridCol w:w="3369"/>
        <w:gridCol w:w="1446"/>
        <w:gridCol w:w="1559"/>
        <w:gridCol w:w="1126"/>
        <w:gridCol w:w="1615"/>
        <w:gridCol w:w="1078"/>
      </w:tblGrid>
      <w:tr w:rsidR="00A23843" w:rsidRPr="008832FB" w14:paraId="6A8214E6" w14:textId="77777777" w:rsidTr="00A23843">
        <w:trPr>
          <w:trHeight w:val="288"/>
        </w:trPr>
        <w:tc>
          <w:tcPr>
            <w:tcW w:w="3369" w:type="dxa"/>
            <w:vMerge w:val="restart"/>
            <w:tcBorders>
              <w:top w:val="single" w:sz="4" w:space="0" w:color="auto"/>
              <w:left w:val="single" w:sz="4" w:space="0" w:color="auto"/>
              <w:right w:val="single" w:sz="4" w:space="0" w:color="auto"/>
            </w:tcBorders>
            <w:noWrap/>
            <w:vAlign w:val="bottom"/>
            <w:hideMark/>
          </w:tcPr>
          <w:p w14:paraId="0CEC82AD" w14:textId="77777777" w:rsidR="00A23843" w:rsidRPr="008832FB" w:rsidRDefault="00A23843" w:rsidP="00A23843">
            <w:pPr>
              <w:spacing w:line="276" w:lineRule="auto"/>
              <w:jc w:val="both"/>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Concurs/procedur</w:t>
            </w:r>
            <w:r w:rsidRPr="000F0D8B">
              <w:rPr>
                <w:rFonts w:asciiTheme="minorHAnsi" w:hAnsiTheme="minorHAnsi" w:cstheme="minorHAnsi"/>
                <w:b/>
                <w:bCs/>
                <w:color w:val="000000"/>
                <w:sz w:val="26"/>
                <w:szCs w:val="26"/>
                <w:lang w:eastAsia="ro-RO"/>
              </w:rPr>
              <w:t>ă</w:t>
            </w:r>
          </w:p>
          <w:p w14:paraId="685DE543" w14:textId="77777777" w:rsidR="00A23843" w:rsidRPr="008832FB" w:rsidRDefault="00A23843" w:rsidP="00A23843">
            <w:pPr>
              <w:spacing w:line="276" w:lineRule="auto"/>
              <w:jc w:val="both"/>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 </w:t>
            </w:r>
          </w:p>
        </w:tc>
        <w:tc>
          <w:tcPr>
            <w:tcW w:w="1446" w:type="dxa"/>
            <w:vMerge w:val="restart"/>
            <w:tcBorders>
              <w:top w:val="single" w:sz="4" w:space="0" w:color="auto"/>
              <w:left w:val="single" w:sz="4" w:space="0" w:color="auto"/>
              <w:bottom w:val="single" w:sz="4" w:space="0" w:color="000000"/>
              <w:right w:val="single" w:sz="4" w:space="0" w:color="auto"/>
            </w:tcBorders>
            <w:noWrap/>
            <w:vAlign w:val="bottom"/>
            <w:hideMark/>
          </w:tcPr>
          <w:p w14:paraId="753120F1" w14:textId="77777777" w:rsidR="00A23843" w:rsidRPr="008832FB" w:rsidRDefault="00A23843" w:rsidP="00A23843">
            <w:pPr>
              <w:spacing w:line="276" w:lineRule="auto"/>
              <w:jc w:val="center"/>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Persoane examinate</w:t>
            </w:r>
          </w:p>
        </w:tc>
        <w:tc>
          <w:tcPr>
            <w:tcW w:w="5238" w:type="dxa"/>
            <w:gridSpan w:val="4"/>
            <w:tcBorders>
              <w:top w:val="single" w:sz="4" w:space="0" w:color="auto"/>
              <w:left w:val="nil"/>
              <w:bottom w:val="single" w:sz="4" w:space="0" w:color="auto"/>
              <w:right w:val="single" w:sz="4" w:space="0" w:color="auto"/>
            </w:tcBorders>
            <w:noWrap/>
            <w:vAlign w:val="bottom"/>
            <w:hideMark/>
          </w:tcPr>
          <w:p w14:paraId="78C9A313" w14:textId="77777777" w:rsidR="00A23843" w:rsidRPr="008832FB" w:rsidRDefault="00A23843" w:rsidP="00A23843">
            <w:pPr>
              <w:spacing w:line="276" w:lineRule="auto"/>
              <w:jc w:val="center"/>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Calificative acordate</w:t>
            </w:r>
          </w:p>
        </w:tc>
      </w:tr>
      <w:tr w:rsidR="00A23843" w:rsidRPr="008832FB" w14:paraId="5913CFDA" w14:textId="77777777" w:rsidTr="00A23843">
        <w:trPr>
          <w:trHeight w:val="288"/>
        </w:trPr>
        <w:tc>
          <w:tcPr>
            <w:tcW w:w="3369" w:type="dxa"/>
            <w:vMerge/>
            <w:tcBorders>
              <w:left w:val="single" w:sz="4" w:space="0" w:color="auto"/>
              <w:bottom w:val="single" w:sz="4" w:space="0" w:color="auto"/>
              <w:right w:val="single" w:sz="4" w:space="0" w:color="auto"/>
            </w:tcBorders>
            <w:noWrap/>
            <w:vAlign w:val="bottom"/>
            <w:hideMark/>
          </w:tcPr>
          <w:p w14:paraId="1B68A548" w14:textId="77777777" w:rsidR="00A23843" w:rsidRPr="008832FB" w:rsidRDefault="00A23843" w:rsidP="00A23843">
            <w:pPr>
              <w:spacing w:line="276" w:lineRule="auto"/>
              <w:jc w:val="both"/>
              <w:rPr>
                <w:rFonts w:asciiTheme="minorHAnsi" w:hAnsiTheme="minorHAnsi" w:cstheme="minorHAnsi"/>
                <w:b/>
                <w:bCs/>
                <w:color w:val="000000"/>
                <w:sz w:val="26"/>
                <w:szCs w:val="26"/>
                <w:lang w:eastAsia="ro-RO"/>
              </w:rPr>
            </w:pPr>
          </w:p>
        </w:tc>
        <w:tc>
          <w:tcPr>
            <w:tcW w:w="1446" w:type="dxa"/>
            <w:vMerge/>
            <w:tcBorders>
              <w:top w:val="single" w:sz="4" w:space="0" w:color="auto"/>
              <w:left w:val="single" w:sz="4" w:space="0" w:color="auto"/>
              <w:bottom w:val="single" w:sz="4" w:space="0" w:color="000000"/>
              <w:right w:val="single" w:sz="4" w:space="0" w:color="auto"/>
            </w:tcBorders>
            <w:vAlign w:val="center"/>
            <w:hideMark/>
          </w:tcPr>
          <w:p w14:paraId="189979F3" w14:textId="77777777" w:rsidR="00A23843" w:rsidRPr="008832FB" w:rsidRDefault="00A23843" w:rsidP="00A23843">
            <w:pPr>
              <w:spacing w:line="276" w:lineRule="auto"/>
              <w:jc w:val="center"/>
              <w:rPr>
                <w:rFonts w:asciiTheme="minorHAnsi" w:hAnsiTheme="minorHAnsi" w:cstheme="minorHAnsi"/>
                <w:b/>
                <w:bCs/>
                <w:color w:val="000000"/>
                <w:sz w:val="26"/>
                <w:szCs w:val="26"/>
                <w:lang w:eastAsia="ro-RO"/>
              </w:rPr>
            </w:pPr>
          </w:p>
        </w:tc>
        <w:tc>
          <w:tcPr>
            <w:tcW w:w="1559" w:type="dxa"/>
            <w:tcBorders>
              <w:top w:val="nil"/>
              <w:left w:val="nil"/>
              <w:bottom w:val="single" w:sz="4" w:space="0" w:color="auto"/>
              <w:right w:val="single" w:sz="4" w:space="0" w:color="auto"/>
            </w:tcBorders>
            <w:noWrap/>
            <w:vAlign w:val="bottom"/>
            <w:hideMark/>
          </w:tcPr>
          <w:p w14:paraId="52E81AFF" w14:textId="77777777" w:rsidR="00A23843" w:rsidRPr="008832FB" w:rsidRDefault="00A23843" w:rsidP="00A23843">
            <w:pPr>
              <w:spacing w:line="276" w:lineRule="auto"/>
              <w:jc w:val="center"/>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admis</w:t>
            </w:r>
          </w:p>
        </w:tc>
        <w:tc>
          <w:tcPr>
            <w:tcW w:w="986" w:type="dxa"/>
            <w:tcBorders>
              <w:top w:val="nil"/>
              <w:left w:val="nil"/>
              <w:bottom w:val="single" w:sz="4" w:space="0" w:color="auto"/>
              <w:right w:val="single" w:sz="4" w:space="0" w:color="auto"/>
            </w:tcBorders>
            <w:noWrap/>
            <w:vAlign w:val="bottom"/>
            <w:hideMark/>
          </w:tcPr>
          <w:p w14:paraId="2D607990" w14:textId="77777777" w:rsidR="00A23843" w:rsidRPr="008832FB" w:rsidRDefault="00A23843" w:rsidP="00A23843">
            <w:pPr>
              <w:spacing w:line="276" w:lineRule="auto"/>
              <w:jc w:val="center"/>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procent</w:t>
            </w:r>
          </w:p>
        </w:tc>
        <w:tc>
          <w:tcPr>
            <w:tcW w:w="1615" w:type="dxa"/>
            <w:tcBorders>
              <w:top w:val="nil"/>
              <w:left w:val="nil"/>
              <w:bottom w:val="single" w:sz="4" w:space="0" w:color="auto"/>
              <w:right w:val="single" w:sz="4" w:space="0" w:color="auto"/>
            </w:tcBorders>
            <w:noWrap/>
            <w:vAlign w:val="bottom"/>
            <w:hideMark/>
          </w:tcPr>
          <w:p w14:paraId="69244361" w14:textId="77777777" w:rsidR="00A23843" w:rsidRPr="008832FB" w:rsidRDefault="00A23843" w:rsidP="00A23843">
            <w:pPr>
              <w:spacing w:line="276" w:lineRule="auto"/>
              <w:jc w:val="center"/>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respins</w:t>
            </w:r>
          </w:p>
        </w:tc>
        <w:tc>
          <w:tcPr>
            <w:tcW w:w="1078" w:type="dxa"/>
            <w:tcBorders>
              <w:top w:val="nil"/>
              <w:left w:val="nil"/>
              <w:bottom w:val="single" w:sz="4" w:space="0" w:color="auto"/>
              <w:right w:val="single" w:sz="4" w:space="0" w:color="auto"/>
            </w:tcBorders>
            <w:noWrap/>
            <w:vAlign w:val="bottom"/>
            <w:hideMark/>
          </w:tcPr>
          <w:p w14:paraId="2F39D7AD" w14:textId="77777777" w:rsidR="00A23843" w:rsidRPr="008832FB" w:rsidRDefault="00A23843" w:rsidP="00A23843">
            <w:pPr>
              <w:spacing w:line="276" w:lineRule="auto"/>
              <w:jc w:val="center"/>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procent</w:t>
            </w:r>
          </w:p>
        </w:tc>
      </w:tr>
      <w:tr w:rsidR="00A23843" w:rsidRPr="008832FB" w14:paraId="0AA43D26" w14:textId="77777777" w:rsidTr="00A23843">
        <w:trPr>
          <w:trHeight w:val="444"/>
        </w:trPr>
        <w:tc>
          <w:tcPr>
            <w:tcW w:w="3369" w:type="dxa"/>
            <w:tcBorders>
              <w:top w:val="nil"/>
              <w:left w:val="single" w:sz="4" w:space="0" w:color="auto"/>
              <w:bottom w:val="single" w:sz="4" w:space="0" w:color="auto"/>
              <w:right w:val="single" w:sz="4" w:space="0" w:color="auto"/>
            </w:tcBorders>
            <w:noWrap/>
            <w:vAlign w:val="bottom"/>
          </w:tcPr>
          <w:p w14:paraId="6819CD63" w14:textId="77777777" w:rsidR="00A23843" w:rsidRPr="008832FB" w:rsidRDefault="00A23843" w:rsidP="00A23843">
            <w:pPr>
              <w:spacing w:line="276" w:lineRule="auto"/>
              <w:jc w:val="both"/>
              <w:rPr>
                <w:rFonts w:asciiTheme="minorHAnsi" w:hAnsiTheme="minorHAnsi" w:cstheme="minorHAnsi"/>
                <w:color w:val="000000"/>
                <w:sz w:val="26"/>
                <w:szCs w:val="26"/>
                <w:lang w:eastAsia="ro-RO"/>
              </w:rPr>
            </w:pPr>
            <w:r w:rsidRPr="008832FB">
              <w:rPr>
                <w:rFonts w:asciiTheme="minorHAnsi" w:hAnsiTheme="minorHAnsi" w:cstheme="minorHAnsi"/>
                <w:color w:val="000000"/>
                <w:sz w:val="26"/>
                <w:szCs w:val="26"/>
                <w:lang w:eastAsia="ro-RO"/>
              </w:rPr>
              <w:t>admitere magistratură</w:t>
            </w:r>
          </w:p>
        </w:tc>
        <w:tc>
          <w:tcPr>
            <w:tcW w:w="1446" w:type="dxa"/>
            <w:tcBorders>
              <w:top w:val="single" w:sz="4" w:space="0" w:color="auto"/>
              <w:left w:val="single" w:sz="4" w:space="0" w:color="auto"/>
              <w:bottom w:val="single" w:sz="4" w:space="0" w:color="auto"/>
              <w:right w:val="single" w:sz="4" w:space="0" w:color="auto"/>
            </w:tcBorders>
            <w:noWrap/>
            <w:vAlign w:val="bottom"/>
          </w:tcPr>
          <w:p w14:paraId="40E93E15"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152</w:t>
            </w:r>
          </w:p>
        </w:tc>
        <w:tc>
          <w:tcPr>
            <w:tcW w:w="1559" w:type="dxa"/>
            <w:tcBorders>
              <w:top w:val="single" w:sz="4" w:space="0" w:color="auto"/>
              <w:left w:val="nil"/>
              <w:bottom w:val="single" w:sz="4" w:space="0" w:color="auto"/>
              <w:right w:val="single" w:sz="4" w:space="0" w:color="auto"/>
            </w:tcBorders>
            <w:noWrap/>
            <w:vAlign w:val="bottom"/>
          </w:tcPr>
          <w:p w14:paraId="4EFF93C7"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91</w:t>
            </w:r>
          </w:p>
        </w:tc>
        <w:tc>
          <w:tcPr>
            <w:tcW w:w="986" w:type="dxa"/>
            <w:tcBorders>
              <w:top w:val="single" w:sz="4" w:space="0" w:color="auto"/>
              <w:left w:val="nil"/>
              <w:bottom w:val="single" w:sz="4" w:space="0" w:color="auto"/>
              <w:right w:val="single" w:sz="4" w:space="0" w:color="auto"/>
            </w:tcBorders>
            <w:noWrap/>
            <w:vAlign w:val="bottom"/>
          </w:tcPr>
          <w:p w14:paraId="3DD52591"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59,87%</w:t>
            </w:r>
          </w:p>
        </w:tc>
        <w:tc>
          <w:tcPr>
            <w:tcW w:w="1615" w:type="dxa"/>
            <w:tcBorders>
              <w:top w:val="single" w:sz="4" w:space="0" w:color="auto"/>
              <w:left w:val="nil"/>
              <w:bottom w:val="single" w:sz="4" w:space="0" w:color="auto"/>
              <w:right w:val="single" w:sz="4" w:space="0" w:color="auto"/>
            </w:tcBorders>
            <w:noWrap/>
            <w:vAlign w:val="bottom"/>
          </w:tcPr>
          <w:p w14:paraId="350EF136"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61</w:t>
            </w:r>
          </w:p>
        </w:tc>
        <w:tc>
          <w:tcPr>
            <w:tcW w:w="1078" w:type="dxa"/>
            <w:tcBorders>
              <w:top w:val="single" w:sz="4" w:space="0" w:color="auto"/>
              <w:left w:val="nil"/>
              <w:bottom w:val="single" w:sz="4" w:space="0" w:color="auto"/>
              <w:right w:val="single" w:sz="4" w:space="0" w:color="auto"/>
            </w:tcBorders>
            <w:noWrap/>
            <w:vAlign w:val="bottom"/>
          </w:tcPr>
          <w:p w14:paraId="19486DAD"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40,13%</w:t>
            </w:r>
          </w:p>
        </w:tc>
      </w:tr>
      <w:tr w:rsidR="00A23843" w:rsidRPr="008832FB" w14:paraId="4FB8F14B" w14:textId="77777777" w:rsidTr="00A23843">
        <w:trPr>
          <w:trHeight w:val="444"/>
        </w:trPr>
        <w:tc>
          <w:tcPr>
            <w:tcW w:w="3369" w:type="dxa"/>
            <w:tcBorders>
              <w:top w:val="nil"/>
              <w:left w:val="single" w:sz="4" w:space="0" w:color="auto"/>
              <w:bottom w:val="single" w:sz="4" w:space="0" w:color="auto"/>
              <w:right w:val="single" w:sz="4" w:space="0" w:color="auto"/>
            </w:tcBorders>
            <w:noWrap/>
            <w:vAlign w:val="bottom"/>
          </w:tcPr>
          <w:p w14:paraId="59CA903A" w14:textId="77777777" w:rsidR="00A23843" w:rsidRPr="008832FB" w:rsidRDefault="00A23843" w:rsidP="00A23843">
            <w:pPr>
              <w:spacing w:line="276" w:lineRule="auto"/>
              <w:jc w:val="both"/>
              <w:rPr>
                <w:rFonts w:asciiTheme="minorHAnsi" w:hAnsiTheme="minorHAnsi" w:cstheme="minorHAnsi"/>
                <w:color w:val="000000"/>
                <w:sz w:val="26"/>
                <w:szCs w:val="26"/>
                <w:lang w:eastAsia="ro-RO"/>
              </w:rPr>
            </w:pPr>
            <w:r w:rsidRPr="008832FB">
              <w:rPr>
                <w:rFonts w:asciiTheme="minorHAnsi" w:hAnsiTheme="minorHAnsi" w:cstheme="minorHAnsi"/>
                <w:color w:val="000000"/>
                <w:sz w:val="26"/>
                <w:szCs w:val="26"/>
                <w:lang w:eastAsia="ro-RO"/>
              </w:rPr>
              <w:t>admitere I</w:t>
            </w:r>
            <w:r w:rsidRPr="000F0D8B">
              <w:rPr>
                <w:rFonts w:asciiTheme="minorHAnsi" w:hAnsiTheme="minorHAnsi" w:cstheme="minorHAnsi"/>
                <w:color w:val="000000"/>
                <w:sz w:val="26"/>
                <w:szCs w:val="26"/>
                <w:lang w:eastAsia="ro-RO"/>
              </w:rPr>
              <w:t>.</w:t>
            </w:r>
            <w:r w:rsidRPr="008832FB">
              <w:rPr>
                <w:rFonts w:asciiTheme="minorHAnsi" w:hAnsiTheme="minorHAnsi" w:cstheme="minorHAnsi"/>
                <w:color w:val="000000"/>
                <w:sz w:val="26"/>
                <w:szCs w:val="26"/>
                <w:lang w:eastAsia="ro-RO"/>
              </w:rPr>
              <w:t>N</w:t>
            </w:r>
            <w:r w:rsidRPr="000F0D8B">
              <w:rPr>
                <w:rFonts w:asciiTheme="minorHAnsi" w:hAnsiTheme="minorHAnsi" w:cstheme="minorHAnsi"/>
                <w:color w:val="000000"/>
                <w:sz w:val="26"/>
                <w:szCs w:val="26"/>
                <w:lang w:eastAsia="ro-RO"/>
              </w:rPr>
              <w:t>.</w:t>
            </w:r>
            <w:r w:rsidRPr="008832FB">
              <w:rPr>
                <w:rFonts w:asciiTheme="minorHAnsi" w:hAnsiTheme="minorHAnsi" w:cstheme="minorHAnsi"/>
                <w:color w:val="000000"/>
                <w:sz w:val="26"/>
                <w:szCs w:val="26"/>
                <w:lang w:eastAsia="ro-RO"/>
              </w:rPr>
              <w:t>M</w:t>
            </w:r>
            <w:r w:rsidRPr="000F0D8B">
              <w:rPr>
                <w:rFonts w:asciiTheme="minorHAnsi" w:hAnsiTheme="minorHAnsi" w:cstheme="minorHAnsi"/>
                <w:color w:val="000000"/>
                <w:sz w:val="26"/>
                <w:szCs w:val="26"/>
                <w:lang w:eastAsia="ro-RO"/>
              </w:rPr>
              <w:t>.</w:t>
            </w:r>
          </w:p>
        </w:tc>
        <w:tc>
          <w:tcPr>
            <w:tcW w:w="1446" w:type="dxa"/>
            <w:tcBorders>
              <w:top w:val="single" w:sz="8" w:space="0" w:color="auto"/>
              <w:left w:val="single" w:sz="8" w:space="0" w:color="auto"/>
              <w:bottom w:val="nil"/>
              <w:right w:val="single" w:sz="8" w:space="0" w:color="auto"/>
            </w:tcBorders>
            <w:noWrap/>
            <w:vAlign w:val="center"/>
          </w:tcPr>
          <w:p w14:paraId="4B0BEE77"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343</w:t>
            </w:r>
          </w:p>
        </w:tc>
        <w:tc>
          <w:tcPr>
            <w:tcW w:w="1559" w:type="dxa"/>
            <w:tcBorders>
              <w:top w:val="single" w:sz="8" w:space="0" w:color="auto"/>
              <w:left w:val="nil"/>
              <w:bottom w:val="nil"/>
              <w:right w:val="single" w:sz="8" w:space="0" w:color="auto"/>
            </w:tcBorders>
            <w:noWrap/>
            <w:vAlign w:val="center"/>
          </w:tcPr>
          <w:p w14:paraId="23C82C90"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270</w:t>
            </w:r>
          </w:p>
        </w:tc>
        <w:tc>
          <w:tcPr>
            <w:tcW w:w="986" w:type="dxa"/>
            <w:tcBorders>
              <w:top w:val="single" w:sz="4" w:space="0" w:color="auto"/>
              <w:left w:val="single" w:sz="4" w:space="0" w:color="auto"/>
              <w:bottom w:val="single" w:sz="4" w:space="0" w:color="auto"/>
              <w:right w:val="single" w:sz="4" w:space="0" w:color="auto"/>
            </w:tcBorders>
            <w:noWrap/>
            <w:vAlign w:val="bottom"/>
          </w:tcPr>
          <w:p w14:paraId="51626847"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78,72%</w:t>
            </w:r>
          </w:p>
        </w:tc>
        <w:tc>
          <w:tcPr>
            <w:tcW w:w="1615" w:type="dxa"/>
            <w:tcBorders>
              <w:top w:val="single" w:sz="4" w:space="0" w:color="auto"/>
              <w:left w:val="nil"/>
              <w:bottom w:val="single" w:sz="4" w:space="0" w:color="auto"/>
              <w:right w:val="single" w:sz="4" w:space="0" w:color="auto"/>
            </w:tcBorders>
            <w:noWrap/>
            <w:vAlign w:val="bottom"/>
          </w:tcPr>
          <w:p w14:paraId="47474F13"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73</w:t>
            </w:r>
          </w:p>
        </w:tc>
        <w:tc>
          <w:tcPr>
            <w:tcW w:w="1078" w:type="dxa"/>
            <w:tcBorders>
              <w:top w:val="single" w:sz="4" w:space="0" w:color="auto"/>
              <w:left w:val="nil"/>
              <w:bottom w:val="single" w:sz="4" w:space="0" w:color="auto"/>
              <w:right w:val="single" w:sz="4" w:space="0" w:color="auto"/>
            </w:tcBorders>
            <w:noWrap/>
            <w:vAlign w:val="bottom"/>
          </w:tcPr>
          <w:p w14:paraId="15B1593B"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21,28%</w:t>
            </w:r>
          </w:p>
        </w:tc>
      </w:tr>
      <w:tr w:rsidR="00A23843" w:rsidRPr="008832FB" w14:paraId="4E4A4FBD" w14:textId="77777777" w:rsidTr="00A23843">
        <w:trPr>
          <w:trHeight w:val="444"/>
        </w:trPr>
        <w:tc>
          <w:tcPr>
            <w:tcW w:w="3369" w:type="dxa"/>
            <w:tcBorders>
              <w:top w:val="nil"/>
              <w:left w:val="single" w:sz="4" w:space="0" w:color="auto"/>
              <w:bottom w:val="single" w:sz="4" w:space="0" w:color="auto"/>
              <w:right w:val="single" w:sz="4" w:space="0" w:color="auto"/>
            </w:tcBorders>
            <w:noWrap/>
            <w:vAlign w:val="bottom"/>
          </w:tcPr>
          <w:p w14:paraId="050DA151" w14:textId="77777777" w:rsidR="00A23843" w:rsidRPr="008832FB" w:rsidRDefault="00A23843" w:rsidP="00A23843">
            <w:pPr>
              <w:spacing w:line="276" w:lineRule="auto"/>
              <w:jc w:val="both"/>
              <w:rPr>
                <w:rFonts w:asciiTheme="minorHAnsi" w:hAnsiTheme="minorHAnsi" w:cstheme="minorHAnsi"/>
                <w:color w:val="000000"/>
                <w:sz w:val="26"/>
                <w:szCs w:val="26"/>
                <w:lang w:eastAsia="ro-RO"/>
              </w:rPr>
            </w:pPr>
            <w:r w:rsidRPr="008832FB">
              <w:rPr>
                <w:rFonts w:asciiTheme="minorHAnsi" w:hAnsiTheme="minorHAnsi" w:cstheme="minorHAnsi"/>
                <w:color w:val="000000"/>
                <w:sz w:val="26"/>
                <w:szCs w:val="26"/>
                <w:lang w:eastAsia="ro-RO"/>
              </w:rPr>
              <w:t>reîncadrare în funcția de judecător</w:t>
            </w:r>
          </w:p>
        </w:tc>
        <w:tc>
          <w:tcPr>
            <w:tcW w:w="1446" w:type="dxa"/>
            <w:tcBorders>
              <w:top w:val="single" w:sz="4" w:space="0" w:color="auto"/>
              <w:left w:val="single" w:sz="4" w:space="0" w:color="auto"/>
              <w:bottom w:val="single" w:sz="4" w:space="0" w:color="auto"/>
              <w:right w:val="single" w:sz="4" w:space="0" w:color="auto"/>
            </w:tcBorders>
            <w:noWrap/>
            <w:vAlign w:val="center"/>
          </w:tcPr>
          <w:p w14:paraId="76F25672" w14:textId="77777777" w:rsidR="00A23843" w:rsidRDefault="00A23843" w:rsidP="00A23843">
            <w:pPr>
              <w:spacing w:line="276" w:lineRule="auto"/>
              <w:jc w:val="center"/>
              <w:rPr>
                <w:rFonts w:asciiTheme="minorHAnsi" w:eastAsiaTheme="minorHAnsi" w:hAnsiTheme="minorHAnsi" w:cstheme="minorHAnsi"/>
                <w:color w:val="000000"/>
                <w:sz w:val="26"/>
                <w:szCs w:val="26"/>
              </w:rPr>
            </w:pPr>
          </w:p>
          <w:p w14:paraId="49EB5231"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Pr>
                <w:rFonts w:asciiTheme="minorHAnsi" w:eastAsiaTheme="minorHAnsi" w:hAnsiTheme="minorHAnsi" w:cstheme="minorHAnsi"/>
                <w:color w:val="000000"/>
                <w:sz w:val="26"/>
                <w:szCs w:val="26"/>
              </w:rPr>
              <w:t>8</w:t>
            </w:r>
          </w:p>
        </w:tc>
        <w:tc>
          <w:tcPr>
            <w:tcW w:w="1559" w:type="dxa"/>
            <w:tcBorders>
              <w:top w:val="single" w:sz="4" w:space="0" w:color="auto"/>
              <w:left w:val="nil"/>
              <w:bottom w:val="single" w:sz="4" w:space="0" w:color="auto"/>
              <w:right w:val="single" w:sz="4" w:space="0" w:color="auto"/>
            </w:tcBorders>
            <w:noWrap/>
            <w:vAlign w:val="center"/>
          </w:tcPr>
          <w:p w14:paraId="63BD0887" w14:textId="77777777" w:rsidR="00A23843" w:rsidRDefault="00A23843" w:rsidP="00A23843">
            <w:pPr>
              <w:spacing w:line="276" w:lineRule="auto"/>
              <w:jc w:val="center"/>
              <w:rPr>
                <w:rFonts w:asciiTheme="minorHAnsi" w:eastAsiaTheme="minorHAnsi" w:hAnsiTheme="minorHAnsi" w:cstheme="minorHAnsi"/>
                <w:color w:val="000000"/>
                <w:sz w:val="26"/>
                <w:szCs w:val="26"/>
              </w:rPr>
            </w:pPr>
          </w:p>
          <w:p w14:paraId="65FCFE01"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Pr>
                <w:rFonts w:asciiTheme="minorHAnsi" w:eastAsiaTheme="minorHAnsi" w:hAnsiTheme="minorHAnsi" w:cstheme="minorHAnsi"/>
                <w:color w:val="000000"/>
                <w:sz w:val="26"/>
                <w:szCs w:val="26"/>
              </w:rPr>
              <w:t>8</w:t>
            </w:r>
          </w:p>
        </w:tc>
        <w:tc>
          <w:tcPr>
            <w:tcW w:w="986" w:type="dxa"/>
            <w:tcBorders>
              <w:top w:val="single" w:sz="4" w:space="0" w:color="auto"/>
              <w:left w:val="nil"/>
              <w:bottom w:val="single" w:sz="4" w:space="0" w:color="auto"/>
              <w:right w:val="single" w:sz="4" w:space="0" w:color="auto"/>
            </w:tcBorders>
            <w:noWrap/>
            <w:vAlign w:val="bottom"/>
          </w:tcPr>
          <w:p w14:paraId="35A959D6" w14:textId="77777777" w:rsidR="00A23843" w:rsidRPr="008832FB" w:rsidRDefault="00A23843" w:rsidP="00A23843">
            <w:pPr>
              <w:spacing w:line="276" w:lineRule="auto"/>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100,00%</w:t>
            </w:r>
          </w:p>
        </w:tc>
        <w:tc>
          <w:tcPr>
            <w:tcW w:w="1615" w:type="dxa"/>
            <w:tcBorders>
              <w:top w:val="single" w:sz="4" w:space="0" w:color="auto"/>
              <w:left w:val="nil"/>
              <w:bottom w:val="single" w:sz="4" w:space="0" w:color="auto"/>
              <w:right w:val="single" w:sz="4" w:space="0" w:color="auto"/>
            </w:tcBorders>
            <w:noWrap/>
            <w:vAlign w:val="bottom"/>
          </w:tcPr>
          <w:p w14:paraId="3CE828AE"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0</w:t>
            </w:r>
          </w:p>
        </w:tc>
        <w:tc>
          <w:tcPr>
            <w:tcW w:w="1078" w:type="dxa"/>
            <w:tcBorders>
              <w:top w:val="single" w:sz="4" w:space="0" w:color="auto"/>
              <w:left w:val="nil"/>
              <w:bottom w:val="single" w:sz="4" w:space="0" w:color="auto"/>
              <w:right w:val="single" w:sz="4" w:space="0" w:color="auto"/>
            </w:tcBorders>
            <w:noWrap/>
            <w:vAlign w:val="bottom"/>
          </w:tcPr>
          <w:p w14:paraId="316D6F0F"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0,00%</w:t>
            </w:r>
          </w:p>
        </w:tc>
      </w:tr>
      <w:tr w:rsidR="00A23843" w:rsidRPr="008832FB" w14:paraId="134FD3AE" w14:textId="77777777" w:rsidTr="00A23843">
        <w:trPr>
          <w:trHeight w:val="444"/>
        </w:trPr>
        <w:tc>
          <w:tcPr>
            <w:tcW w:w="3369" w:type="dxa"/>
            <w:tcBorders>
              <w:top w:val="nil"/>
              <w:left w:val="single" w:sz="4" w:space="0" w:color="auto"/>
              <w:bottom w:val="single" w:sz="4" w:space="0" w:color="auto"/>
              <w:right w:val="single" w:sz="4" w:space="0" w:color="auto"/>
            </w:tcBorders>
            <w:noWrap/>
            <w:vAlign w:val="bottom"/>
          </w:tcPr>
          <w:p w14:paraId="13E1F5D5" w14:textId="77777777" w:rsidR="00A23843" w:rsidRPr="008832FB" w:rsidRDefault="00A23843" w:rsidP="00A23843">
            <w:pPr>
              <w:spacing w:line="276" w:lineRule="auto"/>
              <w:jc w:val="both"/>
              <w:rPr>
                <w:rFonts w:asciiTheme="minorHAnsi" w:hAnsiTheme="minorHAnsi" w:cstheme="minorHAnsi"/>
                <w:color w:val="000000"/>
                <w:sz w:val="26"/>
                <w:szCs w:val="26"/>
                <w:lang w:eastAsia="ro-RO"/>
              </w:rPr>
            </w:pPr>
            <w:r w:rsidRPr="008832FB">
              <w:rPr>
                <w:rFonts w:asciiTheme="minorHAnsi" w:hAnsiTheme="minorHAnsi" w:cstheme="minorHAnsi"/>
                <w:color w:val="000000"/>
                <w:sz w:val="26"/>
                <w:szCs w:val="26"/>
                <w:lang w:eastAsia="ro-RO"/>
              </w:rPr>
              <w:t>reîncadrare în funcția de procuror</w:t>
            </w:r>
          </w:p>
        </w:tc>
        <w:tc>
          <w:tcPr>
            <w:tcW w:w="1446" w:type="dxa"/>
            <w:tcBorders>
              <w:top w:val="single" w:sz="4" w:space="0" w:color="auto"/>
              <w:left w:val="single" w:sz="4" w:space="0" w:color="auto"/>
              <w:bottom w:val="single" w:sz="4" w:space="0" w:color="auto"/>
              <w:right w:val="single" w:sz="4" w:space="0" w:color="auto"/>
            </w:tcBorders>
            <w:noWrap/>
            <w:vAlign w:val="center"/>
          </w:tcPr>
          <w:p w14:paraId="5EA09CA2" w14:textId="77777777" w:rsidR="00A23843" w:rsidRDefault="00A23843" w:rsidP="00A23843">
            <w:pPr>
              <w:spacing w:line="276" w:lineRule="auto"/>
              <w:jc w:val="center"/>
              <w:rPr>
                <w:rFonts w:asciiTheme="minorHAnsi" w:eastAsiaTheme="minorHAnsi" w:hAnsiTheme="minorHAnsi" w:cstheme="minorHAnsi"/>
                <w:color w:val="000000"/>
                <w:sz w:val="26"/>
                <w:szCs w:val="26"/>
              </w:rPr>
            </w:pPr>
          </w:p>
          <w:p w14:paraId="52A5CBCA"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Pr>
                <w:rFonts w:asciiTheme="minorHAnsi" w:eastAsiaTheme="minorHAnsi" w:hAnsiTheme="minorHAnsi" w:cstheme="minorHAnsi"/>
                <w:color w:val="000000"/>
                <w:sz w:val="26"/>
                <w:szCs w:val="26"/>
              </w:rPr>
              <w:t>5</w:t>
            </w:r>
          </w:p>
        </w:tc>
        <w:tc>
          <w:tcPr>
            <w:tcW w:w="1559" w:type="dxa"/>
            <w:tcBorders>
              <w:top w:val="single" w:sz="4" w:space="0" w:color="auto"/>
              <w:left w:val="nil"/>
              <w:bottom w:val="single" w:sz="4" w:space="0" w:color="auto"/>
              <w:right w:val="single" w:sz="4" w:space="0" w:color="auto"/>
            </w:tcBorders>
            <w:noWrap/>
            <w:vAlign w:val="center"/>
          </w:tcPr>
          <w:p w14:paraId="3D87F586" w14:textId="77777777" w:rsidR="00A23843" w:rsidRDefault="00A23843" w:rsidP="00A23843">
            <w:pPr>
              <w:spacing w:line="276" w:lineRule="auto"/>
              <w:jc w:val="center"/>
              <w:rPr>
                <w:rFonts w:asciiTheme="minorHAnsi" w:eastAsiaTheme="minorHAnsi" w:hAnsiTheme="minorHAnsi" w:cstheme="minorHAnsi"/>
                <w:color w:val="000000"/>
                <w:sz w:val="26"/>
                <w:szCs w:val="26"/>
              </w:rPr>
            </w:pPr>
          </w:p>
          <w:p w14:paraId="23E2FA29"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Pr>
                <w:rFonts w:asciiTheme="minorHAnsi" w:eastAsiaTheme="minorHAnsi" w:hAnsiTheme="minorHAnsi" w:cstheme="minorHAnsi"/>
                <w:color w:val="000000"/>
                <w:sz w:val="26"/>
                <w:szCs w:val="26"/>
              </w:rPr>
              <w:t>4</w:t>
            </w:r>
          </w:p>
        </w:tc>
        <w:tc>
          <w:tcPr>
            <w:tcW w:w="986" w:type="dxa"/>
            <w:tcBorders>
              <w:top w:val="single" w:sz="4" w:space="0" w:color="auto"/>
              <w:left w:val="nil"/>
              <w:bottom w:val="single" w:sz="4" w:space="0" w:color="auto"/>
              <w:right w:val="single" w:sz="4" w:space="0" w:color="auto"/>
            </w:tcBorders>
            <w:noWrap/>
            <w:vAlign w:val="bottom"/>
          </w:tcPr>
          <w:p w14:paraId="55A3C09F"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Pr>
                <w:rFonts w:asciiTheme="minorHAnsi" w:eastAsiaTheme="minorHAnsi" w:hAnsiTheme="minorHAnsi" w:cstheme="minorHAnsi"/>
                <w:color w:val="000000"/>
                <w:sz w:val="26"/>
                <w:szCs w:val="26"/>
              </w:rPr>
              <w:t>80</w:t>
            </w:r>
            <w:r w:rsidRPr="008832FB">
              <w:rPr>
                <w:rFonts w:asciiTheme="minorHAnsi" w:eastAsiaTheme="minorHAnsi" w:hAnsiTheme="minorHAnsi" w:cstheme="minorHAnsi"/>
                <w:color w:val="000000"/>
                <w:sz w:val="26"/>
                <w:szCs w:val="26"/>
              </w:rPr>
              <w:t>,00%</w:t>
            </w:r>
          </w:p>
        </w:tc>
        <w:tc>
          <w:tcPr>
            <w:tcW w:w="1615" w:type="dxa"/>
            <w:tcBorders>
              <w:top w:val="single" w:sz="4" w:space="0" w:color="auto"/>
              <w:left w:val="nil"/>
              <w:bottom w:val="single" w:sz="4" w:space="0" w:color="auto"/>
              <w:right w:val="single" w:sz="4" w:space="0" w:color="auto"/>
            </w:tcBorders>
            <w:noWrap/>
            <w:vAlign w:val="bottom"/>
          </w:tcPr>
          <w:p w14:paraId="062189C7"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Pr>
                <w:rFonts w:asciiTheme="minorHAnsi" w:eastAsiaTheme="minorHAnsi" w:hAnsiTheme="minorHAnsi" w:cstheme="minorHAnsi"/>
                <w:color w:val="000000"/>
                <w:sz w:val="26"/>
                <w:szCs w:val="26"/>
              </w:rPr>
              <w:t>1</w:t>
            </w:r>
          </w:p>
        </w:tc>
        <w:tc>
          <w:tcPr>
            <w:tcW w:w="1078" w:type="dxa"/>
            <w:tcBorders>
              <w:top w:val="single" w:sz="4" w:space="0" w:color="auto"/>
              <w:left w:val="nil"/>
              <w:bottom w:val="single" w:sz="4" w:space="0" w:color="auto"/>
              <w:right w:val="single" w:sz="4" w:space="0" w:color="auto"/>
            </w:tcBorders>
            <w:noWrap/>
            <w:vAlign w:val="bottom"/>
          </w:tcPr>
          <w:p w14:paraId="4FAF4DFD"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Pr>
                <w:rFonts w:asciiTheme="minorHAnsi" w:eastAsiaTheme="minorHAnsi" w:hAnsiTheme="minorHAnsi" w:cstheme="minorHAnsi"/>
                <w:color w:val="000000"/>
                <w:sz w:val="26"/>
                <w:szCs w:val="26"/>
              </w:rPr>
              <w:t>2</w:t>
            </w:r>
            <w:r w:rsidRPr="008832FB">
              <w:rPr>
                <w:rFonts w:asciiTheme="minorHAnsi" w:eastAsiaTheme="minorHAnsi" w:hAnsiTheme="minorHAnsi" w:cstheme="minorHAnsi"/>
                <w:color w:val="000000"/>
                <w:sz w:val="26"/>
                <w:szCs w:val="26"/>
              </w:rPr>
              <w:t>0,00%</w:t>
            </w:r>
          </w:p>
        </w:tc>
      </w:tr>
      <w:tr w:rsidR="00A23843" w:rsidRPr="008832FB" w14:paraId="6A1772FE" w14:textId="77777777" w:rsidTr="00A23843">
        <w:trPr>
          <w:trHeight w:val="288"/>
        </w:trPr>
        <w:tc>
          <w:tcPr>
            <w:tcW w:w="3369" w:type="dxa"/>
            <w:tcBorders>
              <w:top w:val="nil"/>
              <w:left w:val="single" w:sz="4" w:space="0" w:color="auto"/>
              <w:bottom w:val="single" w:sz="4" w:space="0" w:color="auto"/>
              <w:right w:val="single" w:sz="4" w:space="0" w:color="auto"/>
            </w:tcBorders>
            <w:noWrap/>
            <w:vAlign w:val="bottom"/>
            <w:hideMark/>
          </w:tcPr>
          <w:p w14:paraId="78787BD8" w14:textId="77777777" w:rsidR="00A23843" w:rsidRPr="008832FB" w:rsidRDefault="00A23843" w:rsidP="00A23843">
            <w:pPr>
              <w:spacing w:line="276" w:lineRule="auto"/>
              <w:jc w:val="both"/>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Total</w:t>
            </w:r>
          </w:p>
        </w:tc>
        <w:tc>
          <w:tcPr>
            <w:tcW w:w="1446" w:type="dxa"/>
            <w:tcBorders>
              <w:top w:val="single" w:sz="4" w:space="0" w:color="auto"/>
              <w:left w:val="single" w:sz="4" w:space="0" w:color="auto"/>
              <w:bottom w:val="single" w:sz="4" w:space="0" w:color="auto"/>
              <w:right w:val="single" w:sz="4" w:space="0" w:color="auto"/>
            </w:tcBorders>
            <w:noWrap/>
            <w:vAlign w:val="bottom"/>
          </w:tcPr>
          <w:p w14:paraId="4134122B" w14:textId="77777777" w:rsidR="00A23843" w:rsidRPr="008832FB" w:rsidRDefault="00A23843" w:rsidP="00A23843">
            <w:pPr>
              <w:spacing w:line="276" w:lineRule="auto"/>
              <w:jc w:val="center"/>
              <w:rPr>
                <w:rFonts w:asciiTheme="minorHAnsi" w:eastAsiaTheme="minorHAnsi" w:hAnsiTheme="minorHAnsi" w:cstheme="minorHAnsi"/>
                <w:b/>
                <w:bCs/>
                <w:color w:val="000000"/>
                <w:sz w:val="26"/>
                <w:szCs w:val="26"/>
              </w:rPr>
            </w:pPr>
            <w:r w:rsidRPr="008832FB">
              <w:rPr>
                <w:rFonts w:asciiTheme="minorHAnsi" w:eastAsiaTheme="minorHAnsi" w:hAnsiTheme="minorHAnsi" w:cstheme="minorHAnsi"/>
                <w:b/>
                <w:bCs/>
                <w:color w:val="000000"/>
                <w:sz w:val="26"/>
                <w:szCs w:val="26"/>
              </w:rPr>
              <w:t>508</w:t>
            </w:r>
          </w:p>
        </w:tc>
        <w:tc>
          <w:tcPr>
            <w:tcW w:w="1559" w:type="dxa"/>
            <w:tcBorders>
              <w:top w:val="single" w:sz="4" w:space="0" w:color="auto"/>
              <w:left w:val="nil"/>
              <w:bottom w:val="single" w:sz="4" w:space="0" w:color="auto"/>
              <w:right w:val="single" w:sz="4" w:space="0" w:color="auto"/>
            </w:tcBorders>
            <w:noWrap/>
            <w:vAlign w:val="bottom"/>
          </w:tcPr>
          <w:p w14:paraId="05A9C97A" w14:textId="77777777" w:rsidR="00A23843" w:rsidRPr="008832FB" w:rsidRDefault="00A23843" w:rsidP="00A23843">
            <w:pPr>
              <w:spacing w:line="276" w:lineRule="auto"/>
              <w:jc w:val="center"/>
              <w:rPr>
                <w:rFonts w:asciiTheme="minorHAnsi" w:eastAsiaTheme="minorHAnsi" w:hAnsiTheme="minorHAnsi" w:cstheme="minorHAnsi"/>
                <w:b/>
                <w:bCs/>
                <w:color w:val="000000"/>
                <w:sz w:val="26"/>
                <w:szCs w:val="26"/>
              </w:rPr>
            </w:pPr>
            <w:r w:rsidRPr="008832FB">
              <w:rPr>
                <w:rFonts w:asciiTheme="minorHAnsi" w:eastAsiaTheme="minorHAnsi" w:hAnsiTheme="minorHAnsi" w:cstheme="minorHAnsi"/>
                <w:b/>
                <w:bCs/>
                <w:color w:val="000000"/>
                <w:sz w:val="26"/>
                <w:szCs w:val="26"/>
              </w:rPr>
              <w:t>37</w:t>
            </w:r>
            <w:r>
              <w:rPr>
                <w:rFonts w:asciiTheme="minorHAnsi" w:eastAsiaTheme="minorHAnsi" w:hAnsiTheme="minorHAnsi" w:cstheme="minorHAnsi"/>
                <w:b/>
                <w:bCs/>
                <w:color w:val="000000"/>
                <w:sz w:val="26"/>
                <w:szCs w:val="26"/>
              </w:rPr>
              <w:t>3</w:t>
            </w:r>
          </w:p>
        </w:tc>
        <w:tc>
          <w:tcPr>
            <w:tcW w:w="986" w:type="dxa"/>
            <w:tcBorders>
              <w:top w:val="single" w:sz="4" w:space="0" w:color="auto"/>
              <w:left w:val="nil"/>
              <w:bottom w:val="single" w:sz="4" w:space="0" w:color="auto"/>
              <w:right w:val="single" w:sz="4" w:space="0" w:color="auto"/>
            </w:tcBorders>
            <w:noWrap/>
            <w:vAlign w:val="bottom"/>
          </w:tcPr>
          <w:p w14:paraId="5DA2F63B"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73,</w:t>
            </w:r>
            <w:r>
              <w:rPr>
                <w:rFonts w:asciiTheme="minorHAnsi" w:eastAsiaTheme="minorHAnsi" w:hAnsiTheme="minorHAnsi" w:cstheme="minorHAnsi"/>
                <w:color w:val="000000"/>
                <w:sz w:val="26"/>
                <w:szCs w:val="26"/>
              </w:rPr>
              <w:t>43</w:t>
            </w:r>
            <w:r w:rsidRPr="008832FB">
              <w:rPr>
                <w:rFonts w:asciiTheme="minorHAnsi" w:eastAsiaTheme="minorHAnsi" w:hAnsiTheme="minorHAnsi" w:cstheme="minorHAnsi"/>
                <w:color w:val="000000"/>
                <w:sz w:val="26"/>
                <w:szCs w:val="26"/>
              </w:rPr>
              <w:t>%</w:t>
            </w:r>
          </w:p>
        </w:tc>
        <w:tc>
          <w:tcPr>
            <w:tcW w:w="1615" w:type="dxa"/>
            <w:tcBorders>
              <w:top w:val="single" w:sz="4" w:space="0" w:color="auto"/>
              <w:left w:val="nil"/>
              <w:bottom w:val="single" w:sz="4" w:space="0" w:color="auto"/>
              <w:right w:val="single" w:sz="4" w:space="0" w:color="auto"/>
            </w:tcBorders>
            <w:noWrap/>
            <w:vAlign w:val="bottom"/>
          </w:tcPr>
          <w:p w14:paraId="4FCD1604" w14:textId="77777777" w:rsidR="00A23843" w:rsidRPr="008832FB" w:rsidRDefault="00A23843" w:rsidP="00A23843">
            <w:pPr>
              <w:spacing w:line="276" w:lineRule="auto"/>
              <w:jc w:val="center"/>
              <w:rPr>
                <w:rFonts w:asciiTheme="minorHAnsi" w:eastAsiaTheme="minorHAnsi" w:hAnsiTheme="minorHAnsi" w:cstheme="minorHAnsi"/>
                <w:b/>
                <w:bCs/>
                <w:color w:val="000000"/>
                <w:sz w:val="26"/>
                <w:szCs w:val="26"/>
              </w:rPr>
            </w:pPr>
            <w:r w:rsidRPr="008832FB">
              <w:rPr>
                <w:rFonts w:asciiTheme="minorHAnsi" w:eastAsiaTheme="minorHAnsi" w:hAnsiTheme="minorHAnsi" w:cstheme="minorHAnsi"/>
                <w:b/>
                <w:bCs/>
                <w:color w:val="000000"/>
                <w:sz w:val="26"/>
                <w:szCs w:val="26"/>
              </w:rPr>
              <w:t>13</w:t>
            </w:r>
            <w:r>
              <w:rPr>
                <w:rFonts w:asciiTheme="minorHAnsi" w:eastAsiaTheme="minorHAnsi" w:hAnsiTheme="minorHAnsi" w:cstheme="minorHAnsi"/>
                <w:b/>
                <w:bCs/>
                <w:color w:val="000000"/>
                <w:sz w:val="26"/>
                <w:szCs w:val="26"/>
              </w:rPr>
              <w:t>5</w:t>
            </w:r>
          </w:p>
        </w:tc>
        <w:tc>
          <w:tcPr>
            <w:tcW w:w="1078" w:type="dxa"/>
            <w:tcBorders>
              <w:top w:val="single" w:sz="4" w:space="0" w:color="auto"/>
              <w:left w:val="nil"/>
              <w:bottom w:val="single" w:sz="4" w:space="0" w:color="auto"/>
              <w:right w:val="single" w:sz="4" w:space="0" w:color="auto"/>
            </w:tcBorders>
            <w:noWrap/>
            <w:vAlign w:val="bottom"/>
          </w:tcPr>
          <w:p w14:paraId="09D27677"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26,</w:t>
            </w:r>
            <w:r>
              <w:rPr>
                <w:rFonts w:asciiTheme="minorHAnsi" w:eastAsiaTheme="minorHAnsi" w:hAnsiTheme="minorHAnsi" w:cstheme="minorHAnsi"/>
                <w:color w:val="000000"/>
                <w:sz w:val="26"/>
                <w:szCs w:val="26"/>
              </w:rPr>
              <w:t>57</w:t>
            </w:r>
            <w:r w:rsidRPr="008832FB">
              <w:rPr>
                <w:rFonts w:asciiTheme="minorHAnsi" w:eastAsiaTheme="minorHAnsi" w:hAnsiTheme="minorHAnsi" w:cstheme="minorHAnsi"/>
                <w:color w:val="000000"/>
                <w:sz w:val="26"/>
                <w:szCs w:val="26"/>
              </w:rPr>
              <w:t>%</w:t>
            </w:r>
          </w:p>
        </w:tc>
      </w:tr>
    </w:tbl>
    <w:p w14:paraId="20A36A38" w14:textId="77777777" w:rsidR="00A23843" w:rsidRPr="008832FB" w:rsidRDefault="00A23843" w:rsidP="00A23843">
      <w:pPr>
        <w:spacing w:line="276" w:lineRule="auto"/>
        <w:ind w:firstLine="720"/>
        <w:jc w:val="both"/>
        <w:rPr>
          <w:rFonts w:asciiTheme="minorHAnsi" w:eastAsiaTheme="minorHAnsi" w:hAnsiTheme="minorHAnsi" w:cstheme="minorHAnsi"/>
          <w:sz w:val="26"/>
          <w:szCs w:val="26"/>
          <w:shd w:val="clear" w:color="auto" w:fill="FFFFFF"/>
        </w:rPr>
      </w:pPr>
      <w:r w:rsidRPr="008832FB">
        <w:rPr>
          <w:rFonts w:asciiTheme="minorHAnsi" w:eastAsiaTheme="minorHAnsi" w:hAnsiTheme="minorHAnsi" w:cstheme="minorHAnsi"/>
          <w:sz w:val="26"/>
          <w:szCs w:val="26"/>
          <w:shd w:val="clear" w:color="auto" w:fill="FFFFFF"/>
        </w:rPr>
        <w:t>Referitor la situaţia calificativelor acordate în cadrul comisiilor de soluţionare a contestaţiilor, aceasta se prezintă astfel:</w:t>
      </w:r>
    </w:p>
    <w:tbl>
      <w:tblPr>
        <w:tblW w:w="9982" w:type="dxa"/>
        <w:tblLook w:val="04A0" w:firstRow="1" w:lastRow="0" w:firstColumn="1" w:lastColumn="0" w:noHBand="0" w:noVBand="1"/>
      </w:tblPr>
      <w:tblGrid>
        <w:gridCol w:w="3332"/>
        <w:gridCol w:w="1582"/>
        <w:gridCol w:w="1511"/>
        <w:gridCol w:w="1057"/>
        <w:gridCol w:w="1731"/>
        <w:gridCol w:w="1125"/>
      </w:tblGrid>
      <w:tr w:rsidR="00A23843" w:rsidRPr="008832FB" w14:paraId="7CE6191F" w14:textId="77777777" w:rsidTr="00A23843">
        <w:trPr>
          <w:trHeight w:val="288"/>
        </w:trPr>
        <w:tc>
          <w:tcPr>
            <w:tcW w:w="3335" w:type="dxa"/>
            <w:vMerge w:val="restart"/>
            <w:tcBorders>
              <w:top w:val="single" w:sz="4" w:space="0" w:color="auto"/>
              <w:left w:val="single" w:sz="4" w:space="0" w:color="auto"/>
              <w:right w:val="single" w:sz="4" w:space="0" w:color="auto"/>
            </w:tcBorders>
            <w:noWrap/>
            <w:vAlign w:val="bottom"/>
            <w:hideMark/>
          </w:tcPr>
          <w:p w14:paraId="382EA80F" w14:textId="77777777" w:rsidR="00A23843" w:rsidRPr="008832FB" w:rsidRDefault="00A23843" w:rsidP="00A23843">
            <w:pPr>
              <w:spacing w:line="276" w:lineRule="auto"/>
              <w:jc w:val="both"/>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Concurs</w:t>
            </w:r>
          </w:p>
        </w:tc>
        <w:tc>
          <w:tcPr>
            <w:tcW w:w="1480" w:type="dxa"/>
            <w:vMerge w:val="restart"/>
            <w:tcBorders>
              <w:top w:val="single" w:sz="4" w:space="0" w:color="auto"/>
              <w:left w:val="single" w:sz="4" w:space="0" w:color="auto"/>
              <w:bottom w:val="single" w:sz="4" w:space="0" w:color="000000"/>
              <w:right w:val="single" w:sz="4" w:space="0" w:color="auto"/>
            </w:tcBorders>
            <w:noWrap/>
            <w:vAlign w:val="bottom"/>
            <w:hideMark/>
          </w:tcPr>
          <w:p w14:paraId="70F20663" w14:textId="77777777" w:rsidR="00A23843" w:rsidRPr="008832FB" w:rsidRDefault="00A23843" w:rsidP="00A23843">
            <w:pPr>
              <w:spacing w:line="276" w:lineRule="auto"/>
              <w:jc w:val="center"/>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Persoane</w:t>
            </w:r>
          </w:p>
          <w:p w14:paraId="0FEBF3FC" w14:textId="77777777" w:rsidR="00A23843" w:rsidRPr="008832FB" w:rsidRDefault="00A23843" w:rsidP="00A23843">
            <w:pPr>
              <w:spacing w:line="276" w:lineRule="auto"/>
              <w:jc w:val="center"/>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reexaminate</w:t>
            </w:r>
          </w:p>
        </w:tc>
        <w:tc>
          <w:tcPr>
            <w:tcW w:w="5167" w:type="dxa"/>
            <w:gridSpan w:val="4"/>
            <w:tcBorders>
              <w:top w:val="single" w:sz="4" w:space="0" w:color="auto"/>
              <w:left w:val="nil"/>
              <w:bottom w:val="single" w:sz="4" w:space="0" w:color="auto"/>
              <w:right w:val="single" w:sz="4" w:space="0" w:color="auto"/>
            </w:tcBorders>
            <w:noWrap/>
            <w:vAlign w:val="bottom"/>
            <w:hideMark/>
          </w:tcPr>
          <w:p w14:paraId="69FBD34D" w14:textId="77777777" w:rsidR="00A23843" w:rsidRPr="008832FB" w:rsidRDefault="00A23843" w:rsidP="00A23843">
            <w:pPr>
              <w:spacing w:line="276" w:lineRule="auto"/>
              <w:jc w:val="center"/>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Calificative acordate</w:t>
            </w:r>
          </w:p>
        </w:tc>
      </w:tr>
      <w:tr w:rsidR="00A23843" w:rsidRPr="008832FB" w14:paraId="173D87B1" w14:textId="77777777" w:rsidTr="00A23843">
        <w:trPr>
          <w:trHeight w:val="288"/>
        </w:trPr>
        <w:tc>
          <w:tcPr>
            <w:tcW w:w="3335" w:type="dxa"/>
            <w:vMerge/>
            <w:tcBorders>
              <w:left w:val="single" w:sz="4" w:space="0" w:color="auto"/>
              <w:bottom w:val="single" w:sz="4" w:space="0" w:color="auto"/>
              <w:right w:val="single" w:sz="4" w:space="0" w:color="auto"/>
            </w:tcBorders>
            <w:noWrap/>
            <w:vAlign w:val="bottom"/>
            <w:hideMark/>
          </w:tcPr>
          <w:p w14:paraId="225EA689" w14:textId="77777777" w:rsidR="00A23843" w:rsidRPr="008832FB" w:rsidRDefault="00A23843" w:rsidP="00A23843">
            <w:pPr>
              <w:spacing w:line="276" w:lineRule="auto"/>
              <w:jc w:val="both"/>
              <w:rPr>
                <w:rFonts w:asciiTheme="minorHAnsi" w:hAnsiTheme="minorHAnsi" w:cstheme="minorHAnsi"/>
                <w:b/>
                <w:bCs/>
                <w:color w:val="000000"/>
                <w:sz w:val="26"/>
                <w:szCs w:val="26"/>
                <w:lang w:eastAsia="ro-RO"/>
              </w:rPr>
            </w:pPr>
          </w:p>
        </w:tc>
        <w:tc>
          <w:tcPr>
            <w:tcW w:w="1480" w:type="dxa"/>
            <w:vMerge/>
            <w:tcBorders>
              <w:top w:val="single" w:sz="4" w:space="0" w:color="auto"/>
              <w:left w:val="single" w:sz="4" w:space="0" w:color="auto"/>
              <w:bottom w:val="single" w:sz="4" w:space="0" w:color="000000"/>
              <w:right w:val="single" w:sz="4" w:space="0" w:color="auto"/>
            </w:tcBorders>
            <w:vAlign w:val="center"/>
            <w:hideMark/>
          </w:tcPr>
          <w:p w14:paraId="24279B61" w14:textId="77777777" w:rsidR="00A23843" w:rsidRPr="008832FB" w:rsidRDefault="00A23843" w:rsidP="00A23843">
            <w:pPr>
              <w:spacing w:line="276" w:lineRule="auto"/>
              <w:jc w:val="center"/>
              <w:rPr>
                <w:rFonts w:asciiTheme="minorHAnsi" w:hAnsiTheme="minorHAnsi" w:cstheme="minorHAnsi"/>
                <w:b/>
                <w:bCs/>
                <w:color w:val="000000"/>
                <w:sz w:val="26"/>
                <w:szCs w:val="26"/>
                <w:lang w:eastAsia="ro-RO"/>
              </w:rPr>
            </w:pPr>
          </w:p>
        </w:tc>
        <w:tc>
          <w:tcPr>
            <w:tcW w:w="1512" w:type="dxa"/>
            <w:tcBorders>
              <w:top w:val="nil"/>
              <w:left w:val="nil"/>
              <w:bottom w:val="single" w:sz="4" w:space="0" w:color="auto"/>
              <w:right w:val="single" w:sz="4" w:space="0" w:color="auto"/>
            </w:tcBorders>
            <w:noWrap/>
            <w:vAlign w:val="bottom"/>
            <w:hideMark/>
          </w:tcPr>
          <w:p w14:paraId="1E80A844" w14:textId="77777777" w:rsidR="00A23843" w:rsidRPr="008832FB" w:rsidRDefault="00A23843" w:rsidP="00A23843">
            <w:pPr>
              <w:spacing w:line="276" w:lineRule="auto"/>
              <w:jc w:val="center"/>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apt</w:t>
            </w:r>
          </w:p>
        </w:tc>
        <w:tc>
          <w:tcPr>
            <w:tcW w:w="937" w:type="dxa"/>
            <w:tcBorders>
              <w:top w:val="nil"/>
              <w:left w:val="nil"/>
              <w:bottom w:val="single" w:sz="4" w:space="0" w:color="auto"/>
              <w:right w:val="single" w:sz="4" w:space="0" w:color="auto"/>
            </w:tcBorders>
            <w:noWrap/>
            <w:vAlign w:val="bottom"/>
            <w:hideMark/>
          </w:tcPr>
          <w:p w14:paraId="48C3EBE1" w14:textId="77777777" w:rsidR="00A23843" w:rsidRPr="008832FB" w:rsidRDefault="00A23843" w:rsidP="00A23843">
            <w:pPr>
              <w:spacing w:line="276" w:lineRule="auto"/>
              <w:jc w:val="center"/>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procent</w:t>
            </w:r>
          </w:p>
        </w:tc>
        <w:tc>
          <w:tcPr>
            <w:tcW w:w="1732" w:type="dxa"/>
            <w:tcBorders>
              <w:top w:val="nil"/>
              <w:left w:val="nil"/>
              <w:bottom w:val="single" w:sz="4" w:space="0" w:color="auto"/>
              <w:right w:val="single" w:sz="4" w:space="0" w:color="auto"/>
            </w:tcBorders>
            <w:noWrap/>
            <w:vAlign w:val="bottom"/>
            <w:hideMark/>
          </w:tcPr>
          <w:p w14:paraId="1F3CF2E7" w14:textId="77777777" w:rsidR="00A23843" w:rsidRPr="008832FB" w:rsidRDefault="00A23843" w:rsidP="00A23843">
            <w:pPr>
              <w:spacing w:line="276" w:lineRule="auto"/>
              <w:jc w:val="center"/>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inapt</w:t>
            </w:r>
          </w:p>
        </w:tc>
        <w:tc>
          <w:tcPr>
            <w:tcW w:w="986" w:type="dxa"/>
            <w:tcBorders>
              <w:top w:val="nil"/>
              <w:left w:val="nil"/>
              <w:bottom w:val="single" w:sz="4" w:space="0" w:color="auto"/>
              <w:right w:val="single" w:sz="4" w:space="0" w:color="auto"/>
            </w:tcBorders>
            <w:noWrap/>
            <w:vAlign w:val="bottom"/>
            <w:hideMark/>
          </w:tcPr>
          <w:p w14:paraId="003F4B6F" w14:textId="77777777" w:rsidR="00A23843" w:rsidRPr="008832FB" w:rsidRDefault="00A23843" w:rsidP="00A23843">
            <w:pPr>
              <w:spacing w:line="276" w:lineRule="auto"/>
              <w:jc w:val="center"/>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procent</w:t>
            </w:r>
          </w:p>
        </w:tc>
      </w:tr>
      <w:tr w:rsidR="00A23843" w:rsidRPr="008832FB" w14:paraId="6AF242D4" w14:textId="77777777" w:rsidTr="00A23843">
        <w:trPr>
          <w:trHeight w:val="703"/>
        </w:trPr>
        <w:tc>
          <w:tcPr>
            <w:tcW w:w="3335" w:type="dxa"/>
            <w:tcBorders>
              <w:top w:val="nil"/>
              <w:left w:val="single" w:sz="4" w:space="0" w:color="auto"/>
              <w:bottom w:val="single" w:sz="4" w:space="0" w:color="auto"/>
              <w:right w:val="single" w:sz="4" w:space="0" w:color="auto"/>
            </w:tcBorders>
            <w:noWrap/>
            <w:vAlign w:val="bottom"/>
            <w:hideMark/>
          </w:tcPr>
          <w:p w14:paraId="2E8B44C8" w14:textId="77777777" w:rsidR="00A23843" w:rsidRPr="008832FB" w:rsidRDefault="00A23843" w:rsidP="00A23843">
            <w:pPr>
              <w:spacing w:line="276" w:lineRule="auto"/>
              <w:jc w:val="both"/>
              <w:rPr>
                <w:rFonts w:asciiTheme="minorHAnsi" w:hAnsiTheme="minorHAnsi" w:cstheme="minorHAnsi"/>
                <w:color w:val="000000"/>
                <w:sz w:val="26"/>
                <w:szCs w:val="26"/>
                <w:lang w:eastAsia="ro-RO"/>
              </w:rPr>
            </w:pPr>
            <w:r w:rsidRPr="008832FB">
              <w:rPr>
                <w:rFonts w:asciiTheme="minorHAnsi" w:hAnsiTheme="minorHAnsi" w:cstheme="minorHAnsi"/>
                <w:color w:val="000000"/>
                <w:sz w:val="26"/>
                <w:szCs w:val="26"/>
                <w:lang w:eastAsia="ro-RO"/>
              </w:rPr>
              <w:lastRenderedPageBreak/>
              <w:t>numirea  în funcții de conducere a judecătorilor</w:t>
            </w:r>
          </w:p>
        </w:tc>
        <w:tc>
          <w:tcPr>
            <w:tcW w:w="1480" w:type="dxa"/>
            <w:tcBorders>
              <w:top w:val="single" w:sz="4" w:space="0" w:color="auto"/>
              <w:left w:val="single" w:sz="4" w:space="0" w:color="auto"/>
              <w:bottom w:val="single" w:sz="4" w:space="0" w:color="auto"/>
              <w:right w:val="single" w:sz="4" w:space="0" w:color="auto"/>
            </w:tcBorders>
            <w:noWrap/>
            <w:vAlign w:val="bottom"/>
          </w:tcPr>
          <w:p w14:paraId="2FDA6655"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4</w:t>
            </w:r>
          </w:p>
        </w:tc>
        <w:tc>
          <w:tcPr>
            <w:tcW w:w="1512" w:type="dxa"/>
            <w:tcBorders>
              <w:top w:val="single" w:sz="4" w:space="0" w:color="auto"/>
              <w:left w:val="nil"/>
              <w:bottom w:val="single" w:sz="4" w:space="0" w:color="auto"/>
              <w:right w:val="single" w:sz="4" w:space="0" w:color="auto"/>
            </w:tcBorders>
            <w:noWrap/>
            <w:vAlign w:val="bottom"/>
          </w:tcPr>
          <w:p w14:paraId="6894A757"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2</w:t>
            </w:r>
          </w:p>
        </w:tc>
        <w:tc>
          <w:tcPr>
            <w:tcW w:w="937" w:type="dxa"/>
            <w:tcBorders>
              <w:top w:val="single" w:sz="4" w:space="0" w:color="auto"/>
              <w:left w:val="nil"/>
              <w:bottom w:val="single" w:sz="4" w:space="0" w:color="auto"/>
              <w:right w:val="single" w:sz="4" w:space="0" w:color="auto"/>
            </w:tcBorders>
            <w:noWrap/>
            <w:vAlign w:val="bottom"/>
          </w:tcPr>
          <w:p w14:paraId="29E493FE"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50,00%</w:t>
            </w:r>
          </w:p>
        </w:tc>
        <w:tc>
          <w:tcPr>
            <w:tcW w:w="1732" w:type="dxa"/>
            <w:tcBorders>
              <w:top w:val="single" w:sz="4" w:space="0" w:color="auto"/>
              <w:left w:val="nil"/>
              <w:bottom w:val="single" w:sz="4" w:space="0" w:color="auto"/>
              <w:right w:val="single" w:sz="4" w:space="0" w:color="auto"/>
            </w:tcBorders>
            <w:noWrap/>
            <w:vAlign w:val="bottom"/>
          </w:tcPr>
          <w:p w14:paraId="410E3384"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2</w:t>
            </w:r>
          </w:p>
        </w:tc>
        <w:tc>
          <w:tcPr>
            <w:tcW w:w="986" w:type="dxa"/>
            <w:tcBorders>
              <w:top w:val="single" w:sz="4" w:space="0" w:color="auto"/>
              <w:left w:val="nil"/>
              <w:bottom w:val="single" w:sz="4" w:space="0" w:color="auto"/>
              <w:right w:val="single" w:sz="4" w:space="0" w:color="auto"/>
            </w:tcBorders>
            <w:noWrap/>
            <w:vAlign w:val="bottom"/>
          </w:tcPr>
          <w:p w14:paraId="58DB2A4A"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50,00%</w:t>
            </w:r>
          </w:p>
        </w:tc>
      </w:tr>
      <w:tr w:rsidR="00A23843" w:rsidRPr="008832FB" w14:paraId="3429A245" w14:textId="77777777" w:rsidTr="00A23843">
        <w:trPr>
          <w:trHeight w:val="698"/>
        </w:trPr>
        <w:tc>
          <w:tcPr>
            <w:tcW w:w="3335" w:type="dxa"/>
            <w:tcBorders>
              <w:top w:val="nil"/>
              <w:left w:val="single" w:sz="4" w:space="0" w:color="auto"/>
              <w:bottom w:val="single" w:sz="4" w:space="0" w:color="auto"/>
              <w:right w:val="single" w:sz="4" w:space="0" w:color="auto"/>
            </w:tcBorders>
            <w:noWrap/>
            <w:vAlign w:val="bottom"/>
            <w:hideMark/>
          </w:tcPr>
          <w:p w14:paraId="6AFAB912" w14:textId="77777777" w:rsidR="00A23843" w:rsidRPr="008832FB" w:rsidRDefault="00A23843" w:rsidP="00A23843">
            <w:pPr>
              <w:spacing w:line="276" w:lineRule="auto"/>
              <w:jc w:val="both"/>
              <w:rPr>
                <w:rFonts w:asciiTheme="minorHAnsi" w:hAnsiTheme="minorHAnsi" w:cstheme="minorHAnsi"/>
                <w:color w:val="000000"/>
                <w:sz w:val="26"/>
                <w:szCs w:val="26"/>
                <w:lang w:eastAsia="ro-RO"/>
              </w:rPr>
            </w:pPr>
            <w:r w:rsidRPr="008832FB">
              <w:rPr>
                <w:rFonts w:asciiTheme="minorHAnsi" w:hAnsiTheme="minorHAnsi" w:cstheme="minorHAnsi"/>
                <w:color w:val="000000"/>
                <w:sz w:val="26"/>
                <w:szCs w:val="26"/>
                <w:lang w:eastAsia="ro-RO"/>
              </w:rPr>
              <w:t>numirea  în func</w:t>
            </w:r>
            <w:r w:rsidRPr="000F0D8B">
              <w:rPr>
                <w:rFonts w:asciiTheme="minorHAnsi" w:hAnsiTheme="minorHAnsi" w:cstheme="minorHAnsi"/>
                <w:color w:val="000000"/>
                <w:sz w:val="26"/>
                <w:szCs w:val="26"/>
                <w:lang w:eastAsia="ro-RO"/>
              </w:rPr>
              <w:t>ț</w:t>
            </w:r>
            <w:r w:rsidRPr="008832FB">
              <w:rPr>
                <w:rFonts w:asciiTheme="minorHAnsi" w:hAnsiTheme="minorHAnsi" w:cstheme="minorHAnsi"/>
                <w:color w:val="000000"/>
                <w:sz w:val="26"/>
                <w:szCs w:val="26"/>
                <w:lang w:eastAsia="ro-RO"/>
              </w:rPr>
              <w:t>ii de conducere a procurorilor</w:t>
            </w:r>
          </w:p>
        </w:tc>
        <w:tc>
          <w:tcPr>
            <w:tcW w:w="1480" w:type="dxa"/>
            <w:tcBorders>
              <w:top w:val="single" w:sz="4" w:space="0" w:color="auto"/>
              <w:left w:val="single" w:sz="4" w:space="0" w:color="auto"/>
              <w:bottom w:val="single" w:sz="4" w:space="0" w:color="auto"/>
              <w:right w:val="single" w:sz="4" w:space="0" w:color="auto"/>
            </w:tcBorders>
            <w:noWrap/>
            <w:vAlign w:val="bottom"/>
          </w:tcPr>
          <w:p w14:paraId="2F9AE3B2"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1</w:t>
            </w:r>
          </w:p>
        </w:tc>
        <w:tc>
          <w:tcPr>
            <w:tcW w:w="1512" w:type="dxa"/>
            <w:tcBorders>
              <w:top w:val="single" w:sz="4" w:space="0" w:color="auto"/>
              <w:left w:val="nil"/>
              <w:bottom w:val="single" w:sz="4" w:space="0" w:color="auto"/>
              <w:right w:val="single" w:sz="4" w:space="0" w:color="auto"/>
            </w:tcBorders>
            <w:noWrap/>
            <w:vAlign w:val="bottom"/>
          </w:tcPr>
          <w:p w14:paraId="641DFCC0"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0</w:t>
            </w:r>
          </w:p>
        </w:tc>
        <w:tc>
          <w:tcPr>
            <w:tcW w:w="937" w:type="dxa"/>
            <w:tcBorders>
              <w:top w:val="single" w:sz="4" w:space="0" w:color="auto"/>
              <w:left w:val="nil"/>
              <w:bottom w:val="single" w:sz="4" w:space="0" w:color="auto"/>
              <w:right w:val="single" w:sz="4" w:space="0" w:color="auto"/>
            </w:tcBorders>
            <w:noWrap/>
            <w:vAlign w:val="bottom"/>
          </w:tcPr>
          <w:p w14:paraId="6D7650D3"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0,00%</w:t>
            </w:r>
          </w:p>
        </w:tc>
        <w:tc>
          <w:tcPr>
            <w:tcW w:w="1732" w:type="dxa"/>
            <w:tcBorders>
              <w:top w:val="single" w:sz="4" w:space="0" w:color="auto"/>
              <w:left w:val="nil"/>
              <w:bottom w:val="single" w:sz="4" w:space="0" w:color="auto"/>
              <w:right w:val="single" w:sz="4" w:space="0" w:color="auto"/>
            </w:tcBorders>
            <w:noWrap/>
            <w:vAlign w:val="bottom"/>
          </w:tcPr>
          <w:p w14:paraId="6F07B140"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1</w:t>
            </w:r>
          </w:p>
        </w:tc>
        <w:tc>
          <w:tcPr>
            <w:tcW w:w="986" w:type="dxa"/>
            <w:tcBorders>
              <w:top w:val="single" w:sz="4" w:space="0" w:color="auto"/>
              <w:left w:val="nil"/>
              <w:bottom w:val="single" w:sz="4" w:space="0" w:color="auto"/>
              <w:right w:val="single" w:sz="4" w:space="0" w:color="auto"/>
            </w:tcBorders>
            <w:noWrap/>
            <w:vAlign w:val="bottom"/>
          </w:tcPr>
          <w:p w14:paraId="1527D52B"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100,00%</w:t>
            </w:r>
          </w:p>
        </w:tc>
      </w:tr>
      <w:tr w:rsidR="00A23843" w:rsidRPr="008832FB" w14:paraId="3E3FDF9E" w14:textId="77777777" w:rsidTr="00A23843">
        <w:trPr>
          <w:trHeight w:val="468"/>
        </w:trPr>
        <w:tc>
          <w:tcPr>
            <w:tcW w:w="3335" w:type="dxa"/>
            <w:tcBorders>
              <w:top w:val="nil"/>
              <w:left w:val="single" w:sz="4" w:space="0" w:color="auto"/>
              <w:bottom w:val="single" w:sz="4" w:space="0" w:color="auto"/>
              <w:right w:val="single" w:sz="4" w:space="0" w:color="auto"/>
            </w:tcBorders>
            <w:noWrap/>
            <w:vAlign w:val="bottom"/>
            <w:hideMark/>
          </w:tcPr>
          <w:p w14:paraId="3C430E21" w14:textId="77777777" w:rsidR="00A23843" w:rsidRPr="008832FB" w:rsidRDefault="00A23843" w:rsidP="00A23843">
            <w:pPr>
              <w:spacing w:line="276" w:lineRule="auto"/>
              <w:jc w:val="both"/>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Total</w:t>
            </w:r>
          </w:p>
        </w:tc>
        <w:tc>
          <w:tcPr>
            <w:tcW w:w="1480" w:type="dxa"/>
            <w:tcBorders>
              <w:top w:val="single" w:sz="4" w:space="0" w:color="auto"/>
              <w:left w:val="single" w:sz="4" w:space="0" w:color="auto"/>
              <w:bottom w:val="single" w:sz="4" w:space="0" w:color="auto"/>
              <w:right w:val="single" w:sz="4" w:space="0" w:color="auto"/>
            </w:tcBorders>
            <w:noWrap/>
            <w:vAlign w:val="bottom"/>
          </w:tcPr>
          <w:p w14:paraId="7381D264" w14:textId="77777777" w:rsidR="00A23843" w:rsidRPr="008832FB" w:rsidRDefault="00A23843" w:rsidP="00A23843">
            <w:pPr>
              <w:spacing w:line="276" w:lineRule="auto"/>
              <w:jc w:val="center"/>
              <w:rPr>
                <w:rFonts w:asciiTheme="minorHAnsi" w:eastAsiaTheme="minorHAnsi" w:hAnsiTheme="minorHAnsi" w:cstheme="minorHAnsi"/>
                <w:b/>
                <w:bCs/>
                <w:color w:val="000000"/>
                <w:sz w:val="26"/>
                <w:szCs w:val="26"/>
              </w:rPr>
            </w:pPr>
            <w:r w:rsidRPr="008832FB">
              <w:rPr>
                <w:rFonts w:asciiTheme="minorHAnsi" w:eastAsiaTheme="minorHAnsi" w:hAnsiTheme="minorHAnsi" w:cstheme="minorHAnsi"/>
                <w:color w:val="000000"/>
                <w:sz w:val="26"/>
                <w:szCs w:val="26"/>
              </w:rPr>
              <w:t>5</w:t>
            </w:r>
          </w:p>
        </w:tc>
        <w:tc>
          <w:tcPr>
            <w:tcW w:w="1512" w:type="dxa"/>
            <w:tcBorders>
              <w:top w:val="single" w:sz="4" w:space="0" w:color="auto"/>
              <w:left w:val="nil"/>
              <w:bottom w:val="single" w:sz="4" w:space="0" w:color="auto"/>
              <w:right w:val="single" w:sz="4" w:space="0" w:color="auto"/>
            </w:tcBorders>
            <w:noWrap/>
            <w:vAlign w:val="bottom"/>
          </w:tcPr>
          <w:p w14:paraId="56712E54" w14:textId="77777777" w:rsidR="00A23843" w:rsidRPr="008832FB" w:rsidRDefault="00A23843" w:rsidP="00A23843">
            <w:pPr>
              <w:spacing w:line="276" w:lineRule="auto"/>
              <w:jc w:val="center"/>
              <w:rPr>
                <w:rFonts w:asciiTheme="minorHAnsi" w:eastAsiaTheme="minorHAnsi" w:hAnsiTheme="minorHAnsi" w:cstheme="minorHAnsi"/>
                <w:b/>
                <w:bCs/>
                <w:color w:val="000000"/>
                <w:sz w:val="26"/>
                <w:szCs w:val="26"/>
              </w:rPr>
            </w:pPr>
            <w:r w:rsidRPr="008832FB">
              <w:rPr>
                <w:rFonts w:asciiTheme="minorHAnsi" w:eastAsiaTheme="minorHAnsi" w:hAnsiTheme="minorHAnsi" w:cstheme="minorHAnsi"/>
                <w:color w:val="000000"/>
                <w:sz w:val="26"/>
                <w:szCs w:val="26"/>
              </w:rPr>
              <w:t>2</w:t>
            </w:r>
          </w:p>
        </w:tc>
        <w:tc>
          <w:tcPr>
            <w:tcW w:w="937" w:type="dxa"/>
            <w:tcBorders>
              <w:top w:val="single" w:sz="4" w:space="0" w:color="auto"/>
              <w:left w:val="nil"/>
              <w:bottom w:val="single" w:sz="4" w:space="0" w:color="auto"/>
              <w:right w:val="single" w:sz="4" w:space="0" w:color="auto"/>
            </w:tcBorders>
            <w:noWrap/>
            <w:vAlign w:val="bottom"/>
          </w:tcPr>
          <w:p w14:paraId="4F0B2ADA"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40,00%</w:t>
            </w:r>
          </w:p>
        </w:tc>
        <w:tc>
          <w:tcPr>
            <w:tcW w:w="1732" w:type="dxa"/>
            <w:tcBorders>
              <w:top w:val="single" w:sz="4" w:space="0" w:color="auto"/>
              <w:left w:val="nil"/>
              <w:bottom w:val="single" w:sz="4" w:space="0" w:color="auto"/>
              <w:right w:val="single" w:sz="4" w:space="0" w:color="auto"/>
            </w:tcBorders>
            <w:noWrap/>
            <w:vAlign w:val="bottom"/>
          </w:tcPr>
          <w:p w14:paraId="7A77BAF8" w14:textId="77777777" w:rsidR="00A23843" w:rsidRPr="008832FB" w:rsidRDefault="00A23843" w:rsidP="00A23843">
            <w:pPr>
              <w:spacing w:line="276" w:lineRule="auto"/>
              <w:jc w:val="center"/>
              <w:rPr>
                <w:rFonts w:asciiTheme="minorHAnsi" w:eastAsiaTheme="minorHAnsi" w:hAnsiTheme="minorHAnsi" w:cstheme="minorHAnsi"/>
                <w:b/>
                <w:bCs/>
                <w:color w:val="000000"/>
                <w:sz w:val="26"/>
                <w:szCs w:val="26"/>
              </w:rPr>
            </w:pPr>
            <w:r w:rsidRPr="008832FB">
              <w:rPr>
                <w:rFonts w:asciiTheme="minorHAnsi" w:eastAsiaTheme="minorHAnsi" w:hAnsiTheme="minorHAnsi" w:cstheme="minorHAnsi"/>
                <w:color w:val="000000"/>
                <w:sz w:val="26"/>
                <w:szCs w:val="26"/>
              </w:rPr>
              <w:t>3</w:t>
            </w:r>
          </w:p>
        </w:tc>
        <w:tc>
          <w:tcPr>
            <w:tcW w:w="986" w:type="dxa"/>
            <w:tcBorders>
              <w:top w:val="single" w:sz="4" w:space="0" w:color="auto"/>
              <w:left w:val="nil"/>
              <w:bottom w:val="single" w:sz="4" w:space="0" w:color="auto"/>
              <w:right w:val="single" w:sz="4" w:space="0" w:color="auto"/>
            </w:tcBorders>
            <w:noWrap/>
            <w:vAlign w:val="bottom"/>
          </w:tcPr>
          <w:p w14:paraId="5E4CAAC3"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60,00%</w:t>
            </w:r>
          </w:p>
        </w:tc>
      </w:tr>
    </w:tbl>
    <w:p w14:paraId="33729601" w14:textId="77777777" w:rsidR="00A23843" w:rsidRDefault="00A23843" w:rsidP="00A23843">
      <w:pPr>
        <w:tabs>
          <w:tab w:val="left" w:pos="3120"/>
        </w:tabs>
        <w:spacing w:line="276" w:lineRule="auto"/>
        <w:jc w:val="both"/>
        <w:rPr>
          <w:rFonts w:asciiTheme="minorHAnsi" w:eastAsiaTheme="minorHAnsi" w:hAnsiTheme="minorHAnsi" w:cstheme="minorHAnsi"/>
          <w:sz w:val="26"/>
          <w:szCs w:val="26"/>
          <w:shd w:val="clear" w:color="auto" w:fill="FFFFFF"/>
        </w:rPr>
      </w:pPr>
    </w:p>
    <w:p w14:paraId="4DF16387" w14:textId="77777777" w:rsidR="00A23843" w:rsidRPr="008832FB" w:rsidRDefault="00A23843" w:rsidP="00A23843">
      <w:pPr>
        <w:tabs>
          <w:tab w:val="left" w:pos="3120"/>
        </w:tabs>
        <w:spacing w:line="276" w:lineRule="auto"/>
        <w:jc w:val="both"/>
        <w:rPr>
          <w:rFonts w:asciiTheme="minorHAnsi" w:eastAsiaTheme="minorHAnsi" w:hAnsiTheme="minorHAnsi" w:cstheme="minorHAnsi"/>
          <w:sz w:val="26"/>
          <w:szCs w:val="26"/>
          <w:shd w:val="clear" w:color="auto" w:fill="FFFFFF"/>
        </w:rPr>
      </w:pPr>
    </w:p>
    <w:tbl>
      <w:tblPr>
        <w:tblW w:w="10194" w:type="dxa"/>
        <w:tblLook w:val="04A0" w:firstRow="1" w:lastRow="0" w:firstColumn="1" w:lastColumn="0" w:noHBand="0" w:noVBand="1"/>
      </w:tblPr>
      <w:tblGrid>
        <w:gridCol w:w="3277"/>
        <w:gridCol w:w="1583"/>
        <w:gridCol w:w="1534"/>
        <w:gridCol w:w="1058"/>
        <w:gridCol w:w="1685"/>
        <w:gridCol w:w="1126"/>
      </w:tblGrid>
      <w:tr w:rsidR="00A23843" w:rsidRPr="008832FB" w14:paraId="2BBEF074" w14:textId="77777777" w:rsidTr="00A23843">
        <w:trPr>
          <w:trHeight w:val="288"/>
        </w:trPr>
        <w:tc>
          <w:tcPr>
            <w:tcW w:w="3277" w:type="dxa"/>
            <w:vMerge w:val="restart"/>
            <w:tcBorders>
              <w:top w:val="single" w:sz="4" w:space="0" w:color="auto"/>
              <w:left w:val="single" w:sz="4" w:space="0" w:color="auto"/>
              <w:right w:val="single" w:sz="4" w:space="0" w:color="auto"/>
            </w:tcBorders>
            <w:noWrap/>
            <w:vAlign w:val="bottom"/>
            <w:hideMark/>
          </w:tcPr>
          <w:p w14:paraId="4084109A" w14:textId="77777777" w:rsidR="00A23843" w:rsidRPr="008832FB" w:rsidRDefault="00A23843" w:rsidP="00A23843">
            <w:pPr>
              <w:spacing w:line="276" w:lineRule="auto"/>
              <w:jc w:val="both"/>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Concurs/procedură</w:t>
            </w:r>
          </w:p>
          <w:p w14:paraId="257DC6A1" w14:textId="77777777" w:rsidR="00A23843" w:rsidRPr="008832FB" w:rsidRDefault="00A23843" w:rsidP="00A23843">
            <w:pPr>
              <w:spacing w:line="276" w:lineRule="auto"/>
              <w:jc w:val="both"/>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 </w:t>
            </w:r>
          </w:p>
        </w:tc>
        <w:tc>
          <w:tcPr>
            <w:tcW w:w="1553" w:type="dxa"/>
            <w:vMerge w:val="restart"/>
            <w:tcBorders>
              <w:top w:val="single" w:sz="4" w:space="0" w:color="auto"/>
              <w:left w:val="single" w:sz="4" w:space="0" w:color="auto"/>
              <w:bottom w:val="single" w:sz="4" w:space="0" w:color="000000"/>
              <w:right w:val="single" w:sz="4" w:space="0" w:color="auto"/>
            </w:tcBorders>
            <w:noWrap/>
            <w:vAlign w:val="bottom"/>
            <w:hideMark/>
          </w:tcPr>
          <w:p w14:paraId="6539CA6E" w14:textId="77777777" w:rsidR="00A23843" w:rsidRPr="008832FB" w:rsidRDefault="00A23843" w:rsidP="00A23843">
            <w:pPr>
              <w:spacing w:line="276" w:lineRule="auto"/>
              <w:jc w:val="center"/>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Persoane reexaminate</w:t>
            </w:r>
          </w:p>
        </w:tc>
        <w:tc>
          <w:tcPr>
            <w:tcW w:w="5364" w:type="dxa"/>
            <w:gridSpan w:val="4"/>
            <w:tcBorders>
              <w:top w:val="single" w:sz="4" w:space="0" w:color="auto"/>
              <w:left w:val="nil"/>
              <w:bottom w:val="single" w:sz="4" w:space="0" w:color="auto"/>
              <w:right w:val="single" w:sz="4" w:space="0" w:color="auto"/>
            </w:tcBorders>
            <w:noWrap/>
            <w:vAlign w:val="bottom"/>
            <w:hideMark/>
          </w:tcPr>
          <w:p w14:paraId="7517C3C9" w14:textId="77777777" w:rsidR="00A23843" w:rsidRPr="008832FB" w:rsidRDefault="00A23843" w:rsidP="00A23843">
            <w:pPr>
              <w:spacing w:line="276" w:lineRule="auto"/>
              <w:jc w:val="center"/>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Calificative acordate</w:t>
            </w:r>
          </w:p>
        </w:tc>
      </w:tr>
      <w:tr w:rsidR="00A23843" w:rsidRPr="008832FB" w14:paraId="7E8B542E" w14:textId="77777777" w:rsidTr="00A23843">
        <w:trPr>
          <w:trHeight w:val="288"/>
        </w:trPr>
        <w:tc>
          <w:tcPr>
            <w:tcW w:w="3277" w:type="dxa"/>
            <w:vMerge/>
            <w:tcBorders>
              <w:left w:val="single" w:sz="4" w:space="0" w:color="auto"/>
              <w:bottom w:val="single" w:sz="4" w:space="0" w:color="auto"/>
              <w:right w:val="single" w:sz="4" w:space="0" w:color="auto"/>
            </w:tcBorders>
            <w:noWrap/>
            <w:vAlign w:val="bottom"/>
            <w:hideMark/>
          </w:tcPr>
          <w:p w14:paraId="571B647C" w14:textId="77777777" w:rsidR="00A23843" w:rsidRPr="008832FB" w:rsidRDefault="00A23843" w:rsidP="00A23843">
            <w:pPr>
              <w:spacing w:line="276" w:lineRule="auto"/>
              <w:jc w:val="both"/>
              <w:rPr>
                <w:rFonts w:asciiTheme="minorHAnsi" w:hAnsiTheme="minorHAnsi" w:cstheme="minorHAnsi"/>
                <w:b/>
                <w:bCs/>
                <w:color w:val="000000"/>
                <w:sz w:val="26"/>
                <w:szCs w:val="26"/>
                <w:lang w:eastAsia="ro-RO"/>
              </w:rPr>
            </w:pPr>
          </w:p>
        </w:tc>
        <w:tc>
          <w:tcPr>
            <w:tcW w:w="1553" w:type="dxa"/>
            <w:vMerge/>
            <w:tcBorders>
              <w:top w:val="single" w:sz="4" w:space="0" w:color="auto"/>
              <w:left w:val="single" w:sz="4" w:space="0" w:color="auto"/>
              <w:bottom w:val="single" w:sz="4" w:space="0" w:color="000000"/>
              <w:right w:val="single" w:sz="4" w:space="0" w:color="auto"/>
            </w:tcBorders>
            <w:vAlign w:val="center"/>
            <w:hideMark/>
          </w:tcPr>
          <w:p w14:paraId="50EADACA" w14:textId="77777777" w:rsidR="00A23843" w:rsidRPr="008832FB" w:rsidRDefault="00A23843" w:rsidP="00A23843">
            <w:pPr>
              <w:spacing w:line="276" w:lineRule="auto"/>
              <w:jc w:val="center"/>
              <w:rPr>
                <w:rFonts w:asciiTheme="minorHAnsi" w:hAnsiTheme="minorHAnsi" w:cstheme="minorHAnsi"/>
                <w:b/>
                <w:bCs/>
                <w:color w:val="000000"/>
                <w:sz w:val="26"/>
                <w:szCs w:val="26"/>
                <w:lang w:eastAsia="ro-RO"/>
              </w:rPr>
            </w:pPr>
          </w:p>
        </w:tc>
        <w:tc>
          <w:tcPr>
            <w:tcW w:w="1534" w:type="dxa"/>
            <w:tcBorders>
              <w:top w:val="nil"/>
              <w:left w:val="nil"/>
              <w:bottom w:val="single" w:sz="4" w:space="0" w:color="auto"/>
              <w:right w:val="single" w:sz="4" w:space="0" w:color="auto"/>
            </w:tcBorders>
            <w:noWrap/>
            <w:vAlign w:val="bottom"/>
            <w:hideMark/>
          </w:tcPr>
          <w:p w14:paraId="5CD846E1" w14:textId="77777777" w:rsidR="00A23843" w:rsidRPr="008832FB" w:rsidRDefault="00A23843" w:rsidP="00A23843">
            <w:pPr>
              <w:spacing w:line="276" w:lineRule="auto"/>
              <w:jc w:val="center"/>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admis</w:t>
            </w:r>
          </w:p>
        </w:tc>
        <w:tc>
          <w:tcPr>
            <w:tcW w:w="1039" w:type="dxa"/>
            <w:tcBorders>
              <w:top w:val="nil"/>
              <w:left w:val="nil"/>
              <w:bottom w:val="single" w:sz="4" w:space="0" w:color="auto"/>
              <w:right w:val="single" w:sz="4" w:space="0" w:color="auto"/>
            </w:tcBorders>
            <w:noWrap/>
            <w:vAlign w:val="bottom"/>
            <w:hideMark/>
          </w:tcPr>
          <w:p w14:paraId="70241B39" w14:textId="77777777" w:rsidR="00A23843" w:rsidRPr="008832FB" w:rsidRDefault="00A23843" w:rsidP="00A23843">
            <w:pPr>
              <w:spacing w:line="276" w:lineRule="auto"/>
              <w:jc w:val="center"/>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procent</w:t>
            </w:r>
          </w:p>
        </w:tc>
        <w:tc>
          <w:tcPr>
            <w:tcW w:w="1685" w:type="dxa"/>
            <w:tcBorders>
              <w:top w:val="nil"/>
              <w:left w:val="nil"/>
              <w:bottom w:val="single" w:sz="4" w:space="0" w:color="auto"/>
              <w:right w:val="single" w:sz="4" w:space="0" w:color="auto"/>
            </w:tcBorders>
            <w:noWrap/>
            <w:vAlign w:val="bottom"/>
            <w:hideMark/>
          </w:tcPr>
          <w:p w14:paraId="343552B8" w14:textId="77777777" w:rsidR="00A23843" w:rsidRPr="008832FB" w:rsidRDefault="00A23843" w:rsidP="00A23843">
            <w:pPr>
              <w:spacing w:line="276" w:lineRule="auto"/>
              <w:jc w:val="center"/>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respins</w:t>
            </w:r>
          </w:p>
        </w:tc>
        <w:tc>
          <w:tcPr>
            <w:tcW w:w="1106" w:type="dxa"/>
            <w:tcBorders>
              <w:top w:val="nil"/>
              <w:left w:val="nil"/>
              <w:bottom w:val="single" w:sz="4" w:space="0" w:color="auto"/>
              <w:right w:val="single" w:sz="4" w:space="0" w:color="auto"/>
            </w:tcBorders>
            <w:noWrap/>
            <w:vAlign w:val="bottom"/>
            <w:hideMark/>
          </w:tcPr>
          <w:p w14:paraId="7CB31DCE" w14:textId="77777777" w:rsidR="00A23843" w:rsidRPr="008832FB" w:rsidRDefault="00A23843" w:rsidP="00A23843">
            <w:pPr>
              <w:spacing w:line="276" w:lineRule="auto"/>
              <w:jc w:val="center"/>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procent</w:t>
            </w:r>
          </w:p>
        </w:tc>
      </w:tr>
      <w:tr w:rsidR="00A23843" w:rsidRPr="008832FB" w14:paraId="6AD08ED1" w14:textId="77777777" w:rsidTr="00A23843">
        <w:trPr>
          <w:trHeight w:val="444"/>
        </w:trPr>
        <w:tc>
          <w:tcPr>
            <w:tcW w:w="3277" w:type="dxa"/>
            <w:tcBorders>
              <w:top w:val="nil"/>
              <w:left w:val="single" w:sz="4" w:space="0" w:color="auto"/>
              <w:bottom w:val="single" w:sz="4" w:space="0" w:color="auto"/>
              <w:right w:val="single" w:sz="4" w:space="0" w:color="auto"/>
            </w:tcBorders>
            <w:noWrap/>
            <w:vAlign w:val="bottom"/>
          </w:tcPr>
          <w:p w14:paraId="42295BBA" w14:textId="77777777" w:rsidR="00A23843" w:rsidRPr="008832FB" w:rsidRDefault="00A23843" w:rsidP="00A23843">
            <w:pPr>
              <w:spacing w:line="276" w:lineRule="auto"/>
              <w:jc w:val="both"/>
              <w:rPr>
                <w:rFonts w:asciiTheme="minorHAnsi" w:hAnsiTheme="minorHAnsi" w:cstheme="minorHAnsi"/>
                <w:color w:val="000000"/>
                <w:sz w:val="26"/>
                <w:szCs w:val="26"/>
                <w:lang w:eastAsia="ro-RO"/>
              </w:rPr>
            </w:pPr>
            <w:r w:rsidRPr="008832FB">
              <w:rPr>
                <w:rFonts w:asciiTheme="minorHAnsi" w:hAnsiTheme="minorHAnsi" w:cstheme="minorHAnsi"/>
                <w:color w:val="000000"/>
                <w:sz w:val="26"/>
                <w:szCs w:val="26"/>
                <w:lang w:eastAsia="ro-RO"/>
              </w:rPr>
              <w:t>admitere magistratură</w:t>
            </w:r>
          </w:p>
        </w:tc>
        <w:tc>
          <w:tcPr>
            <w:tcW w:w="1553" w:type="dxa"/>
            <w:tcBorders>
              <w:top w:val="single" w:sz="4" w:space="0" w:color="auto"/>
              <w:left w:val="single" w:sz="4" w:space="0" w:color="auto"/>
              <w:bottom w:val="single" w:sz="4" w:space="0" w:color="auto"/>
              <w:right w:val="single" w:sz="4" w:space="0" w:color="auto"/>
            </w:tcBorders>
            <w:noWrap/>
            <w:vAlign w:val="bottom"/>
          </w:tcPr>
          <w:p w14:paraId="47B0C184"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61</w:t>
            </w:r>
          </w:p>
        </w:tc>
        <w:tc>
          <w:tcPr>
            <w:tcW w:w="1534" w:type="dxa"/>
            <w:tcBorders>
              <w:top w:val="single" w:sz="4" w:space="0" w:color="auto"/>
              <w:left w:val="nil"/>
              <w:bottom w:val="single" w:sz="4" w:space="0" w:color="auto"/>
              <w:right w:val="single" w:sz="4" w:space="0" w:color="auto"/>
            </w:tcBorders>
            <w:noWrap/>
            <w:vAlign w:val="bottom"/>
          </w:tcPr>
          <w:p w14:paraId="62FCC1B6"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44</w:t>
            </w:r>
          </w:p>
        </w:tc>
        <w:tc>
          <w:tcPr>
            <w:tcW w:w="1039" w:type="dxa"/>
            <w:tcBorders>
              <w:top w:val="single" w:sz="4" w:space="0" w:color="auto"/>
              <w:left w:val="nil"/>
              <w:bottom w:val="single" w:sz="4" w:space="0" w:color="auto"/>
              <w:right w:val="single" w:sz="4" w:space="0" w:color="auto"/>
            </w:tcBorders>
            <w:noWrap/>
            <w:vAlign w:val="bottom"/>
          </w:tcPr>
          <w:p w14:paraId="15A05E61"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72,13%</w:t>
            </w:r>
          </w:p>
        </w:tc>
        <w:tc>
          <w:tcPr>
            <w:tcW w:w="1685" w:type="dxa"/>
            <w:tcBorders>
              <w:top w:val="single" w:sz="4" w:space="0" w:color="auto"/>
              <w:left w:val="nil"/>
              <w:bottom w:val="single" w:sz="4" w:space="0" w:color="auto"/>
              <w:right w:val="single" w:sz="4" w:space="0" w:color="auto"/>
            </w:tcBorders>
            <w:noWrap/>
            <w:vAlign w:val="bottom"/>
          </w:tcPr>
          <w:p w14:paraId="44515AFF"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17</w:t>
            </w:r>
          </w:p>
        </w:tc>
        <w:tc>
          <w:tcPr>
            <w:tcW w:w="1106" w:type="dxa"/>
            <w:tcBorders>
              <w:top w:val="single" w:sz="4" w:space="0" w:color="auto"/>
              <w:left w:val="nil"/>
              <w:bottom w:val="single" w:sz="4" w:space="0" w:color="auto"/>
              <w:right w:val="single" w:sz="4" w:space="0" w:color="auto"/>
            </w:tcBorders>
            <w:noWrap/>
            <w:vAlign w:val="bottom"/>
          </w:tcPr>
          <w:p w14:paraId="001CC57A"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27,87%</w:t>
            </w:r>
          </w:p>
        </w:tc>
      </w:tr>
      <w:tr w:rsidR="00A23843" w:rsidRPr="008832FB" w14:paraId="0A3E5C03" w14:textId="77777777" w:rsidTr="00A23843">
        <w:trPr>
          <w:trHeight w:val="444"/>
        </w:trPr>
        <w:tc>
          <w:tcPr>
            <w:tcW w:w="3277" w:type="dxa"/>
            <w:tcBorders>
              <w:top w:val="nil"/>
              <w:left w:val="single" w:sz="4" w:space="0" w:color="auto"/>
              <w:bottom w:val="single" w:sz="4" w:space="0" w:color="auto"/>
              <w:right w:val="single" w:sz="4" w:space="0" w:color="auto"/>
            </w:tcBorders>
            <w:noWrap/>
            <w:vAlign w:val="bottom"/>
          </w:tcPr>
          <w:p w14:paraId="5E03DC4A" w14:textId="77777777" w:rsidR="00A23843" w:rsidRPr="008832FB" w:rsidRDefault="00A23843" w:rsidP="00A23843">
            <w:pPr>
              <w:spacing w:line="276" w:lineRule="auto"/>
              <w:jc w:val="both"/>
              <w:rPr>
                <w:rFonts w:asciiTheme="minorHAnsi" w:hAnsiTheme="minorHAnsi" w:cstheme="minorHAnsi"/>
                <w:color w:val="000000"/>
                <w:sz w:val="26"/>
                <w:szCs w:val="26"/>
                <w:lang w:eastAsia="ro-RO"/>
              </w:rPr>
            </w:pPr>
            <w:r w:rsidRPr="008832FB">
              <w:rPr>
                <w:rFonts w:asciiTheme="minorHAnsi" w:hAnsiTheme="minorHAnsi" w:cstheme="minorHAnsi"/>
                <w:color w:val="000000"/>
                <w:sz w:val="26"/>
                <w:szCs w:val="26"/>
                <w:lang w:eastAsia="ro-RO"/>
              </w:rPr>
              <w:t>admitere I</w:t>
            </w:r>
            <w:r w:rsidRPr="000F0D8B">
              <w:rPr>
                <w:rFonts w:asciiTheme="minorHAnsi" w:hAnsiTheme="minorHAnsi" w:cstheme="minorHAnsi"/>
                <w:color w:val="000000"/>
                <w:sz w:val="26"/>
                <w:szCs w:val="26"/>
                <w:lang w:eastAsia="ro-RO"/>
              </w:rPr>
              <w:t>.</w:t>
            </w:r>
            <w:r w:rsidRPr="008832FB">
              <w:rPr>
                <w:rFonts w:asciiTheme="minorHAnsi" w:hAnsiTheme="minorHAnsi" w:cstheme="minorHAnsi"/>
                <w:color w:val="000000"/>
                <w:sz w:val="26"/>
                <w:szCs w:val="26"/>
                <w:lang w:eastAsia="ro-RO"/>
              </w:rPr>
              <w:t>N</w:t>
            </w:r>
            <w:r w:rsidRPr="000F0D8B">
              <w:rPr>
                <w:rFonts w:asciiTheme="minorHAnsi" w:hAnsiTheme="minorHAnsi" w:cstheme="minorHAnsi"/>
                <w:color w:val="000000"/>
                <w:sz w:val="26"/>
                <w:szCs w:val="26"/>
                <w:lang w:eastAsia="ro-RO"/>
              </w:rPr>
              <w:t>.</w:t>
            </w:r>
            <w:r w:rsidRPr="008832FB">
              <w:rPr>
                <w:rFonts w:asciiTheme="minorHAnsi" w:hAnsiTheme="minorHAnsi" w:cstheme="minorHAnsi"/>
                <w:color w:val="000000"/>
                <w:sz w:val="26"/>
                <w:szCs w:val="26"/>
                <w:lang w:eastAsia="ro-RO"/>
              </w:rPr>
              <w:t>M</w:t>
            </w:r>
            <w:r w:rsidRPr="000F0D8B">
              <w:rPr>
                <w:rFonts w:asciiTheme="minorHAnsi" w:hAnsiTheme="minorHAnsi" w:cstheme="minorHAnsi"/>
                <w:color w:val="000000"/>
                <w:sz w:val="26"/>
                <w:szCs w:val="26"/>
                <w:lang w:eastAsia="ro-RO"/>
              </w:rPr>
              <w:t>.</w:t>
            </w:r>
          </w:p>
        </w:tc>
        <w:tc>
          <w:tcPr>
            <w:tcW w:w="1553" w:type="dxa"/>
            <w:tcBorders>
              <w:top w:val="single" w:sz="8" w:space="0" w:color="auto"/>
              <w:left w:val="single" w:sz="8" w:space="0" w:color="auto"/>
              <w:bottom w:val="nil"/>
              <w:right w:val="single" w:sz="8" w:space="0" w:color="auto"/>
            </w:tcBorders>
            <w:noWrap/>
            <w:vAlign w:val="center"/>
          </w:tcPr>
          <w:p w14:paraId="5526EE8E"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73</w:t>
            </w:r>
          </w:p>
        </w:tc>
        <w:tc>
          <w:tcPr>
            <w:tcW w:w="1534" w:type="dxa"/>
            <w:tcBorders>
              <w:top w:val="single" w:sz="8" w:space="0" w:color="auto"/>
              <w:left w:val="nil"/>
              <w:bottom w:val="nil"/>
              <w:right w:val="single" w:sz="8" w:space="0" w:color="auto"/>
            </w:tcBorders>
            <w:noWrap/>
            <w:vAlign w:val="center"/>
          </w:tcPr>
          <w:p w14:paraId="519A9819"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55</w:t>
            </w:r>
          </w:p>
        </w:tc>
        <w:tc>
          <w:tcPr>
            <w:tcW w:w="1039" w:type="dxa"/>
            <w:tcBorders>
              <w:top w:val="single" w:sz="4" w:space="0" w:color="auto"/>
              <w:left w:val="single" w:sz="4" w:space="0" w:color="auto"/>
              <w:bottom w:val="single" w:sz="4" w:space="0" w:color="auto"/>
              <w:right w:val="single" w:sz="4" w:space="0" w:color="auto"/>
            </w:tcBorders>
            <w:noWrap/>
            <w:vAlign w:val="bottom"/>
          </w:tcPr>
          <w:p w14:paraId="32C9E11B"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75,34%</w:t>
            </w:r>
          </w:p>
        </w:tc>
        <w:tc>
          <w:tcPr>
            <w:tcW w:w="1685" w:type="dxa"/>
            <w:tcBorders>
              <w:top w:val="single" w:sz="4" w:space="0" w:color="auto"/>
              <w:left w:val="nil"/>
              <w:bottom w:val="single" w:sz="4" w:space="0" w:color="auto"/>
              <w:right w:val="single" w:sz="4" w:space="0" w:color="auto"/>
            </w:tcBorders>
            <w:noWrap/>
            <w:vAlign w:val="bottom"/>
          </w:tcPr>
          <w:p w14:paraId="05CDA37A"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18</w:t>
            </w:r>
          </w:p>
        </w:tc>
        <w:tc>
          <w:tcPr>
            <w:tcW w:w="1106" w:type="dxa"/>
            <w:tcBorders>
              <w:top w:val="single" w:sz="4" w:space="0" w:color="auto"/>
              <w:left w:val="nil"/>
              <w:bottom w:val="single" w:sz="4" w:space="0" w:color="auto"/>
              <w:right w:val="single" w:sz="4" w:space="0" w:color="auto"/>
            </w:tcBorders>
            <w:noWrap/>
            <w:vAlign w:val="bottom"/>
          </w:tcPr>
          <w:p w14:paraId="3D052A8E"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24,66%</w:t>
            </w:r>
          </w:p>
        </w:tc>
      </w:tr>
      <w:tr w:rsidR="00A23843" w:rsidRPr="008832FB" w14:paraId="5499599D" w14:textId="77777777" w:rsidTr="00A23843">
        <w:trPr>
          <w:trHeight w:val="444"/>
        </w:trPr>
        <w:tc>
          <w:tcPr>
            <w:tcW w:w="3277" w:type="dxa"/>
            <w:tcBorders>
              <w:top w:val="nil"/>
              <w:left w:val="single" w:sz="4" w:space="0" w:color="auto"/>
              <w:bottom w:val="single" w:sz="4" w:space="0" w:color="auto"/>
              <w:right w:val="single" w:sz="4" w:space="0" w:color="auto"/>
            </w:tcBorders>
            <w:noWrap/>
            <w:vAlign w:val="bottom"/>
          </w:tcPr>
          <w:p w14:paraId="155C8B13" w14:textId="77777777" w:rsidR="00A23843" w:rsidRPr="008832FB" w:rsidRDefault="00A23843" w:rsidP="00A23843">
            <w:pPr>
              <w:spacing w:line="276" w:lineRule="auto"/>
              <w:jc w:val="both"/>
              <w:rPr>
                <w:rFonts w:asciiTheme="minorHAnsi" w:hAnsiTheme="minorHAnsi" w:cstheme="minorHAnsi"/>
                <w:color w:val="000000"/>
                <w:sz w:val="26"/>
                <w:szCs w:val="26"/>
                <w:lang w:eastAsia="ro-RO"/>
              </w:rPr>
            </w:pPr>
            <w:r w:rsidRPr="008832FB">
              <w:rPr>
                <w:rFonts w:asciiTheme="minorHAnsi" w:hAnsiTheme="minorHAnsi" w:cstheme="minorHAnsi"/>
                <w:color w:val="000000"/>
                <w:sz w:val="26"/>
                <w:szCs w:val="26"/>
                <w:lang w:eastAsia="ro-RO"/>
              </w:rPr>
              <w:t>reîncadrare în funcția de judecător</w:t>
            </w:r>
          </w:p>
        </w:tc>
        <w:tc>
          <w:tcPr>
            <w:tcW w:w="1553" w:type="dxa"/>
            <w:tcBorders>
              <w:top w:val="single" w:sz="4" w:space="0" w:color="auto"/>
              <w:left w:val="single" w:sz="4" w:space="0" w:color="auto"/>
              <w:bottom w:val="single" w:sz="4" w:space="0" w:color="auto"/>
              <w:right w:val="single" w:sz="4" w:space="0" w:color="auto"/>
            </w:tcBorders>
            <w:noWrap/>
            <w:vAlign w:val="center"/>
          </w:tcPr>
          <w:p w14:paraId="1A502348" w14:textId="77777777" w:rsidR="00A23843" w:rsidRDefault="00A23843" w:rsidP="00A23843">
            <w:pPr>
              <w:spacing w:line="276" w:lineRule="auto"/>
              <w:jc w:val="center"/>
              <w:rPr>
                <w:rFonts w:asciiTheme="minorHAnsi" w:eastAsiaTheme="minorHAnsi" w:hAnsiTheme="minorHAnsi" w:cstheme="minorHAnsi"/>
                <w:color w:val="000000"/>
                <w:sz w:val="26"/>
                <w:szCs w:val="26"/>
              </w:rPr>
            </w:pPr>
          </w:p>
          <w:p w14:paraId="0F6650A9"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Pr>
                <w:rFonts w:asciiTheme="minorHAnsi" w:eastAsiaTheme="minorHAnsi" w:hAnsiTheme="minorHAnsi" w:cstheme="minorHAnsi"/>
                <w:color w:val="000000"/>
                <w:sz w:val="26"/>
                <w:szCs w:val="26"/>
              </w:rPr>
              <w:t>0</w:t>
            </w:r>
          </w:p>
        </w:tc>
        <w:tc>
          <w:tcPr>
            <w:tcW w:w="1534" w:type="dxa"/>
            <w:tcBorders>
              <w:top w:val="single" w:sz="4" w:space="0" w:color="auto"/>
              <w:left w:val="nil"/>
              <w:bottom w:val="single" w:sz="4" w:space="0" w:color="auto"/>
              <w:right w:val="single" w:sz="4" w:space="0" w:color="auto"/>
            </w:tcBorders>
            <w:noWrap/>
            <w:vAlign w:val="center"/>
          </w:tcPr>
          <w:p w14:paraId="63310C27" w14:textId="77777777" w:rsidR="00A23843" w:rsidRDefault="00A23843" w:rsidP="00A23843">
            <w:pPr>
              <w:spacing w:line="276" w:lineRule="auto"/>
              <w:jc w:val="center"/>
              <w:rPr>
                <w:rFonts w:asciiTheme="minorHAnsi" w:eastAsiaTheme="minorHAnsi" w:hAnsiTheme="minorHAnsi" w:cstheme="minorHAnsi"/>
                <w:color w:val="000000"/>
                <w:sz w:val="26"/>
                <w:szCs w:val="26"/>
              </w:rPr>
            </w:pPr>
          </w:p>
          <w:p w14:paraId="6BAC2D2D"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Pr>
                <w:rFonts w:asciiTheme="minorHAnsi" w:eastAsiaTheme="minorHAnsi" w:hAnsiTheme="minorHAnsi" w:cstheme="minorHAnsi"/>
                <w:color w:val="000000"/>
                <w:sz w:val="26"/>
                <w:szCs w:val="26"/>
              </w:rPr>
              <w:t>0</w:t>
            </w:r>
          </w:p>
        </w:tc>
        <w:tc>
          <w:tcPr>
            <w:tcW w:w="1039" w:type="dxa"/>
            <w:tcBorders>
              <w:top w:val="single" w:sz="4" w:space="0" w:color="auto"/>
              <w:left w:val="nil"/>
              <w:bottom w:val="single" w:sz="4" w:space="0" w:color="auto"/>
              <w:right w:val="single" w:sz="4" w:space="0" w:color="auto"/>
            </w:tcBorders>
            <w:noWrap/>
            <w:vAlign w:val="bottom"/>
          </w:tcPr>
          <w:p w14:paraId="474DFE99"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p>
        </w:tc>
        <w:tc>
          <w:tcPr>
            <w:tcW w:w="1685" w:type="dxa"/>
            <w:tcBorders>
              <w:top w:val="single" w:sz="4" w:space="0" w:color="auto"/>
              <w:left w:val="nil"/>
              <w:bottom w:val="single" w:sz="4" w:space="0" w:color="auto"/>
              <w:right w:val="single" w:sz="4" w:space="0" w:color="auto"/>
            </w:tcBorders>
            <w:noWrap/>
            <w:vAlign w:val="bottom"/>
          </w:tcPr>
          <w:p w14:paraId="162D191D"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0</w:t>
            </w:r>
          </w:p>
        </w:tc>
        <w:tc>
          <w:tcPr>
            <w:tcW w:w="1106" w:type="dxa"/>
            <w:tcBorders>
              <w:top w:val="single" w:sz="4" w:space="0" w:color="auto"/>
              <w:left w:val="nil"/>
              <w:bottom w:val="single" w:sz="4" w:space="0" w:color="auto"/>
              <w:right w:val="single" w:sz="4" w:space="0" w:color="auto"/>
            </w:tcBorders>
            <w:noWrap/>
            <w:vAlign w:val="bottom"/>
          </w:tcPr>
          <w:p w14:paraId="5B2925BB"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p>
        </w:tc>
      </w:tr>
      <w:tr w:rsidR="00A23843" w:rsidRPr="008832FB" w14:paraId="2F485532" w14:textId="77777777" w:rsidTr="00A23843">
        <w:trPr>
          <w:trHeight w:val="444"/>
        </w:trPr>
        <w:tc>
          <w:tcPr>
            <w:tcW w:w="3277" w:type="dxa"/>
            <w:tcBorders>
              <w:top w:val="nil"/>
              <w:left w:val="single" w:sz="4" w:space="0" w:color="auto"/>
              <w:bottom w:val="single" w:sz="4" w:space="0" w:color="auto"/>
              <w:right w:val="single" w:sz="4" w:space="0" w:color="auto"/>
            </w:tcBorders>
            <w:noWrap/>
            <w:vAlign w:val="bottom"/>
          </w:tcPr>
          <w:p w14:paraId="1A0FBE58" w14:textId="77777777" w:rsidR="00A23843" w:rsidRPr="008832FB" w:rsidRDefault="00A23843" w:rsidP="00A23843">
            <w:pPr>
              <w:spacing w:line="276" w:lineRule="auto"/>
              <w:jc w:val="both"/>
              <w:rPr>
                <w:rFonts w:asciiTheme="minorHAnsi" w:hAnsiTheme="minorHAnsi" w:cstheme="minorHAnsi"/>
                <w:color w:val="000000"/>
                <w:sz w:val="26"/>
                <w:szCs w:val="26"/>
                <w:lang w:eastAsia="ro-RO"/>
              </w:rPr>
            </w:pPr>
            <w:r w:rsidRPr="008832FB">
              <w:rPr>
                <w:rFonts w:asciiTheme="minorHAnsi" w:hAnsiTheme="minorHAnsi" w:cstheme="minorHAnsi"/>
                <w:color w:val="000000"/>
                <w:sz w:val="26"/>
                <w:szCs w:val="26"/>
                <w:lang w:eastAsia="ro-RO"/>
              </w:rPr>
              <w:t>reîncadrare în funcția de procuror</w:t>
            </w:r>
          </w:p>
        </w:tc>
        <w:tc>
          <w:tcPr>
            <w:tcW w:w="1553" w:type="dxa"/>
            <w:tcBorders>
              <w:top w:val="single" w:sz="4" w:space="0" w:color="auto"/>
              <w:left w:val="single" w:sz="4" w:space="0" w:color="auto"/>
              <w:bottom w:val="single" w:sz="4" w:space="0" w:color="auto"/>
              <w:right w:val="single" w:sz="4" w:space="0" w:color="auto"/>
            </w:tcBorders>
            <w:noWrap/>
            <w:vAlign w:val="center"/>
          </w:tcPr>
          <w:p w14:paraId="6905F56E" w14:textId="77777777" w:rsidR="00A23843" w:rsidRDefault="00A23843" w:rsidP="00A23843">
            <w:pPr>
              <w:spacing w:line="276" w:lineRule="auto"/>
              <w:jc w:val="center"/>
              <w:rPr>
                <w:rFonts w:asciiTheme="minorHAnsi" w:eastAsiaTheme="minorHAnsi" w:hAnsiTheme="minorHAnsi" w:cstheme="minorHAnsi"/>
                <w:color w:val="000000"/>
                <w:sz w:val="26"/>
                <w:szCs w:val="26"/>
              </w:rPr>
            </w:pPr>
          </w:p>
          <w:p w14:paraId="24A57765"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1</w:t>
            </w:r>
          </w:p>
        </w:tc>
        <w:tc>
          <w:tcPr>
            <w:tcW w:w="1534" w:type="dxa"/>
            <w:tcBorders>
              <w:top w:val="single" w:sz="4" w:space="0" w:color="auto"/>
              <w:left w:val="nil"/>
              <w:bottom w:val="single" w:sz="4" w:space="0" w:color="auto"/>
              <w:right w:val="single" w:sz="4" w:space="0" w:color="auto"/>
            </w:tcBorders>
            <w:noWrap/>
            <w:vAlign w:val="center"/>
          </w:tcPr>
          <w:p w14:paraId="7AE22FE2" w14:textId="77777777" w:rsidR="00A23843" w:rsidRDefault="00A23843" w:rsidP="00A23843">
            <w:pPr>
              <w:spacing w:line="276" w:lineRule="auto"/>
              <w:jc w:val="center"/>
              <w:rPr>
                <w:rFonts w:asciiTheme="minorHAnsi" w:eastAsiaTheme="minorHAnsi" w:hAnsiTheme="minorHAnsi" w:cstheme="minorHAnsi"/>
                <w:color w:val="000000"/>
                <w:sz w:val="26"/>
                <w:szCs w:val="26"/>
              </w:rPr>
            </w:pPr>
          </w:p>
          <w:p w14:paraId="5253FB45"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0</w:t>
            </w:r>
          </w:p>
        </w:tc>
        <w:tc>
          <w:tcPr>
            <w:tcW w:w="1039" w:type="dxa"/>
            <w:tcBorders>
              <w:top w:val="single" w:sz="4" w:space="0" w:color="auto"/>
              <w:left w:val="nil"/>
              <w:bottom w:val="single" w:sz="4" w:space="0" w:color="auto"/>
              <w:right w:val="single" w:sz="4" w:space="0" w:color="auto"/>
            </w:tcBorders>
            <w:noWrap/>
            <w:vAlign w:val="bottom"/>
          </w:tcPr>
          <w:p w14:paraId="7ADB5DCE"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0,00%</w:t>
            </w:r>
          </w:p>
        </w:tc>
        <w:tc>
          <w:tcPr>
            <w:tcW w:w="1685" w:type="dxa"/>
            <w:tcBorders>
              <w:top w:val="single" w:sz="4" w:space="0" w:color="auto"/>
              <w:left w:val="nil"/>
              <w:bottom w:val="single" w:sz="4" w:space="0" w:color="auto"/>
              <w:right w:val="single" w:sz="4" w:space="0" w:color="auto"/>
            </w:tcBorders>
            <w:noWrap/>
            <w:vAlign w:val="bottom"/>
          </w:tcPr>
          <w:p w14:paraId="4CAA9C93"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1</w:t>
            </w:r>
          </w:p>
        </w:tc>
        <w:tc>
          <w:tcPr>
            <w:tcW w:w="1106" w:type="dxa"/>
            <w:tcBorders>
              <w:top w:val="single" w:sz="4" w:space="0" w:color="auto"/>
              <w:left w:val="nil"/>
              <w:bottom w:val="single" w:sz="4" w:space="0" w:color="auto"/>
              <w:right w:val="single" w:sz="4" w:space="0" w:color="auto"/>
            </w:tcBorders>
            <w:noWrap/>
            <w:vAlign w:val="bottom"/>
          </w:tcPr>
          <w:p w14:paraId="48458D3E"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100,00%</w:t>
            </w:r>
          </w:p>
        </w:tc>
      </w:tr>
      <w:tr w:rsidR="00A23843" w:rsidRPr="008832FB" w14:paraId="121B1BF4" w14:textId="77777777" w:rsidTr="00A23843">
        <w:trPr>
          <w:trHeight w:val="288"/>
        </w:trPr>
        <w:tc>
          <w:tcPr>
            <w:tcW w:w="3277" w:type="dxa"/>
            <w:tcBorders>
              <w:top w:val="nil"/>
              <w:left w:val="single" w:sz="4" w:space="0" w:color="auto"/>
              <w:bottom w:val="single" w:sz="4" w:space="0" w:color="auto"/>
              <w:right w:val="single" w:sz="4" w:space="0" w:color="auto"/>
            </w:tcBorders>
            <w:noWrap/>
            <w:vAlign w:val="bottom"/>
            <w:hideMark/>
          </w:tcPr>
          <w:p w14:paraId="04F9388F" w14:textId="77777777" w:rsidR="00A23843" w:rsidRPr="008832FB" w:rsidRDefault="00A23843" w:rsidP="00A23843">
            <w:pPr>
              <w:spacing w:line="276" w:lineRule="auto"/>
              <w:jc w:val="both"/>
              <w:rPr>
                <w:rFonts w:asciiTheme="minorHAnsi" w:hAnsiTheme="minorHAnsi" w:cstheme="minorHAnsi"/>
                <w:b/>
                <w:bCs/>
                <w:color w:val="000000"/>
                <w:sz w:val="26"/>
                <w:szCs w:val="26"/>
                <w:lang w:eastAsia="ro-RO"/>
              </w:rPr>
            </w:pPr>
            <w:r w:rsidRPr="008832FB">
              <w:rPr>
                <w:rFonts w:asciiTheme="minorHAnsi" w:hAnsiTheme="minorHAnsi" w:cstheme="minorHAnsi"/>
                <w:b/>
                <w:bCs/>
                <w:color w:val="000000"/>
                <w:sz w:val="26"/>
                <w:szCs w:val="26"/>
                <w:lang w:eastAsia="ro-RO"/>
              </w:rPr>
              <w:t>Total</w:t>
            </w:r>
          </w:p>
          <w:p w14:paraId="67FB6DCF" w14:textId="77777777" w:rsidR="00A23843" w:rsidRPr="008832FB" w:rsidRDefault="00A23843" w:rsidP="00A23843">
            <w:pPr>
              <w:spacing w:line="276" w:lineRule="auto"/>
              <w:jc w:val="both"/>
              <w:rPr>
                <w:rFonts w:asciiTheme="minorHAnsi" w:hAnsiTheme="minorHAnsi" w:cstheme="minorHAnsi"/>
                <w:b/>
                <w:bCs/>
                <w:color w:val="000000"/>
                <w:sz w:val="26"/>
                <w:szCs w:val="26"/>
                <w:lang w:eastAsia="ro-RO"/>
              </w:rPr>
            </w:pPr>
          </w:p>
        </w:tc>
        <w:tc>
          <w:tcPr>
            <w:tcW w:w="1553" w:type="dxa"/>
            <w:tcBorders>
              <w:top w:val="single" w:sz="4" w:space="0" w:color="auto"/>
              <w:left w:val="single" w:sz="4" w:space="0" w:color="auto"/>
              <w:bottom w:val="single" w:sz="4" w:space="0" w:color="auto"/>
              <w:right w:val="single" w:sz="4" w:space="0" w:color="auto"/>
            </w:tcBorders>
            <w:noWrap/>
            <w:vAlign w:val="bottom"/>
          </w:tcPr>
          <w:p w14:paraId="33B09051" w14:textId="77777777" w:rsidR="00A23843" w:rsidRPr="008832FB" w:rsidRDefault="00A23843" w:rsidP="00A23843">
            <w:pPr>
              <w:spacing w:line="276" w:lineRule="auto"/>
              <w:jc w:val="center"/>
              <w:rPr>
                <w:rFonts w:asciiTheme="minorHAnsi" w:eastAsiaTheme="minorHAnsi" w:hAnsiTheme="minorHAnsi" w:cstheme="minorHAnsi"/>
                <w:b/>
                <w:bCs/>
                <w:color w:val="000000"/>
                <w:sz w:val="26"/>
                <w:szCs w:val="26"/>
              </w:rPr>
            </w:pPr>
            <w:r w:rsidRPr="008832FB">
              <w:rPr>
                <w:rFonts w:asciiTheme="minorHAnsi" w:eastAsiaTheme="minorHAnsi" w:hAnsiTheme="minorHAnsi" w:cstheme="minorHAnsi"/>
                <w:b/>
                <w:bCs/>
                <w:color w:val="000000"/>
                <w:sz w:val="26"/>
                <w:szCs w:val="26"/>
              </w:rPr>
              <w:t>135</w:t>
            </w:r>
          </w:p>
        </w:tc>
        <w:tc>
          <w:tcPr>
            <w:tcW w:w="1534" w:type="dxa"/>
            <w:tcBorders>
              <w:top w:val="single" w:sz="4" w:space="0" w:color="auto"/>
              <w:left w:val="nil"/>
              <w:bottom w:val="single" w:sz="4" w:space="0" w:color="auto"/>
              <w:right w:val="single" w:sz="4" w:space="0" w:color="auto"/>
            </w:tcBorders>
            <w:noWrap/>
            <w:vAlign w:val="bottom"/>
          </w:tcPr>
          <w:p w14:paraId="179D3F68" w14:textId="77777777" w:rsidR="00A23843" w:rsidRPr="008832FB" w:rsidRDefault="00A23843" w:rsidP="00A23843">
            <w:pPr>
              <w:spacing w:line="276" w:lineRule="auto"/>
              <w:jc w:val="center"/>
              <w:rPr>
                <w:rFonts w:asciiTheme="minorHAnsi" w:eastAsiaTheme="minorHAnsi" w:hAnsiTheme="minorHAnsi" w:cstheme="minorHAnsi"/>
                <w:b/>
                <w:bCs/>
                <w:color w:val="000000"/>
                <w:sz w:val="26"/>
                <w:szCs w:val="26"/>
              </w:rPr>
            </w:pPr>
            <w:r w:rsidRPr="008832FB">
              <w:rPr>
                <w:rFonts w:asciiTheme="minorHAnsi" w:eastAsiaTheme="minorHAnsi" w:hAnsiTheme="minorHAnsi" w:cstheme="minorHAnsi"/>
                <w:b/>
                <w:bCs/>
                <w:color w:val="000000"/>
                <w:sz w:val="26"/>
                <w:szCs w:val="26"/>
              </w:rPr>
              <w:t>99</w:t>
            </w:r>
          </w:p>
        </w:tc>
        <w:tc>
          <w:tcPr>
            <w:tcW w:w="1039" w:type="dxa"/>
            <w:tcBorders>
              <w:top w:val="single" w:sz="4" w:space="0" w:color="auto"/>
              <w:left w:val="nil"/>
              <w:bottom w:val="single" w:sz="4" w:space="0" w:color="auto"/>
              <w:right w:val="single" w:sz="4" w:space="0" w:color="auto"/>
            </w:tcBorders>
            <w:noWrap/>
            <w:vAlign w:val="bottom"/>
          </w:tcPr>
          <w:p w14:paraId="0696334E"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73,33%</w:t>
            </w:r>
          </w:p>
        </w:tc>
        <w:tc>
          <w:tcPr>
            <w:tcW w:w="1685" w:type="dxa"/>
            <w:tcBorders>
              <w:top w:val="single" w:sz="4" w:space="0" w:color="auto"/>
              <w:left w:val="nil"/>
              <w:bottom w:val="single" w:sz="4" w:space="0" w:color="auto"/>
              <w:right w:val="single" w:sz="4" w:space="0" w:color="auto"/>
            </w:tcBorders>
            <w:noWrap/>
            <w:vAlign w:val="bottom"/>
          </w:tcPr>
          <w:p w14:paraId="4B3AE57E" w14:textId="77777777" w:rsidR="00A23843" w:rsidRPr="008832FB" w:rsidRDefault="00A23843" w:rsidP="00A23843">
            <w:pPr>
              <w:spacing w:line="276" w:lineRule="auto"/>
              <w:jc w:val="center"/>
              <w:rPr>
                <w:rFonts w:asciiTheme="minorHAnsi" w:eastAsiaTheme="minorHAnsi" w:hAnsiTheme="minorHAnsi" w:cstheme="minorHAnsi"/>
                <w:b/>
                <w:bCs/>
                <w:color w:val="000000"/>
                <w:sz w:val="26"/>
                <w:szCs w:val="26"/>
              </w:rPr>
            </w:pPr>
            <w:r w:rsidRPr="008832FB">
              <w:rPr>
                <w:rFonts w:asciiTheme="minorHAnsi" w:eastAsiaTheme="minorHAnsi" w:hAnsiTheme="minorHAnsi" w:cstheme="minorHAnsi"/>
                <w:b/>
                <w:bCs/>
                <w:color w:val="000000"/>
                <w:sz w:val="26"/>
                <w:szCs w:val="26"/>
              </w:rPr>
              <w:t>36</w:t>
            </w:r>
          </w:p>
        </w:tc>
        <w:tc>
          <w:tcPr>
            <w:tcW w:w="1106" w:type="dxa"/>
            <w:tcBorders>
              <w:top w:val="single" w:sz="4" w:space="0" w:color="auto"/>
              <w:left w:val="nil"/>
              <w:bottom w:val="single" w:sz="4" w:space="0" w:color="auto"/>
              <w:right w:val="single" w:sz="4" w:space="0" w:color="auto"/>
            </w:tcBorders>
            <w:noWrap/>
            <w:vAlign w:val="bottom"/>
          </w:tcPr>
          <w:p w14:paraId="2D82E86B" w14:textId="77777777" w:rsidR="00A23843" w:rsidRPr="008832FB" w:rsidRDefault="00A23843" w:rsidP="00A23843">
            <w:pPr>
              <w:spacing w:line="276" w:lineRule="auto"/>
              <w:jc w:val="center"/>
              <w:rPr>
                <w:rFonts w:asciiTheme="minorHAnsi" w:eastAsiaTheme="minorHAnsi" w:hAnsiTheme="minorHAnsi" w:cstheme="minorHAnsi"/>
                <w:color w:val="000000"/>
                <w:sz w:val="26"/>
                <w:szCs w:val="26"/>
              </w:rPr>
            </w:pPr>
            <w:r w:rsidRPr="008832FB">
              <w:rPr>
                <w:rFonts w:asciiTheme="minorHAnsi" w:eastAsiaTheme="minorHAnsi" w:hAnsiTheme="minorHAnsi" w:cstheme="minorHAnsi"/>
                <w:color w:val="000000"/>
                <w:sz w:val="26"/>
                <w:szCs w:val="26"/>
              </w:rPr>
              <w:t>26,67%</w:t>
            </w:r>
          </w:p>
        </w:tc>
      </w:tr>
    </w:tbl>
    <w:p w14:paraId="350C1344" w14:textId="77777777" w:rsidR="00A23843" w:rsidRPr="008832FB" w:rsidRDefault="00A23843" w:rsidP="00A23843">
      <w:pPr>
        <w:spacing w:line="276" w:lineRule="auto"/>
        <w:ind w:firstLine="720"/>
        <w:jc w:val="both"/>
        <w:rPr>
          <w:rFonts w:asciiTheme="minorHAnsi" w:eastAsiaTheme="minorHAnsi" w:hAnsiTheme="minorHAnsi" w:cstheme="minorHAnsi"/>
          <w:sz w:val="26"/>
          <w:szCs w:val="26"/>
          <w:shd w:val="clear" w:color="auto" w:fill="FFFFFF"/>
        </w:rPr>
      </w:pPr>
      <w:r w:rsidRPr="008832FB">
        <w:rPr>
          <w:rFonts w:asciiTheme="minorHAnsi" w:eastAsiaTheme="minorHAnsi" w:hAnsiTheme="minorHAnsi" w:cstheme="minorHAnsi"/>
          <w:sz w:val="26"/>
          <w:szCs w:val="26"/>
          <w:shd w:val="clear" w:color="auto" w:fill="FFFFFF"/>
        </w:rPr>
        <w:t>Suplimentar faţă de concursurile menţionate, C</w:t>
      </w:r>
      <w:r w:rsidRPr="000F0D8B">
        <w:rPr>
          <w:rFonts w:asciiTheme="minorHAnsi" w:eastAsiaTheme="minorHAnsi" w:hAnsiTheme="minorHAnsi" w:cstheme="minorHAnsi"/>
          <w:sz w:val="26"/>
          <w:szCs w:val="26"/>
          <w:shd w:val="clear" w:color="auto" w:fill="FFFFFF"/>
        </w:rPr>
        <w:t>.</w:t>
      </w:r>
      <w:r w:rsidRPr="008832FB">
        <w:rPr>
          <w:rFonts w:asciiTheme="minorHAnsi" w:eastAsiaTheme="minorHAnsi" w:hAnsiTheme="minorHAnsi" w:cstheme="minorHAnsi"/>
          <w:sz w:val="26"/>
          <w:szCs w:val="26"/>
          <w:shd w:val="clear" w:color="auto" w:fill="FFFFFF"/>
        </w:rPr>
        <w:t>P</w:t>
      </w:r>
      <w:r w:rsidRPr="000F0D8B">
        <w:rPr>
          <w:rFonts w:asciiTheme="minorHAnsi" w:eastAsiaTheme="minorHAnsi" w:hAnsiTheme="minorHAnsi" w:cstheme="minorHAnsi"/>
          <w:sz w:val="26"/>
          <w:szCs w:val="26"/>
          <w:shd w:val="clear" w:color="auto" w:fill="FFFFFF"/>
        </w:rPr>
        <w:t>.</w:t>
      </w:r>
      <w:r w:rsidRPr="008832FB">
        <w:rPr>
          <w:rFonts w:asciiTheme="minorHAnsi" w:eastAsiaTheme="minorHAnsi" w:hAnsiTheme="minorHAnsi" w:cstheme="minorHAnsi"/>
          <w:sz w:val="26"/>
          <w:szCs w:val="26"/>
          <w:shd w:val="clear" w:color="auto" w:fill="FFFFFF"/>
        </w:rPr>
        <w:t>P</w:t>
      </w:r>
      <w:r w:rsidRPr="000F0D8B">
        <w:rPr>
          <w:rFonts w:asciiTheme="minorHAnsi" w:eastAsiaTheme="minorHAnsi" w:hAnsiTheme="minorHAnsi" w:cstheme="minorHAnsi"/>
          <w:sz w:val="26"/>
          <w:szCs w:val="26"/>
          <w:shd w:val="clear" w:color="auto" w:fill="FFFFFF"/>
        </w:rPr>
        <w:t>.</w:t>
      </w:r>
      <w:r w:rsidRPr="008832FB">
        <w:rPr>
          <w:rFonts w:asciiTheme="minorHAnsi" w:eastAsiaTheme="minorHAnsi" w:hAnsiTheme="minorHAnsi" w:cstheme="minorHAnsi"/>
          <w:sz w:val="26"/>
          <w:szCs w:val="26"/>
          <w:shd w:val="clear" w:color="auto" w:fill="FFFFFF"/>
        </w:rPr>
        <w:t xml:space="preserve"> a asigurat coordonarea și îndrumarea metodologică pentru desfășurarea testării psihologice din cadrul examenului de absolvire a I</w:t>
      </w:r>
      <w:r>
        <w:rPr>
          <w:rFonts w:asciiTheme="minorHAnsi" w:eastAsiaTheme="minorHAnsi" w:hAnsiTheme="minorHAnsi" w:cstheme="minorHAnsi"/>
          <w:sz w:val="26"/>
          <w:szCs w:val="26"/>
          <w:shd w:val="clear" w:color="auto" w:fill="FFFFFF"/>
        </w:rPr>
        <w:t>.N.M.</w:t>
      </w:r>
      <w:r w:rsidRPr="008832FB">
        <w:rPr>
          <w:rFonts w:asciiTheme="minorHAnsi" w:eastAsiaTheme="minorHAnsi" w:hAnsiTheme="minorHAnsi" w:cstheme="minorHAnsi"/>
          <w:sz w:val="26"/>
          <w:szCs w:val="26"/>
          <w:shd w:val="clear" w:color="auto" w:fill="FFFFFF"/>
        </w:rPr>
        <w:t>, promoția 2023</w:t>
      </w:r>
      <w:r w:rsidRPr="000F0D8B">
        <w:rPr>
          <w:rFonts w:asciiTheme="minorHAnsi" w:eastAsiaTheme="minorHAnsi" w:hAnsiTheme="minorHAnsi" w:cstheme="minorHAnsi"/>
          <w:sz w:val="26"/>
          <w:szCs w:val="26"/>
          <w:shd w:val="clear" w:color="auto" w:fill="FFFFFF"/>
        </w:rPr>
        <w:t xml:space="preserve"> </w:t>
      </w:r>
      <w:r w:rsidRPr="008832FB">
        <w:rPr>
          <w:rFonts w:asciiTheme="minorHAnsi" w:eastAsiaTheme="minorHAnsi" w:hAnsiTheme="minorHAnsi" w:cstheme="minorHAnsi"/>
          <w:sz w:val="26"/>
          <w:szCs w:val="26"/>
          <w:shd w:val="clear" w:color="auto" w:fill="FFFFFF"/>
        </w:rPr>
        <w:t>-</w:t>
      </w:r>
      <w:r w:rsidRPr="000F0D8B">
        <w:rPr>
          <w:rFonts w:asciiTheme="minorHAnsi" w:eastAsiaTheme="minorHAnsi" w:hAnsiTheme="minorHAnsi" w:cstheme="minorHAnsi"/>
          <w:sz w:val="26"/>
          <w:szCs w:val="26"/>
          <w:shd w:val="clear" w:color="auto" w:fill="FFFFFF"/>
        </w:rPr>
        <w:t xml:space="preserve"> </w:t>
      </w:r>
      <w:r w:rsidRPr="008832FB">
        <w:rPr>
          <w:rFonts w:asciiTheme="minorHAnsi" w:eastAsiaTheme="minorHAnsi" w:hAnsiTheme="minorHAnsi" w:cstheme="minorHAnsi"/>
          <w:sz w:val="26"/>
          <w:szCs w:val="26"/>
          <w:shd w:val="clear" w:color="auto" w:fill="FFFFFF"/>
        </w:rPr>
        <w:t>2025, precum și a procedurilor de ocupare a posturilor vacante de asistent al judecătorului desfășurate la nivelul C</w:t>
      </w:r>
      <w:r w:rsidRPr="000F0D8B">
        <w:rPr>
          <w:rFonts w:asciiTheme="minorHAnsi" w:eastAsiaTheme="minorHAnsi" w:hAnsiTheme="minorHAnsi" w:cstheme="minorHAnsi"/>
          <w:sz w:val="26"/>
          <w:szCs w:val="26"/>
          <w:shd w:val="clear" w:color="auto" w:fill="FFFFFF"/>
        </w:rPr>
        <w:t xml:space="preserve">urții de </w:t>
      </w:r>
      <w:r w:rsidRPr="008832FB">
        <w:rPr>
          <w:rFonts w:asciiTheme="minorHAnsi" w:eastAsiaTheme="minorHAnsi" w:hAnsiTheme="minorHAnsi" w:cstheme="minorHAnsi"/>
          <w:sz w:val="26"/>
          <w:szCs w:val="26"/>
          <w:shd w:val="clear" w:color="auto" w:fill="FFFFFF"/>
        </w:rPr>
        <w:t>A</w:t>
      </w:r>
      <w:r w:rsidRPr="000F0D8B">
        <w:rPr>
          <w:rFonts w:asciiTheme="minorHAnsi" w:eastAsiaTheme="minorHAnsi" w:hAnsiTheme="minorHAnsi" w:cstheme="minorHAnsi"/>
          <w:sz w:val="26"/>
          <w:szCs w:val="26"/>
          <w:shd w:val="clear" w:color="auto" w:fill="FFFFFF"/>
        </w:rPr>
        <w:t>pel</w:t>
      </w:r>
      <w:r w:rsidRPr="008832FB">
        <w:rPr>
          <w:rFonts w:asciiTheme="minorHAnsi" w:eastAsiaTheme="minorHAnsi" w:hAnsiTheme="minorHAnsi" w:cstheme="minorHAnsi"/>
          <w:sz w:val="26"/>
          <w:szCs w:val="26"/>
          <w:shd w:val="clear" w:color="auto" w:fill="FFFFFF"/>
        </w:rPr>
        <w:t xml:space="preserve"> București, C</w:t>
      </w:r>
      <w:r w:rsidRPr="000F0D8B">
        <w:rPr>
          <w:rFonts w:asciiTheme="minorHAnsi" w:eastAsiaTheme="minorHAnsi" w:hAnsiTheme="minorHAnsi" w:cstheme="minorHAnsi"/>
          <w:sz w:val="26"/>
          <w:szCs w:val="26"/>
          <w:shd w:val="clear" w:color="auto" w:fill="FFFFFF"/>
        </w:rPr>
        <w:t xml:space="preserve">urții de </w:t>
      </w:r>
      <w:r w:rsidRPr="008832FB">
        <w:rPr>
          <w:rFonts w:asciiTheme="minorHAnsi" w:eastAsiaTheme="minorHAnsi" w:hAnsiTheme="minorHAnsi" w:cstheme="minorHAnsi"/>
          <w:sz w:val="26"/>
          <w:szCs w:val="26"/>
          <w:shd w:val="clear" w:color="auto" w:fill="FFFFFF"/>
        </w:rPr>
        <w:t>A</w:t>
      </w:r>
      <w:r w:rsidRPr="000F0D8B">
        <w:rPr>
          <w:rFonts w:asciiTheme="minorHAnsi" w:eastAsiaTheme="minorHAnsi" w:hAnsiTheme="minorHAnsi" w:cstheme="minorHAnsi"/>
          <w:sz w:val="26"/>
          <w:szCs w:val="26"/>
          <w:shd w:val="clear" w:color="auto" w:fill="FFFFFF"/>
        </w:rPr>
        <w:t>pel</w:t>
      </w:r>
      <w:r w:rsidRPr="008832FB">
        <w:rPr>
          <w:rFonts w:asciiTheme="minorHAnsi" w:eastAsiaTheme="minorHAnsi" w:hAnsiTheme="minorHAnsi" w:cstheme="minorHAnsi"/>
          <w:sz w:val="26"/>
          <w:szCs w:val="26"/>
          <w:shd w:val="clear" w:color="auto" w:fill="FFFFFF"/>
        </w:rPr>
        <w:t xml:space="preserve"> Craiova, C</w:t>
      </w:r>
      <w:r w:rsidRPr="000F0D8B">
        <w:rPr>
          <w:rFonts w:asciiTheme="minorHAnsi" w:eastAsiaTheme="minorHAnsi" w:hAnsiTheme="minorHAnsi" w:cstheme="minorHAnsi"/>
          <w:sz w:val="26"/>
          <w:szCs w:val="26"/>
          <w:shd w:val="clear" w:color="auto" w:fill="FFFFFF"/>
        </w:rPr>
        <w:t xml:space="preserve">urții de </w:t>
      </w:r>
      <w:r w:rsidRPr="008832FB">
        <w:rPr>
          <w:rFonts w:asciiTheme="minorHAnsi" w:eastAsiaTheme="minorHAnsi" w:hAnsiTheme="minorHAnsi" w:cstheme="minorHAnsi"/>
          <w:sz w:val="26"/>
          <w:szCs w:val="26"/>
          <w:shd w:val="clear" w:color="auto" w:fill="FFFFFF"/>
        </w:rPr>
        <w:t>A</w:t>
      </w:r>
      <w:r w:rsidRPr="000F0D8B">
        <w:rPr>
          <w:rFonts w:asciiTheme="minorHAnsi" w:eastAsiaTheme="minorHAnsi" w:hAnsiTheme="minorHAnsi" w:cstheme="minorHAnsi"/>
          <w:sz w:val="26"/>
          <w:szCs w:val="26"/>
          <w:shd w:val="clear" w:color="auto" w:fill="FFFFFF"/>
        </w:rPr>
        <w:t>pel</w:t>
      </w:r>
      <w:r w:rsidRPr="008832FB">
        <w:rPr>
          <w:rFonts w:asciiTheme="minorHAnsi" w:eastAsiaTheme="minorHAnsi" w:hAnsiTheme="minorHAnsi" w:cstheme="minorHAnsi"/>
          <w:sz w:val="26"/>
          <w:szCs w:val="26"/>
          <w:shd w:val="clear" w:color="auto" w:fill="FFFFFF"/>
        </w:rPr>
        <w:t xml:space="preserve"> Iași, C</w:t>
      </w:r>
      <w:r w:rsidRPr="000F0D8B">
        <w:rPr>
          <w:rFonts w:asciiTheme="minorHAnsi" w:eastAsiaTheme="minorHAnsi" w:hAnsiTheme="minorHAnsi" w:cstheme="minorHAnsi"/>
          <w:sz w:val="26"/>
          <w:szCs w:val="26"/>
          <w:shd w:val="clear" w:color="auto" w:fill="FFFFFF"/>
        </w:rPr>
        <w:t xml:space="preserve">urții de </w:t>
      </w:r>
      <w:r w:rsidRPr="008832FB">
        <w:rPr>
          <w:rFonts w:asciiTheme="minorHAnsi" w:eastAsiaTheme="minorHAnsi" w:hAnsiTheme="minorHAnsi" w:cstheme="minorHAnsi"/>
          <w:sz w:val="26"/>
          <w:szCs w:val="26"/>
          <w:shd w:val="clear" w:color="auto" w:fill="FFFFFF"/>
        </w:rPr>
        <w:t>A</w:t>
      </w:r>
      <w:r w:rsidRPr="000F0D8B">
        <w:rPr>
          <w:rFonts w:asciiTheme="minorHAnsi" w:eastAsiaTheme="minorHAnsi" w:hAnsiTheme="minorHAnsi" w:cstheme="minorHAnsi"/>
          <w:sz w:val="26"/>
          <w:szCs w:val="26"/>
          <w:shd w:val="clear" w:color="auto" w:fill="FFFFFF"/>
        </w:rPr>
        <w:t>pel</w:t>
      </w:r>
      <w:r w:rsidRPr="008832FB">
        <w:rPr>
          <w:rFonts w:asciiTheme="minorHAnsi" w:eastAsiaTheme="minorHAnsi" w:hAnsiTheme="minorHAnsi" w:cstheme="minorHAnsi"/>
          <w:sz w:val="26"/>
          <w:szCs w:val="26"/>
          <w:shd w:val="clear" w:color="auto" w:fill="FFFFFF"/>
        </w:rPr>
        <w:t xml:space="preserve"> Suceava, C</w:t>
      </w:r>
      <w:r w:rsidRPr="000F0D8B">
        <w:rPr>
          <w:rFonts w:asciiTheme="minorHAnsi" w:eastAsiaTheme="minorHAnsi" w:hAnsiTheme="minorHAnsi" w:cstheme="minorHAnsi"/>
          <w:sz w:val="26"/>
          <w:szCs w:val="26"/>
          <w:shd w:val="clear" w:color="auto" w:fill="FFFFFF"/>
        </w:rPr>
        <w:t xml:space="preserve">urții de </w:t>
      </w:r>
      <w:r w:rsidRPr="008832FB">
        <w:rPr>
          <w:rFonts w:asciiTheme="minorHAnsi" w:eastAsiaTheme="minorHAnsi" w:hAnsiTheme="minorHAnsi" w:cstheme="minorHAnsi"/>
          <w:sz w:val="26"/>
          <w:szCs w:val="26"/>
          <w:shd w:val="clear" w:color="auto" w:fill="FFFFFF"/>
        </w:rPr>
        <w:t>A</w:t>
      </w:r>
      <w:r w:rsidRPr="000F0D8B">
        <w:rPr>
          <w:rFonts w:asciiTheme="minorHAnsi" w:eastAsiaTheme="minorHAnsi" w:hAnsiTheme="minorHAnsi" w:cstheme="minorHAnsi"/>
          <w:sz w:val="26"/>
          <w:szCs w:val="26"/>
          <w:shd w:val="clear" w:color="auto" w:fill="FFFFFF"/>
        </w:rPr>
        <w:t>pel</w:t>
      </w:r>
      <w:r w:rsidRPr="008832FB">
        <w:rPr>
          <w:rFonts w:asciiTheme="minorHAnsi" w:eastAsiaTheme="minorHAnsi" w:hAnsiTheme="minorHAnsi" w:cstheme="minorHAnsi"/>
          <w:sz w:val="26"/>
          <w:szCs w:val="26"/>
          <w:shd w:val="clear" w:color="auto" w:fill="FFFFFF"/>
        </w:rPr>
        <w:t xml:space="preserve"> Pitești și C</w:t>
      </w:r>
      <w:r w:rsidRPr="000F0D8B">
        <w:rPr>
          <w:rFonts w:asciiTheme="minorHAnsi" w:eastAsiaTheme="minorHAnsi" w:hAnsiTheme="minorHAnsi" w:cstheme="minorHAnsi"/>
          <w:sz w:val="26"/>
          <w:szCs w:val="26"/>
          <w:shd w:val="clear" w:color="auto" w:fill="FFFFFF"/>
        </w:rPr>
        <w:t xml:space="preserve">urții de </w:t>
      </w:r>
      <w:r w:rsidRPr="008832FB">
        <w:rPr>
          <w:rFonts w:asciiTheme="minorHAnsi" w:eastAsiaTheme="minorHAnsi" w:hAnsiTheme="minorHAnsi" w:cstheme="minorHAnsi"/>
          <w:sz w:val="26"/>
          <w:szCs w:val="26"/>
          <w:shd w:val="clear" w:color="auto" w:fill="FFFFFF"/>
        </w:rPr>
        <w:t>A</w:t>
      </w:r>
      <w:r w:rsidRPr="000F0D8B">
        <w:rPr>
          <w:rFonts w:asciiTheme="minorHAnsi" w:eastAsiaTheme="minorHAnsi" w:hAnsiTheme="minorHAnsi" w:cstheme="minorHAnsi"/>
          <w:sz w:val="26"/>
          <w:szCs w:val="26"/>
          <w:shd w:val="clear" w:color="auto" w:fill="FFFFFF"/>
        </w:rPr>
        <w:t>pel</w:t>
      </w:r>
      <w:r w:rsidRPr="008832FB">
        <w:rPr>
          <w:rFonts w:asciiTheme="minorHAnsi" w:eastAsiaTheme="minorHAnsi" w:hAnsiTheme="minorHAnsi" w:cstheme="minorHAnsi"/>
          <w:sz w:val="26"/>
          <w:szCs w:val="26"/>
          <w:shd w:val="clear" w:color="auto" w:fill="FFFFFF"/>
        </w:rPr>
        <w:t xml:space="preserve"> Suceava. </w:t>
      </w:r>
    </w:p>
    <w:p w14:paraId="2B4BF750" w14:textId="77777777" w:rsidR="00A23843" w:rsidRPr="00B41651" w:rsidRDefault="00A23843" w:rsidP="00A23843">
      <w:pPr>
        <w:spacing w:line="276" w:lineRule="auto"/>
        <w:ind w:firstLine="720"/>
        <w:jc w:val="both"/>
        <w:rPr>
          <w:rFonts w:asciiTheme="minorHAnsi" w:eastAsiaTheme="minorHAnsi" w:hAnsiTheme="minorHAnsi" w:cstheme="minorHAnsi"/>
          <w:bCs/>
          <w:sz w:val="26"/>
          <w:szCs w:val="26"/>
        </w:rPr>
      </w:pPr>
      <w:r w:rsidRPr="008832FB">
        <w:rPr>
          <w:rFonts w:asciiTheme="minorHAnsi" w:eastAsiaTheme="minorHAnsi" w:hAnsiTheme="minorHAnsi" w:cstheme="minorHAnsi"/>
          <w:bCs/>
          <w:sz w:val="26"/>
          <w:szCs w:val="26"/>
        </w:rPr>
        <w:t>Activitatea de psihologie desfășurată de C</w:t>
      </w:r>
      <w:r w:rsidRPr="000F0D8B">
        <w:rPr>
          <w:rFonts w:asciiTheme="minorHAnsi" w:eastAsiaTheme="minorHAnsi" w:hAnsiTheme="minorHAnsi" w:cstheme="minorHAnsi"/>
          <w:bCs/>
          <w:sz w:val="26"/>
          <w:szCs w:val="26"/>
        </w:rPr>
        <w:t>.</w:t>
      </w:r>
      <w:r w:rsidRPr="008832FB">
        <w:rPr>
          <w:rFonts w:asciiTheme="minorHAnsi" w:eastAsiaTheme="minorHAnsi" w:hAnsiTheme="minorHAnsi" w:cstheme="minorHAnsi"/>
          <w:bCs/>
          <w:sz w:val="26"/>
          <w:szCs w:val="26"/>
        </w:rPr>
        <w:t>P</w:t>
      </w:r>
      <w:r w:rsidRPr="000F0D8B">
        <w:rPr>
          <w:rFonts w:asciiTheme="minorHAnsi" w:eastAsiaTheme="minorHAnsi" w:hAnsiTheme="minorHAnsi" w:cstheme="minorHAnsi"/>
          <w:bCs/>
          <w:sz w:val="26"/>
          <w:szCs w:val="26"/>
        </w:rPr>
        <w:t>.</w:t>
      </w:r>
      <w:r w:rsidRPr="008832FB">
        <w:rPr>
          <w:rFonts w:asciiTheme="minorHAnsi" w:eastAsiaTheme="minorHAnsi" w:hAnsiTheme="minorHAnsi" w:cstheme="minorHAnsi"/>
          <w:bCs/>
          <w:sz w:val="26"/>
          <w:szCs w:val="26"/>
        </w:rPr>
        <w:t>P</w:t>
      </w:r>
      <w:r w:rsidRPr="000F0D8B">
        <w:rPr>
          <w:rFonts w:asciiTheme="minorHAnsi" w:eastAsiaTheme="minorHAnsi" w:hAnsiTheme="minorHAnsi" w:cstheme="minorHAnsi"/>
          <w:bCs/>
          <w:sz w:val="26"/>
          <w:szCs w:val="26"/>
        </w:rPr>
        <w:t>.</w:t>
      </w:r>
      <w:r w:rsidRPr="008832FB">
        <w:rPr>
          <w:rFonts w:asciiTheme="minorHAnsi" w:eastAsiaTheme="minorHAnsi" w:hAnsiTheme="minorHAnsi" w:cstheme="minorHAnsi"/>
          <w:bCs/>
          <w:sz w:val="26"/>
          <w:szCs w:val="26"/>
        </w:rPr>
        <w:t xml:space="preserve"> la nivelul Școlii Naționale de Grefieri a presupus organizarea unor sesiuni  pentru prezentarea solicitărilor psihologice, precum și a strategiilor </w:t>
      </w:r>
      <w:r w:rsidRPr="00B41651">
        <w:rPr>
          <w:rFonts w:asciiTheme="minorHAnsi" w:eastAsiaTheme="minorHAnsi" w:hAnsiTheme="minorHAnsi" w:cstheme="minorHAnsi"/>
          <w:bCs/>
          <w:sz w:val="26"/>
          <w:szCs w:val="26"/>
        </w:rPr>
        <w:t>de control al stresului profesional pentru dezvoltarea rezilienței psihologice și adaptarea eficientă la solicitările profesiei de grefier, activități la care au participat aproximativ               90 de cursanți și personal de instruire</w:t>
      </w:r>
      <w:r w:rsidRPr="00B41651">
        <w:t xml:space="preserve"> </w:t>
      </w:r>
      <w:bookmarkStart w:id="185" w:name="_Hlk216949097"/>
      <w:r w:rsidRPr="00B41651">
        <w:rPr>
          <w:rFonts w:asciiTheme="minorHAnsi" w:eastAsiaTheme="minorHAnsi" w:hAnsiTheme="minorHAnsi" w:cstheme="minorHAnsi"/>
          <w:bCs/>
          <w:sz w:val="26"/>
          <w:szCs w:val="26"/>
        </w:rPr>
        <w:t>reprezentând 63% din totalul personalului.</w:t>
      </w:r>
      <w:bookmarkEnd w:id="185"/>
    </w:p>
    <w:p w14:paraId="1C5B8936" w14:textId="77777777" w:rsidR="00A23843" w:rsidRPr="00B41651" w:rsidRDefault="00A23843" w:rsidP="00A23843">
      <w:pPr>
        <w:spacing w:line="276" w:lineRule="auto"/>
        <w:ind w:firstLine="720"/>
        <w:jc w:val="both"/>
        <w:rPr>
          <w:rFonts w:asciiTheme="minorHAnsi" w:eastAsiaTheme="minorHAnsi" w:hAnsiTheme="minorHAnsi" w:cstheme="minorHAnsi"/>
          <w:bCs/>
          <w:sz w:val="26"/>
          <w:szCs w:val="26"/>
        </w:rPr>
      </w:pPr>
      <w:r w:rsidRPr="00B41651">
        <w:rPr>
          <w:rFonts w:asciiTheme="minorHAnsi" w:eastAsiaTheme="minorHAnsi" w:hAnsiTheme="minorHAnsi" w:cstheme="minorHAnsi"/>
          <w:bCs/>
          <w:sz w:val="26"/>
          <w:szCs w:val="26"/>
        </w:rPr>
        <w:t xml:space="preserve">De asemenea, în cursul anului 2025, C.P.P. a desfășurat la nivelul S.N.G. programe de asistență psihologică și orientare/consiliere vocațională menite să faciliteze adaptarea la viitoarele provocări profesionale la care au participat </w:t>
      </w:r>
      <w:r w:rsidRPr="00B41651">
        <w:rPr>
          <w:rFonts w:asciiTheme="minorHAnsi" w:eastAsiaTheme="minorHAnsi" w:hAnsiTheme="minorHAnsi" w:cstheme="minorHAnsi"/>
          <w:bCs/>
          <w:sz w:val="26"/>
          <w:szCs w:val="26"/>
          <w:lang w:val="fr-FR"/>
        </w:rPr>
        <w:t xml:space="preserve">82 de </w:t>
      </w:r>
      <w:r w:rsidRPr="00B41651">
        <w:rPr>
          <w:rFonts w:asciiTheme="minorHAnsi" w:eastAsiaTheme="minorHAnsi" w:hAnsiTheme="minorHAnsi" w:cstheme="minorHAnsi"/>
          <w:bCs/>
          <w:sz w:val="26"/>
          <w:szCs w:val="26"/>
        </w:rPr>
        <w:t>persoane reprezentând 58% din totalul cursanților.</w:t>
      </w:r>
    </w:p>
    <w:p w14:paraId="7EABAB97" w14:textId="77777777" w:rsidR="00A23843" w:rsidRPr="008832FB" w:rsidRDefault="00A23843" w:rsidP="00A23843">
      <w:pPr>
        <w:spacing w:line="276" w:lineRule="auto"/>
        <w:ind w:firstLine="720"/>
        <w:jc w:val="both"/>
        <w:rPr>
          <w:rFonts w:asciiTheme="minorHAnsi" w:eastAsiaTheme="minorHAnsi" w:hAnsiTheme="minorHAnsi" w:cstheme="minorHAnsi"/>
          <w:bCs/>
          <w:sz w:val="26"/>
          <w:szCs w:val="26"/>
        </w:rPr>
      </w:pPr>
      <w:r w:rsidRPr="008832FB">
        <w:rPr>
          <w:rFonts w:asciiTheme="minorHAnsi" w:eastAsiaTheme="minorHAnsi" w:hAnsiTheme="minorHAnsi" w:cstheme="minorHAnsi"/>
          <w:sz w:val="26"/>
          <w:szCs w:val="26"/>
          <w:shd w:val="clear" w:color="auto" w:fill="FFFFFF"/>
        </w:rPr>
        <w:t>Referitor la atribuția C</w:t>
      </w:r>
      <w:r w:rsidRPr="000F0D8B">
        <w:rPr>
          <w:rFonts w:asciiTheme="minorHAnsi" w:eastAsiaTheme="minorHAnsi" w:hAnsiTheme="minorHAnsi" w:cstheme="minorHAnsi"/>
          <w:sz w:val="26"/>
          <w:szCs w:val="26"/>
          <w:shd w:val="clear" w:color="auto" w:fill="FFFFFF"/>
        </w:rPr>
        <w:t>.</w:t>
      </w:r>
      <w:r w:rsidRPr="008832FB">
        <w:rPr>
          <w:rFonts w:asciiTheme="minorHAnsi" w:eastAsiaTheme="minorHAnsi" w:hAnsiTheme="minorHAnsi" w:cstheme="minorHAnsi"/>
          <w:sz w:val="26"/>
          <w:szCs w:val="26"/>
          <w:shd w:val="clear" w:color="auto" w:fill="FFFFFF"/>
        </w:rPr>
        <w:t>P</w:t>
      </w:r>
      <w:r w:rsidRPr="000F0D8B">
        <w:rPr>
          <w:rFonts w:asciiTheme="minorHAnsi" w:eastAsiaTheme="minorHAnsi" w:hAnsiTheme="minorHAnsi" w:cstheme="minorHAnsi"/>
          <w:sz w:val="26"/>
          <w:szCs w:val="26"/>
          <w:shd w:val="clear" w:color="auto" w:fill="FFFFFF"/>
        </w:rPr>
        <w:t>.</w:t>
      </w:r>
      <w:r w:rsidRPr="008832FB">
        <w:rPr>
          <w:rFonts w:asciiTheme="minorHAnsi" w:eastAsiaTheme="minorHAnsi" w:hAnsiTheme="minorHAnsi" w:cstheme="minorHAnsi"/>
          <w:sz w:val="26"/>
          <w:szCs w:val="26"/>
          <w:shd w:val="clear" w:color="auto" w:fill="FFFFFF"/>
        </w:rPr>
        <w:t>P</w:t>
      </w:r>
      <w:r w:rsidRPr="000F0D8B">
        <w:rPr>
          <w:rFonts w:asciiTheme="minorHAnsi" w:eastAsiaTheme="minorHAnsi" w:hAnsiTheme="minorHAnsi" w:cstheme="minorHAnsi"/>
          <w:sz w:val="26"/>
          <w:szCs w:val="26"/>
          <w:shd w:val="clear" w:color="auto" w:fill="FFFFFF"/>
        </w:rPr>
        <w:t>.</w:t>
      </w:r>
      <w:r w:rsidRPr="008832FB">
        <w:rPr>
          <w:rFonts w:asciiTheme="minorHAnsi" w:eastAsiaTheme="minorHAnsi" w:hAnsiTheme="minorHAnsi" w:cstheme="minorHAnsi"/>
          <w:sz w:val="26"/>
          <w:szCs w:val="26"/>
          <w:shd w:val="clear" w:color="auto" w:fill="FFFFFF"/>
        </w:rPr>
        <w:t xml:space="preserve"> privind organizarea trimestrială a sesiunilor de dezvoltare a abilităţilor psihologice specifice, în cursul anului 2025 au fost organizate </w:t>
      </w:r>
      <w:r w:rsidRPr="008832FB">
        <w:rPr>
          <w:rFonts w:asciiTheme="minorHAnsi" w:eastAsiaTheme="minorHAnsi" w:hAnsiTheme="minorHAnsi" w:cstheme="minorHAnsi"/>
          <w:bCs/>
          <w:sz w:val="26"/>
          <w:szCs w:val="26"/>
        </w:rPr>
        <w:t xml:space="preserve">3 seminarii cu tema „Tehnici de optimizare a atenției și memoriei”, la care au participat 46 de persoane, respectiv </w:t>
      </w:r>
      <w:r>
        <w:rPr>
          <w:rFonts w:asciiTheme="minorHAnsi" w:eastAsiaTheme="minorHAnsi" w:hAnsiTheme="minorHAnsi" w:cstheme="minorHAnsi"/>
          <w:bCs/>
          <w:sz w:val="26"/>
          <w:szCs w:val="26"/>
        </w:rPr>
        <w:t xml:space="preserve">                  </w:t>
      </w:r>
      <w:r w:rsidRPr="008832FB">
        <w:rPr>
          <w:rFonts w:asciiTheme="minorHAnsi" w:eastAsiaTheme="minorHAnsi" w:hAnsiTheme="minorHAnsi" w:cstheme="minorHAnsi"/>
          <w:bCs/>
          <w:sz w:val="26"/>
          <w:szCs w:val="26"/>
        </w:rPr>
        <w:t>5 ateliere de lucru pentru îmbunătățirea atenției și gestionarea stresului, la care au participat 45 de persoane.</w:t>
      </w:r>
    </w:p>
    <w:p w14:paraId="1AE2AAEE" w14:textId="77777777" w:rsidR="00A23843" w:rsidRPr="008832FB" w:rsidRDefault="00A23843" w:rsidP="00A23843">
      <w:pPr>
        <w:spacing w:line="276" w:lineRule="auto"/>
        <w:ind w:firstLine="720"/>
        <w:jc w:val="both"/>
        <w:rPr>
          <w:rFonts w:asciiTheme="minorHAnsi" w:eastAsiaTheme="minorHAnsi" w:hAnsiTheme="minorHAnsi" w:cstheme="minorHAnsi"/>
          <w:bCs/>
          <w:sz w:val="26"/>
          <w:szCs w:val="26"/>
        </w:rPr>
      </w:pPr>
      <w:r w:rsidRPr="008832FB">
        <w:rPr>
          <w:rFonts w:asciiTheme="minorHAnsi" w:eastAsiaTheme="minorHAnsi" w:hAnsiTheme="minorHAnsi" w:cstheme="minorHAnsi"/>
          <w:bCs/>
          <w:sz w:val="26"/>
          <w:szCs w:val="26"/>
        </w:rPr>
        <w:t xml:space="preserve">De asemenea, menționăm că în contextul pregătirii implementării bateriei de teste psihologice dezvoltată în cadrul proiectului </w:t>
      </w:r>
      <w:r w:rsidRPr="000F0D8B">
        <w:rPr>
          <w:rFonts w:asciiTheme="minorHAnsi" w:eastAsiaTheme="minorHAnsi" w:hAnsiTheme="minorHAnsi" w:cstheme="minorHAnsi"/>
          <w:bCs/>
          <w:sz w:val="26"/>
          <w:szCs w:val="26"/>
        </w:rPr>
        <w:t>„</w:t>
      </w:r>
      <w:r w:rsidRPr="008832FB">
        <w:rPr>
          <w:rFonts w:asciiTheme="minorHAnsi" w:eastAsiaTheme="minorHAnsi" w:hAnsiTheme="minorHAnsi" w:cstheme="minorHAnsi"/>
          <w:bCs/>
          <w:sz w:val="26"/>
          <w:szCs w:val="26"/>
        </w:rPr>
        <w:t xml:space="preserve">CPCI – Creșterea performanței și calității instituționale prin îmbunătățirea sistemului de evaluare și asistență psihologică la nivelul sistemului judiciar", precum și a optimizării procedurii și funcționalităților tehnice ale aplicației Mindapp, la nivelul Curții Militare de Apel au fost organizate multe sesiuni de analiză a climatului organizațional și testare </w:t>
      </w:r>
      <w:r w:rsidRPr="008832FB">
        <w:rPr>
          <w:rFonts w:asciiTheme="minorHAnsi" w:eastAsiaTheme="minorHAnsi" w:hAnsiTheme="minorHAnsi" w:cstheme="minorHAnsi"/>
          <w:bCs/>
          <w:sz w:val="26"/>
          <w:szCs w:val="26"/>
        </w:rPr>
        <w:lastRenderedPageBreak/>
        <w:t>psihologică periodică la care au participat judecătorii din jurisdicția acestei instanțe, rezultatele obținute fiind prezentate individual, la cerere, persoanelor evaluate de către psihologul instanței.</w:t>
      </w:r>
    </w:p>
    <w:p w14:paraId="04C435AB" w14:textId="77777777" w:rsidR="00A23843" w:rsidRPr="00FB43B3" w:rsidRDefault="00A23843" w:rsidP="00A23843">
      <w:pPr>
        <w:spacing w:line="276" w:lineRule="auto"/>
        <w:ind w:firstLine="720"/>
        <w:jc w:val="both"/>
        <w:rPr>
          <w:rFonts w:asciiTheme="minorHAnsi" w:hAnsiTheme="minorHAnsi" w:cstheme="minorHAnsi"/>
          <w:sz w:val="26"/>
          <w:szCs w:val="26"/>
        </w:rPr>
      </w:pPr>
      <w:r w:rsidRPr="00FB43B3">
        <w:rPr>
          <w:rFonts w:asciiTheme="minorHAnsi" w:hAnsiTheme="minorHAnsi" w:cstheme="minorHAnsi"/>
          <w:sz w:val="26"/>
          <w:szCs w:val="26"/>
        </w:rPr>
        <w:t>Potrivit dispozițiilor din Regulament, compartimentele/cabinetele de psihologie din sistemul judiciar sunt</w:t>
      </w:r>
      <w:r>
        <w:rPr>
          <w:rFonts w:asciiTheme="minorHAnsi" w:hAnsiTheme="minorHAnsi" w:cstheme="minorHAnsi"/>
          <w:sz w:val="26"/>
          <w:szCs w:val="26"/>
        </w:rPr>
        <w:t xml:space="preserve"> </w:t>
      </w:r>
      <w:r w:rsidRPr="00FB43B3">
        <w:rPr>
          <w:rFonts w:asciiTheme="minorHAnsi" w:hAnsiTheme="minorHAnsi" w:cstheme="minorHAnsi"/>
          <w:sz w:val="26"/>
          <w:szCs w:val="26"/>
        </w:rPr>
        <w:t>organizate și funcționează cu respectarea prevederilor Legii nr. 213/2004 privind exercitarea profesiei de psiholog cu drept de liberă practică, înființarea, organizarea și funcționarea Colegiului Psihologilor din România, cu modificările ulterioare.</w:t>
      </w:r>
    </w:p>
    <w:p w14:paraId="764BA65A" w14:textId="77777777" w:rsidR="00A23843" w:rsidRDefault="00A23843" w:rsidP="00A23843">
      <w:pPr>
        <w:tabs>
          <w:tab w:val="left" w:pos="142"/>
          <w:tab w:val="left" w:pos="284"/>
        </w:tabs>
        <w:spacing w:line="276" w:lineRule="auto"/>
        <w:ind w:firstLine="720"/>
        <w:jc w:val="both"/>
        <w:rPr>
          <w:rFonts w:asciiTheme="minorHAnsi" w:hAnsiTheme="minorHAnsi" w:cstheme="minorHAnsi"/>
          <w:sz w:val="26"/>
          <w:szCs w:val="26"/>
        </w:rPr>
      </w:pPr>
      <w:r w:rsidRPr="00FB43B3">
        <w:rPr>
          <w:rFonts w:asciiTheme="minorHAnsi" w:hAnsiTheme="minorHAnsi" w:cstheme="minorHAnsi"/>
          <w:sz w:val="26"/>
          <w:szCs w:val="26"/>
        </w:rPr>
        <w:t xml:space="preserve">În ceea ce privește situația actuală a compartimentelor/cabinetelor de psihologie din sistemul judiciar care îndeplinesc condițiile de funcționare, potrivit dispozițiilor legale, aceasta se </w:t>
      </w:r>
      <w:r w:rsidRPr="002C4AE2">
        <w:rPr>
          <w:rFonts w:asciiTheme="minorHAnsi" w:hAnsiTheme="minorHAnsi" w:cstheme="minorHAnsi"/>
          <w:sz w:val="26"/>
          <w:szCs w:val="26"/>
        </w:rPr>
        <w:t>prezintă astfel:</w:t>
      </w:r>
    </w:p>
    <w:p w14:paraId="4F39C49A" w14:textId="77777777" w:rsidR="00A23843" w:rsidRPr="002C4AE2" w:rsidRDefault="00A23843" w:rsidP="00A23843">
      <w:pPr>
        <w:tabs>
          <w:tab w:val="left" w:pos="142"/>
          <w:tab w:val="left" w:pos="284"/>
          <w:tab w:val="left" w:pos="709"/>
          <w:tab w:val="left" w:pos="851"/>
          <w:tab w:val="left" w:pos="993"/>
        </w:tabs>
        <w:spacing w:line="276" w:lineRule="auto"/>
        <w:ind w:left="709"/>
        <w:jc w:val="both"/>
        <w:rPr>
          <w:rFonts w:asciiTheme="minorHAnsi" w:hAnsiTheme="minorHAnsi" w:cstheme="minorHAnsi"/>
          <w:sz w:val="26"/>
          <w:szCs w:val="26"/>
        </w:rPr>
      </w:pPr>
      <w:r w:rsidRPr="002C4AE2">
        <w:rPr>
          <w:rFonts w:asciiTheme="minorHAnsi" w:hAnsiTheme="minorHAnsi" w:cstheme="minorHAnsi"/>
          <w:sz w:val="26"/>
          <w:szCs w:val="26"/>
        </w:rPr>
        <w:t>1.</w:t>
      </w:r>
      <w:r w:rsidRPr="002C4AE2">
        <w:rPr>
          <w:rFonts w:asciiTheme="minorHAnsi" w:hAnsiTheme="minorHAnsi" w:cstheme="minorHAnsi"/>
          <w:sz w:val="26"/>
          <w:szCs w:val="26"/>
        </w:rPr>
        <w:tab/>
        <w:t>Instituții</w:t>
      </w:r>
    </w:p>
    <w:p w14:paraId="76383629" w14:textId="77777777" w:rsidR="00A23843" w:rsidRPr="002C4AE2" w:rsidRDefault="00A23843" w:rsidP="00A23843">
      <w:pPr>
        <w:tabs>
          <w:tab w:val="left" w:pos="142"/>
          <w:tab w:val="left" w:pos="284"/>
        </w:tabs>
        <w:spacing w:line="276" w:lineRule="auto"/>
        <w:ind w:left="709"/>
        <w:jc w:val="both"/>
        <w:rPr>
          <w:rFonts w:asciiTheme="minorHAnsi" w:hAnsiTheme="minorHAnsi" w:cstheme="minorHAnsi"/>
          <w:sz w:val="26"/>
          <w:szCs w:val="26"/>
        </w:rPr>
      </w:pPr>
      <w:r w:rsidRPr="002C4AE2">
        <w:rPr>
          <w:rFonts w:asciiTheme="minorHAnsi" w:hAnsiTheme="minorHAnsi" w:cstheme="minorHAnsi"/>
          <w:sz w:val="26"/>
          <w:szCs w:val="26"/>
        </w:rPr>
        <w:t>- Consiliul Superior al Magistraturii;</w:t>
      </w:r>
    </w:p>
    <w:p w14:paraId="6582CA83" w14:textId="77777777" w:rsidR="00A23843" w:rsidRDefault="00A23843" w:rsidP="00A23843">
      <w:pPr>
        <w:tabs>
          <w:tab w:val="left" w:pos="142"/>
          <w:tab w:val="left" w:pos="284"/>
        </w:tabs>
        <w:spacing w:line="276" w:lineRule="auto"/>
        <w:ind w:left="709"/>
        <w:jc w:val="both"/>
        <w:rPr>
          <w:rFonts w:asciiTheme="minorHAnsi" w:hAnsiTheme="minorHAnsi" w:cstheme="minorHAnsi"/>
          <w:sz w:val="26"/>
          <w:szCs w:val="26"/>
        </w:rPr>
      </w:pPr>
      <w:r w:rsidRPr="002C4AE2">
        <w:rPr>
          <w:rFonts w:asciiTheme="minorHAnsi" w:hAnsiTheme="minorHAnsi" w:cstheme="minorHAnsi"/>
          <w:sz w:val="26"/>
          <w:szCs w:val="26"/>
        </w:rPr>
        <w:t>- Institutul Național al Magistraturii.</w:t>
      </w:r>
    </w:p>
    <w:p w14:paraId="659FFB19" w14:textId="77777777" w:rsidR="00A23843" w:rsidRPr="002C4AE2" w:rsidRDefault="00A23843" w:rsidP="00A23843">
      <w:pPr>
        <w:keepNext/>
        <w:tabs>
          <w:tab w:val="left" w:pos="142"/>
          <w:tab w:val="left" w:pos="284"/>
          <w:tab w:val="left" w:pos="851"/>
          <w:tab w:val="left" w:pos="993"/>
        </w:tabs>
        <w:spacing w:line="276" w:lineRule="auto"/>
        <w:ind w:left="706"/>
        <w:jc w:val="both"/>
        <w:rPr>
          <w:rFonts w:asciiTheme="minorHAnsi" w:hAnsiTheme="minorHAnsi" w:cstheme="minorHAnsi"/>
          <w:sz w:val="26"/>
          <w:szCs w:val="26"/>
        </w:rPr>
      </w:pPr>
      <w:r w:rsidRPr="002C4AE2">
        <w:rPr>
          <w:rFonts w:asciiTheme="minorHAnsi" w:hAnsiTheme="minorHAnsi" w:cstheme="minorHAnsi"/>
          <w:sz w:val="26"/>
          <w:szCs w:val="26"/>
        </w:rPr>
        <w:t>2.</w:t>
      </w:r>
      <w:r w:rsidRPr="002C4AE2">
        <w:rPr>
          <w:rFonts w:asciiTheme="minorHAnsi" w:hAnsiTheme="minorHAnsi" w:cstheme="minorHAnsi"/>
          <w:sz w:val="26"/>
          <w:szCs w:val="26"/>
        </w:rPr>
        <w:tab/>
        <w:t>Instanțe</w:t>
      </w:r>
    </w:p>
    <w:p w14:paraId="4570E36B" w14:textId="77777777" w:rsidR="00A23843" w:rsidRPr="002C4AE2" w:rsidRDefault="00A23843" w:rsidP="00A23843">
      <w:pPr>
        <w:keepNext/>
        <w:tabs>
          <w:tab w:val="left" w:pos="142"/>
          <w:tab w:val="left" w:pos="284"/>
        </w:tabs>
        <w:spacing w:line="276" w:lineRule="auto"/>
        <w:ind w:left="706"/>
        <w:jc w:val="both"/>
        <w:rPr>
          <w:rFonts w:asciiTheme="minorHAnsi" w:hAnsiTheme="minorHAnsi" w:cstheme="minorHAnsi"/>
          <w:sz w:val="26"/>
          <w:szCs w:val="26"/>
        </w:rPr>
      </w:pPr>
      <w:r w:rsidRPr="002C4AE2">
        <w:rPr>
          <w:rFonts w:asciiTheme="minorHAnsi" w:hAnsiTheme="minorHAnsi" w:cstheme="minorHAnsi"/>
          <w:sz w:val="26"/>
          <w:szCs w:val="26"/>
        </w:rPr>
        <w:t>- Curtea de Apel Alba;</w:t>
      </w:r>
    </w:p>
    <w:p w14:paraId="16D16AF2" w14:textId="77777777" w:rsidR="00A23843" w:rsidRPr="002C4AE2" w:rsidRDefault="00A23843" w:rsidP="00A23843">
      <w:pPr>
        <w:tabs>
          <w:tab w:val="left" w:pos="142"/>
          <w:tab w:val="left" w:pos="284"/>
        </w:tabs>
        <w:spacing w:line="276" w:lineRule="auto"/>
        <w:ind w:left="709"/>
        <w:jc w:val="both"/>
        <w:rPr>
          <w:rFonts w:asciiTheme="minorHAnsi" w:hAnsiTheme="minorHAnsi" w:cstheme="minorHAnsi"/>
          <w:sz w:val="26"/>
          <w:szCs w:val="26"/>
        </w:rPr>
      </w:pPr>
      <w:r w:rsidRPr="002C4AE2">
        <w:rPr>
          <w:rFonts w:asciiTheme="minorHAnsi" w:hAnsiTheme="minorHAnsi" w:cstheme="minorHAnsi"/>
          <w:sz w:val="26"/>
          <w:szCs w:val="26"/>
        </w:rPr>
        <w:t>- Curtea de Apel Constanța;</w:t>
      </w:r>
    </w:p>
    <w:p w14:paraId="7B008F0A" w14:textId="77777777" w:rsidR="00A23843" w:rsidRPr="002C4AE2" w:rsidRDefault="00A23843" w:rsidP="00A23843">
      <w:pPr>
        <w:tabs>
          <w:tab w:val="left" w:pos="142"/>
          <w:tab w:val="left" w:pos="284"/>
        </w:tabs>
        <w:spacing w:line="276" w:lineRule="auto"/>
        <w:ind w:left="709"/>
        <w:jc w:val="both"/>
        <w:rPr>
          <w:rFonts w:asciiTheme="minorHAnsi" w:hAnsiTheme="minorHAnsi" w:cstheme="minorHAnsi"/>
          <w:sz w:val="26"/>
          <w:szCs w:val="26"/>
        </w:rPr>
      </w:pPr>
      <w:r w:rsidRPr="002C4AE2">
        <w:rPr>
          <w:rFonts w:asciiTheme="minorHAnsi" w:hAnsiTheme="minorHAnsi" w:cstheme="minorHAnsi"/>
          <w:sz w:val="26"/>
          <w:szCs w:val="26"/>
        </w:rPr>
        <w:t>- Curtea de Apel Craiova;</w:t>
      </w:r>
    </w:p>
    <w:p w14:paraId="5F7C7DA0" w14:textId="77777777" w:rsidR="00A23843" w:rsidRPr="002C4AE2" w:rsidRDefault="00A23843" w:rsidP="00A23843">
      <w:pPr>
        <w:tabs>
          <w:tab w:val="left" w:pos="142"/>
          <w:tab w:val="left" w:pos="284"/>
        </w:tabs>
        <w:spacing w:line="276" w:lineRule="auto"/>
        <w:ind w:left="709"/>
        <w:jc w:val="both"/>
        <w:rPr>
          <w:rFonts w:asciiTheme="minorHAnsi" w:hAnsiTheme="minorHAnsi" w:cstheme="minorHAnsi"/>
          <w:sz w:val="26"/>
          <w:szCs w:val="26"/>
        </w:rPr>
      </w:pPr>
      <w:r w:rsidRPr="002C4AE2">
        <w:rPr>
          <w:rFonts w:asciiTheme="minorHAnsi" w:hAnsiTheme="minorHAnsi" w:cstheme="minorHAnsi"/>
          <w:sz w:val="26"/>
          <w:szCs w:val="26"/>
        </w:rPr>
        <w:t>- Curtea de Apel Galați;</w:t>
      </w:r>
    </w:p>
    <w:p w14:paraId="45EC3ADE" w14:textId="77777777" w:rsidR="00A23843" w:rsidRPr="002C4AE2" w:rsidRDefault="00A23843" w:rsidP="00A23843">
      <w:pPr>
        <w:tabs>
          <w:tab w:val="left" w:pos="142"/>
          <w:tab w:val="left" w:pos="284"/>
        </w:tabs>
        <w:spacing w:line="276" w:lineRule="auto"/>
        <w:ind w:left="709"/>
        <w:jc w:val="both"/>
        <w:rPr>
          <w:rFonts w:asciiTheme="minorHAnsi" w:hAnsiTheme="minorHAnsi" w:cstheme="minorHAnsi"/>
          <w:sz w:val="26"/>
          <w:szCs w:val="26"/>
        </w:rPr>
      </w:pPr>
      <w:r w:rsidRPr="002C4AE2">
        <w:rPr>
          <w:rFonts w:asciiTheme="minorHAnsi" w:hAnsiTheme="minorHAnsi" w:cstheme="minorHAnsi"/>
          <w:sz w:val="26"/>
          <w:szCs w:val="26"/>
        </w:rPr>
        <w:t>- Curtea de Apel Oradea;</w:t>
      </w:r>
    </w:p>
    <w:p w14:paraId="129B2507" w14:textId="77777777" w:rsidR="00A23843" w:rsidRPr="002C4AE2" w:rsidRDefault="00A23843" w:rsidP="00A23843">
      <w:pPr>
        <w:tabs>
          <w:tab w:val="left" w:pos="142"/>
          <w:tab w:val="left" w:pos="284"/>
        </w:tabs>
        <w:spacing w:line="276" w:lineRule="auto"/>
        <w:ind w:left="709"/>
        <w:jc w:val="both"/>
        <w:rPr>
          <w:rFonts w:asciiTheme="minorHAnsi" w:hAnsiTheme="minorHAnsi" w:cstheme="minorHAnsi"/>
          <w:sz w:val="26"/>
          <w:szCs w:val="26"/>
        </w:rPr>
      </w:pPr>
      <w:r w:rsidRPr="002C4AE2">
        <w:rPr>
          <w:rFonts w:asciiTheme="minorHAnsi" w:hAnsiTheme="minorHAnsi" w:cstheme="minorHAnsi"/>
          <w:sz w:val="26"/>
          <w:szCs w:val="26"/>
        </w:rPr>
        <w:t xml:space="preserve">- Curtea de Apel Ploiești. </w:t>
      </w:r>
    </w:p>
    <w:p w14:paraId="64E830DE" w14:textId="77777777" w:rsidR="00A23843" w:rsidRPr="002C4AE2" w:rsidRDefault="00A23843" w:rsidP="00A23843">
      <w:pPr>
        <w:tabs>
          <w:tab w:val="left" w:pos="142"/>
          <w:tab w:val="left" w:pos="284"/>
          <w:tab w:val="left" w:pos="851"/>
          <w:tab w:val="left" w:pos="993"/>
        </w:tabs>
        <w:spacing w:line="276" w:lineRule="auto"/>
        <w:ind w:left="709"/>
        <w:jc w:val="both"/>
        <w:rPr>
          <w:rFonts w:asciiTheme="minorHAnsi" w:hAnsiTheme="minorHAnsi" w:cstheme="minorHAnsi"/>
          <w:sz w:val="26"/>
          <w:szCs w:val="26"/>
        </w:rPr>
      </w:pPr>
      <w:r w:rsidRPr="002C4AE2">
        <w:rPr>
          <w:rFonts w:asciiTheme="minorHAnsi" w:hAnsiTheme="minorHAnsi" w:cstheme="minorHAnsi"/>
          <w:sz w:val="26"/>
          <w:szCs w:val="26"/>
        </w:rPr>
        <w:t>3.</w:t>
      </w:r>
      <w:r w:rsidRPr="002C4AE2">
        <w:rPr>
          <w:rFonts w:asciiTheme="minorHAnsi" w:hAnsiTheme="minorHAnsi" w:cstheme="minorHAnsi"/>
          <w:sz w:val="26"/>
          <w:szCs w:val="26"/>
        </w:rPr>
        <w:tab/>
        <w:t>Unități de parchet</w:t>
      </w:r>
    </w:p>
    <w:p w14:paraId="3AA79EBF" w14:textId="77777777" w:rsidR="00A23843" w:rsidRPr="00A35EF2" w:rsidRDefault="00A23843" w:rsidP="00A23843">
      <w:pPr>
        <w:tabs>
          <w:tab w:val="left" w:pos="142"/>
          <w:tab w:val="left" w:pos="284"/>
        </w:tabs>
        <w:spacing w:line="276" w:lineRule="auto"/>
        <w:ind w:left="709"/>
        <w:jc w:val="both"/>
        <w:rPr>
          <w:rFonts w:asciiTheme="minorHAnsi" w:hAnsiTheme="minorHAnsi" w:cstheme="minorHAnsi"/>
          <w:sz w:val="26"/>
          <w:szCs w:val="26"/>
          <w:lang w:val="fr-FR"/>
        </w:rPr>
      </w:pPr>
      <w:r w:rsidRPr="002C4AE2">
        <w:rPr>
          <w:rFonts w:asciiTheme="minorHAnsi" w:hAnsiTheme="minorHAnsi" w:cstheme="minorHAnsi"/>
          <w:sz w:val="26"/>
          <w:szCs w:val="26"/>
        </w:rPr>
        <w:t>- Parchetul de pe lângă Curtea de Apel Brașov</w:t>
      </w:r>
      <w:r w:rsidRPr="00A35EF2">
        <w:rPr>
          <w:rFonts w:asciiTheme="minorHAnsi" w:hAnsiTheme="minorHAnsi" w:cstheme="minorHAnsi"/>
          <w:sz w:val="26"/>
          <w:szCs w:val="26"/>
          <w:lang w:val="fr-FR"/>
        </w:rPr>
        <w:t>;</w:t>
      </w:r>
    </w:p>
    <w:p w14:paraId="4B81E705" w14:textId="77777777" w:rsidR="00A23843" w:rsidRPr="002C4AE2" w:rsidRDefault="00A23843" w:rsidP="00A23843">
      <w:pPr>
        <w:tabs>
          <w:tab w:val="left" w:pos="142"/>
          <w:tab w:val="left" w:pos="284"/>
        </w:tabs>
        <w:spacing w:line="276" w:lineRule="auto"/>
        <w:ind w:left="709"/>
        <w:jc w:val="both"/>
        <w:rPr>
          <w:rFonts w:asciiTheme="minorHAnsi" w:hAnsiTheme="minorHAnsi" w:cstheme="minorHAnsi"/>
          <w:sz w:val="26"/>
          <w:szCs w:val="26"/>
        </w:rPr>
      </w:pPr>
      <w:r w:rsidRPr="002C4AE2">
        <w:rPr>
          <w:rFonts w:asciiTheme="minorHAnsi" w:hAnsiTheme="minorHAnsi" w:cstheme="minorHAnsi"/>
          <w:sz w:val="26"/>
          <w:szCs w:val="26"/>
        </w:rPr>
        <w:t>- Parchetul de pe lângă Curtea de Apel Craiova;</w:t>
      </w:r>
    </w:p>
    <w:p w14:paraId="5188784B" w14:textId="77777777" w:rsidR="00A23843" w:rsidRPr="002C4AE2" w:rsidRDefault="00A23843" w:rsidP="00A23843">
      <w:pPr>
        <w:tabs>
          <w:tab w:val="left" w:pos="142"/>
          <w:tab w:val="left" w:pos="284"/>
        </w:tabs>
        <w:spacing w:line="276" w:lineRule="auto"/>
        <w:ind w:left="709"/>
        <w:jc w:val="both"/>
        <w:rPr>
          <w:rFonts w:asciiTheme="minorHAnsi" w:hAnsiTheme="minorHAnsi" w:cstheme="minorHAnsi"/>
          <w:sz w:val="26"/>
          <w:szCs w:val="26"/>
        </w:rPr>
      </w:pPr>
      <w:r w:rsidRPr="002C4AE2">
        <w:rPr>
          <w:rFonts w:asciiTheme="minorHAnsi" w:hAnsiTheme="minorHAnsi" w:cstheme="minorHAnsi"/>
          <w:sz w:val="26"/>
          <w:szCs w:val="26"/>
        </w:rPr>
        <w:t>- Parchetul de pe lângă Curtea de Apel Oradea;</w:t>
      </w:r>
    </w:p>
    <w:p w14:paraId="7B7BA80A" w14:textId="77777777" w:rsidR="00A23843" w:rsidRPr="002C4AE2" w:rsidRDefault="00A23843" w:rsidP="00A23843">
      <w:pPr>
        <w:tabs>
          <w:tab w:val="left" w:pos="142"/>
          <w:tab w:val="left" w:pos="284"/>
        </w:tabs>
        <w:spacing w:line="276" w:lineRule="auto"/>
        <w:ind w:left="709"/>
        <w:jc w:val="both"/>
        <w:rPr>
          <w:rFonts w:asciiTheme="minorHAnsi" w:hAnsiTheme="minorHAnsi" w:cstheme="minorHAnsi"/>
          <w:sz w:val="26"/>
          <w:szCs w:val="26"/>
        </w:rPr>
      </w:pPr>
      <w:r w:rsidRPr="002C4AE2">
        <w:rPr>
          <w:rFonts w:asciiTheme="minorHAnsi" w:hAnsiTheme="minorHAnsi" w:cstheme="minorHAnsi"/>
          <w:sz w:val="26"/>
          <w:szCs w:val="26"/>
        </w:rPr>
        <w:t>- Parchetul de pe lângă Curtea de Apel Târgu Mureș;</w:t>
      </w:r>
    </w:p>
    <w:p w14:paraId="51EA7CD2" w14:textId="77777777" w:rsidR="00A23843" w:rsidRPr="00A35EF2" w:rsidRDefault="00A23843" w:rsidP="00A23843">
      <w:pPr>
        <w:tabs>
          <w:tab w:val="left" w:pos="142"/>
          <w:tab w:val="left" w:pos="284"/>
        </w:tabs>
        <w:spacing w:line="276" w:lineRule="auto"/>
        <w:ind w:left="709"/>
        <w:jc w:val="both"/>
        <w:rPr>
          <w:rFonts w:asciiTheme="minorHAnsi" w:hAnsiTheme="minorHAnsi" w:cstheme="minorHAnsi"/>
          <w:sz w:val="26"/>
          <w:szCs w:val="26"/>
          <w:lang w:val="fr-FR"/>
        </w:rPr>
      </w:pPr>
      <w:r w:rsidRPr="002C4AE2">
        <w:rPr>
          <w:rFonts w:asciiTheme="minorHAnsi" w:hAnsiTheme="minorHAnsi" w:cstheme="minorHAnsi"/>
          <w:sz w:val="26"/>
          <w:szCs w:val="26"/>
        </w:rPr>
        <w:t>- Direcția Națională Anticorupție</w:t>
      </w:r>
      <w:r w:rsidRPr="00A35EF2">
        <w:rPr>
          <w:rFonts w:asciiTheme="minorHAnsi" w:hAnsiTheme="minorHAnsi" w:cstheme="minorHAnsi"/>
          <w:sz w:val="26"/>
          <w:szCs w:val="26"/>
          <w:lang w:val="fr-FR"/>
        </w:rPr>
        <w:t>;</w:t>
      </w:r>
    </w:p>
    <w:p w14:paraId="2BC3616D" w14:textId="77777777" w:rsidR="00A23843" w:rsidRPr="00D33CF3" w:rsidRDefault="00A23843" w:rsidP="00A23843">
      <w:pPr>
        <w:tabs>
          <w:tab w:val="left" w:pos="142"/>
          <w:tab w:val="left" w:pos="284"/>
        </w:tabs>
        <w:spacing w:line="276" w:lineRule="auto"/>
        <w:jc w:val="both"/>
        <w:rPr>
          <w:rFonts w:asciiTheme="minorHAnsi" w:hAnsiTheme="minorHAnsi" w:cstheme="minorHAnsi"/>
          <w:sz w:val="26"/>
          <w:szCs w:val="26"/>
        </w:rPr>
      </w:pPr>
      <w:r>
        <w:rPr>
          <w:rFonts w:asciiTheme="minorHAnsi" w:hAnsiTheme="minorHAnsi" w:cstheme="minorHAnsi"/>
          <w:sz w:val="26"/>
          <w:szCs w:val="26"/>
        </w:rPr>
        <w:tab/>
      </w:r>
      <w:r>
        <w:rPr>
          <w:rFonts w:asciiTheme="minorHAnsi" w:hAnsiTheme="minorHAnsi" w:cstheme="minorHAnsi"/>
          <w:sz w:val="26"/>
          <w:szCs w:val="26"/>
        </w:rPr>
        <w:tab/>
      </w:r>
      <w:r>
        <w:rPr>
          <w:rFonts w:asciiTheme="minorHAnsi" w:hAnsiTheme="minorHAnsi" w:cstheme="minorHAnsi"/>
          <w:sz w:val="26"/>
          <w:szCs w:val="26"/>
        </w:rPr>
        <w:tab/>
      </w:r>
      <w:r w:rsidRPr="00D33CF3">
        <w:rPr>
          <w:rFonts w:asciiTheme="minorHAnsi" w:hAnsiTheme="minorHAnsi" w:cstheme="minorHAnsi"/>
          <w:sz w:val="26"/>
          <w:szCs w:val="26"/>
        </w:rPr>
        <w:t>- Direcția de Investigare a Infracțiunilor de Criminalitate Organizată și Terorism</w:t>
      </w:r>
      <w:r>
        <w:rPr>
          <w:rFonts w:asciiTheme="minorHAnsi" w:hAnsiTheme="minorHAnsi" w:cstheme="minorHAnsi"/>
          <w:sz w:val="26"/>
          <w:szCs w:val="26"/>
        </w:rPr>
        <w:t>.</w:t>
      </w:r>
    </w:p>
    <w:p w14:paraId="017D63F9" w14:textId="77777777" w:rsidR="00A23843" w:rsidRDefault="00A23843" w:rsidP="00A23843">
      <w:pPr>
        <w:spacing w:line="276" w:lineRule="auto"/>
        <w:ind w:firstLine="630"/>
        <w:jc w:val="both"/>
        <w:rPr>
          <w:rFonts w:asciiTheme="minorHAnsi" w:hAnsiTheme="minorHAnsi" w:cstheme="minorHAnsi"/>
          <w:sz w:val="26"/>
          <w:szCs w:val="26"/>
        </w:rPr>
      </w:pPr>
      <w:r>
        <w:rPr>
          <w:rFonts w:asciiTheme="minorHAnsi" w:hAnsiTheme="minorHAnsi" w:cstheme="minorHAnsi"/>
          <w:sz w:val="26"/>
          <w:szCs w:val="26"/>
        </w:rPr>
        <w:t>Toa</w:t>
      </w:r>
      <w:r w:rsidRPr="00FB43B3">
        <w:rPr>
          <w:rFonts w:asciiTheme="minorHAnsi" w:hAnsiTheme="minorHAnsi" w:cstheme="minorHAnsi"/>
          <w:sz w:val="26"/>
          <w:szCs w:val="26"/>
        </w:rPr>
        <w:t xml:space="preserve">te compartimentele/cabinetele de psihologie de la nivelul instituțiilor din sistemul judiciar dețin dotări tehnice pentru desfășurarea la standarde de calitate a activității profesionale de către psihologii care funcţionează la nivelul acestora, acestea fiind asigurate prin procedurile derulate în cadrul proiectului </w:t>
      </w:r>
      <w:r>
        <w:rPr>
          <w:rFonts w:asciiTheme="minorHAnsi" w:hAnsiTheme="minorHAnsi" w:cstheme="minorHAnsi"/>
          <w:sz w:val="26"/>
          <w:szCs w:val="26"/>
        </w:rPr>
        <w:t>„</w:t>
      </w:r>
      <w:r w:rsidRPr="00FB43B3">
        <w:rPr>
          <w:rFonts w:asciiTheme="minorHAnsi" w:hAnsiTheme="minorHAnsi" w:cstheme="minorHAnsi"/>
          <w:sz w:val="26"/>
          <w:szCs w:val="26"/>
        </w:rPr>
        <w:t>CPCI - Creşterea performanţei şi calităţii instituţionale prin îmbunătăţirea sistemului de evaluare şi asistenţă psihologică la nivelul sistemului judiciar", (cod SIPOCA/MySMIS: 762/135456) prin care au fost achiziționate echipamente IT și seturi de mobilier.</w:t>
      </w:r>
    </w:p>
    <w:p w14:paraId="427104F9" w14:textId="77777777" w:rsidR="00A23843" w:rsidRPr="008832FB" w:rsidRDefault="00A23843" w:rsidP="00A23843">
      <w:pPr>
        <w:tabs>
          <w:tab w:val="left" w:pos="3120"/>
        </w:tabs>
        <w:spacing w:line="276" w:lineRule="auto"/>
        <w:ind w:firstLine="630"/>
        <w:jc w:val="both"/>
        <w:rPr>
          <w:rFonts w:asciiTheme="minorHAnsi" w:eastAsiaTheme="minorHAnsi" w:hAnsiTheme="minorHAnsi" w:cstheme="minorHAnsi"/>
          <w:bCs/>
          <w:sz w:val="26"/>
          <w:szCs w:val="26"/>
        </w:rPr>
      </w:pPr>
      <w:r w:rsidRPr="008832FB">
        <w:rPr>
          <w:rFonts w:asciiTheme="minorHAnsi" w:eastAsiaTheme="minorHAnsi" w:hAnsiTheme="minorHAnsi" w:cstheme="minorHAnsi"/>
          <w:bCs/>
          <w:sz w:val="26"/>
          <w:szCs w:val="26"/>
        </w:rPr>
        <w:t>Referitor la structura rapoartelor și planurilor de activitate întocmite de psihologii de la nivelul instanțelor și unităților de parchet, aceasta a fost standardizată la nivelul C</w:t>
      </w:r>
      <w:r w:rsidRPr="000F0D8B">
        <w:rPr>
          <w:rFonts w:asciiTheme="minorHAnsi" w:eastAsiaTheme="minorHAnsi" w:hAnsiTheme="minorHAnsi" w:cstheme="minorHAnsi"/>
          <w:bCs/>
          <w:sz w:val="26"/>
          <w:szCs w:val="26"/>
        </w:rPr>
        <w:t>.</w:t>
      </w:r>
      <w:r w:rsidRPr="008832FB">
        <w:rPr>
          <w:rFonts w:asciiTheme="minorHAnsi" w:eastAsiaTheme="minorHAnsi" w:hAnsiTheme="minorHAnsi" w:cstheme="minorHAnsi"/>
          <w:bCs/>
          <w:sz w:val="26"/>
          <w:szCs w:val="26"/>
        </w:rPr>
        <w:t>P</w:t>
      </w:r>
      <w:r w:rsidRPr="000F0D8B">
        <w:rPr>
          <w:rFonts w:asciiTheme="minorHAnsi" w:eastAsiaTheme="minorHAnsi" w:hAnsiTheme="minorHAnsi" w:cstheme="minorHAnsi"/>
          <w:bCs/>
          <w:sz w:val="26"/>
          <w:szCs w:val="26"/>
        </w:rPr>
        <w:t>.</w:t>
      </w:r>
      <w:r w:rsidRPr="008832FB">
        <w:rPr>
          <w:rFonts w:asciiTheme="minorHAnsi" w:eastAsiaTheme="minorHAnsi" w:hAnsiTheme="minorHAnsi" w:cstheme="minorHAnsi"/>
          <w:bCs/>
          <w:sz w:val="26"/>
          <w:szCs w:val="26"/>
        </w:rPr>
        <w:t>P</w:t>
      </w:r>
      <w:r w:rsidRPr="000F0D8B">
        <w:rPr>
          <w:rFonts w:asciiTheme="minorHAnsi" w:eastAsiaTheme="minorHAnsi" w:hAnsiTheme="minorHAnsi" w:cstheme="minorHAnsi"/>
          <w:bCs/>
          <w:sz w:val="26"/>
          <w:szCs w:val="26"/>
        </w:rPr>
        <w:t>.</w:t>
      </w:r>
      <w:r w:rsidRPr="008832FB">
        <w:rPr>
          <w:rFonts w:asciiTheme="minorHAnsi" w:eastAsiaTheme="minorHAnsi" w:hAnsiTheme="minorHAnsi" w:cstheme="minorHAnsi"/>
          <w:bCs/>
          <w:sz w:val="26"/>
          <w:szCs w:val="26"/>
        </w:rPr>
        <w:t>, modalitatea de raportare a datelor cantitative și calitative fiind semnificativ îmbunătățită.</w:t>
      </w:r>
    </w:p>
    <w:p w14:paraId="04D8A32C" w14:textId="77777777" w:rsidR="00A23843" w:rsidRPr="00B41651" w:rsidRDefault="00A23843" w:rsidP="00A23843">
      <w:pPr>
        <w:spacing w:line="276" w:lineRule="auto"/>
        <w:ind w:firstLine="630"/>
        <w:jc w:val="both"/>
        <w:rPr>
          <w:rFonts w:asciiTheme="minorHAnsi" w:eastAsia="Calibri" w:hAnsiTheme="minorHAnsi" w:cstheme="minorHAnsi"/>
          <w:kern w:val="2"/>
          <w:sz w:val="26"/>
          <w:szCs w:val="26"/>
          <w14:ligatures w14:val="standardContextual"/>
        </w:rPr>
      </w:pPr>
      <w:r w:rsidRPr="008832FB">
        <w:rPr>
          <w:rFonts w:asciiTheme="minorHAnsi" w:eastAsiaTheme="minorHAnsi" w:hAnsiTheme="minorHAnsi" w:cstheme="minorHAnsi"/>
          <w:bCs/>
          <w:sz w:val="26"/>
          <w:szCs w:val="26"/>
        </w:rPr>
        <w:t>Astfel</w:t>
      </w:r>
      <w:r>
        <w:rPr>
          <w:rFonts w:asciiTheme="minorHAnsi" w:eastAsiaTheme="minorHAnsi" w:hAnsiTheme="minorHAnsi" w:cstheme="minorHAnsi"/>
          <w:bCs/>
          <w:sz w:val="26"/>
          <w:szCs w:val="26"/>
        </w:rPr>
        <w:t>,</w:t>
      </w:r>
      <w:r w:rsidRPr="008832FB">
        <w:rPr>
          <w:rFonts w:asciiTheme="minorHAnsi" w:eastAsiaTheme="minorHAnsi" w:hAnsiTheme="minorHAnsi" w:cstheme="minorHAnsi"/>
          <w:bCs/>
          <w:sz w:val="26"/>
          <w:szCs w:val="26"/>
        </w:rPr>
        <w:t xml:space="preserve"> din datele centralizate la nivelul C</w:t>
      </w:r>
      <w:r w:rsidRPr="000F0D8B">
        <w:rPr>
          <w:rFonts w:asciiTheme="minorHAnsi" w:eastAsiaTheme="minorHAnsi" w:hAnsiTheme="minorHAnsi" w:cstheme="minorHAnsi"/>
          <w:bCs/>
          <w:sz w:val="26"/>
          <w:szCs w:val="26"/>
        </w:rPr>
        <w:t>.</w:t>
      </w:r>
      <w:r w:rsidRPr="008832FB">
        <w:rPr>
          <w:rFonts w:asciiTheme="minorHAnsi" w:eastAsiaTheme="minorHAnsi" w:hAnsiTheme="minorHAnsi" w:cstheme="minorHAnsi"/>
          <w:bCs/>
          <w:sz w:val="26"/>
          <w:szCs w:val="26"/>
        </w:rPr>
        <w:t>P</w:t>
      </w:r>
      <w:r w:rsidRPr="000F0D8B">
        <w:rPr>
          <w:rFonts w:asciiTheme="minorHAnsi" w:eastAsiaTheme="minorHAnsi" w:hAnsiTheme="minorHAnsi" w:cstheme="minorHAnsi"/>
          <w:bCs/>
          <w:sz w:val="26"/>
          <w:szCs w:val="26"/>
        </w:rPr>
        <w:t>.</w:t>
      </w:r>
      <w:r w:rsidRPr="008832FB">
        <w:rPr>
          <w:rFonts w:asciiTheme="minorHAnsi" w:eastAsiaTheme="minorHAnsi" w:hAnsiTheme="minorHAnsi" w:cstheme="minorHAnsi"/>
          <w:bCs/>
          <w:sz w:val="26"/>
          <w:szCs w:val="26"/>
        </w:rPr>
        <w:t>P</w:t>
      </w:r>
      <w:r w:rsidRPr="000F0D8B">
        <w:rPr>
          <w:rFonts w:asciiTheme="minorHAnsi" w:eastAsiaTheme="minorHAnsi" w:hAnsiTheme="minorHAnsi" w:cstheme="minorHAnsi"/>
          <w:bCs/>
          <w:sz w:val="26"/>
          <w:szCs w:val="26"/>
        </w:rPr>
        <w:t>.</w:t>
      </w:r>
      <w:r w:rsidRPr="008832FB">
        <w:rPr>
          <w:rFonts w:asciiTheme="minorHAnsi" w:eastAsiaTheme="minorHAnsi" w:hAnsiTheme="minorHAnsi" w:cstheme="minorHAnsi"/>
          <w:bCs/>
          <w:sz w:val="26"/>
          <w:szCs w:val="26"/>
        </w:rPr>
        <w:t xml:space="preserve"> rezultă că î</w:t>
      </w:r>
      <w:r w:rsidRPr="008832FB">
        <w:rPr>
          <w:rFonts w:asciiTheme="minorHAnsi" w:eastAsia="Calibri" w:hAnsiTheme="minorHAnsi" w:cstheme="minorHAnsi"/>
          <w:kern w:val="2"/>
          <w:sz w:val="26"/>
          <w:szCs w:val="26"/>
          <w14:ligatures w14:val="standardContextual"/>
        </w:rPr>
        <w:t>n perioada 2023</w:t>
      </w:r>
      <w:r w:rsidRPr="000F0D8B">
        <w:rPr>
          <w:rFonts w:asciiTheme="minorHAnsi" w:eastAsia="Calibri" w:hAnsiTheme="minorHAnsi" w:cstheme="minorHAnsi"/>
          <w:kern w:val="2"/>
          <w:sz w:val="26"/>
          <w:szCs w:val="26"/>
          <w14:ligatures w14:val="standardContextual"/>
        </w:rPr>
        <w:t xml:space="preserve"> </w:t>
      </w:r>
      <w:r w:rsidRPr="008832FB">
        <w:rPr>
          <w:rFonts w:asciiTheme="minorHAnsi" w:eastAsia="Calibri" w:hAnsiTheme="minorHAnsi" w:cstheme="minorHAnsi"/>
          <w:kern w:val="2"/>
          <w:sz w:val="26"/>
          <w:szCs w:val="26"/>
          <w14:ligatures w14:val="standardContextual"/>
        </w:rPr>
        <w:t>–</w:t>
      </w:r>
      <w:r w:rsidRPr="000F0D8B">
        <w:rPr>
          <w:rFonts w:asciiTheme="minorHAnsi" w:eastAsia="Calibri" w:hAnsiTheme="minorHAnsi" w:cstheme="minorHAnsi"/>
          <w:kern w:val="2"/>
          <w:sz w:val="26"/>
          <w:szCs w:val="26"/>
          <w14:ligatures w14:val="standardContextual"/>
        </w:rPr>
        <w:t xml:space="preserve"> </w:t>
      </w:r>
      <w:r w:rsidRPr="008832FB">
        <w:rPr>
          <w:rFonts w:asciiTheme="minorHAnsi" w:eastAsia="Calibri" w:hAnsiTheme="minorHAnsi" w:cstheme="minorHAnsi"/>
          <w:kern w:val="2"/>
          <w:sz w:val="26"/>
          <w:szCs w:val="26"/>
          <w14:ligatures w14:val="standardContextual"/>
        </w:rPr>
        <w:t>2025, s-au realizat analize de climat organizațional pentru diagnosticarea eventualelor disfuncționalități sistemice și eficientizarea condițiil</w:t>
      </w:r>
      <w:r>
        <w:rPr>
          <w:rFonts w:asciiTheme="minorHAnsi" w:eastAsia="Calibri" w:hAnsiTheme="minorHAnsi" w:cstheme="minorHAnsi"/>
          <w:kern w:val="2"/>
          <w:sz w:val="26"/>
          <w:szCs w:val="26"/>
          <w14:ligatures w14:val="standardContextual"/>
        </w:rPr>
        <w:t>or</w:t>
      </w:r>
      <w:r w:rsidRPr="008832FB">
        <w:rPr>
          <w:rFonts w:asciiTheme="minorHAnsi" w:eastAsia="Calibri" w:hAnsiTheme="minorHAnsi" w:cstheme="minorHAnsi"/>
          <w:kern w:val="2"/>
          <w:sz w:val="26"/>
          <w:szCs w:val="26"/>
          <w14:ligatures w14:val="standardContextual"/>
        </w:rPr>
        <w:t xml:space="preserve"> de muncă la </w:t>
      </w:r>
      <w:r w:rsidRPr="00B41651">
        <w:rPr>
          <w:rFonts w:asciiTheme="minorHAnsi" w:eastAsia="Calibri" w:hAnsiTheme="minorHAnsi" w:cstheme="minorHAnsi"/>
          <w:kern w:val="2"/>
          <w:sz w:val="26"/>
          <w:szCs w:val="26"/>
          <w14:ligatures w14:val="standardContextual"/>
        </w:rPr>
        <w:t>60% dintre instanțe și 18% dintre unitățile de parchet.</w:t>
      </w:r>
    </w:p>
    <w:p w14:paraId="05F87E58" w14:textId="77777777" w:rsidR="00A23843" w:rsidRPr="00B41651" w:rsidRDefault="00A23843" w:rsidP="00A23843">
      <w:pPr>
        <w:spacing w:line="276" w:lineRule="auto"/>
        <w:ind w:firstLine="630"/>
        <w:jc w:val="both"/>
        <w:rPr>
          <w:rFonts w:asciiTheme="minorHAnsi" w:eastAsia="Calibri" w:hAnsiTheme="minorHAnsi" w:cstheme="minorHAnsi"/>
          <w:kern w:val="2"/>
          <w:sz w:val="26"/>
          <w:szCs w:val="26"/>
          <w14:ligatures w14:val="standardContextual"/>
        </w:rPr>
      </w:pPr>
      <w:r w:rsidRPr="00B41651">
        <w:rPr>
          <w:rFonts w:asciiTheme="minorHAnsi" w:eastAsia="Calibri" w:hAnsiTheme="minorHAnsi" w:cstheme="minorHAnsi"/>
          <w:kern w:val="2"/>
          <w:sz w:val="26"/>
          <w:szCs w:val="26"/>
          <w14:ligatures w14:val="standardContextual"/>
        </w:rPr>
        <w:t>Raportat la gradul instanței, analizele de climat au acoperit 50% dintre curțile de apel,                    76% dintre tribunale și 56,3% dintre judecătorii, la care au participat 936 de judecători, 1473 de grefieri și alte categorii de personal.</w:t>
      </w:r>
    </w:p>
    <w:p w14:paraId="2913A1A7" w14:textId="77777777" w:rsidR="00A23843" w:rsidRPr="008832FB" w:rsidRDefault="00A23843" w:rsidP="00A23843">
      <w:pPr>
        <w:spacing w:line="276" w:lineRule="auto"/>
        <w:ind w:firstLine="630"/>
        <w:jc w:val="both"/>
        <w:rPr>
          <w:rFonts w:asciiTheme="minorHAnsi" w:eastAsia="Calibri" w:hAnsiTheme="minorHAnsi" w:cstheme="minorHAnsi"/>
          <w:kern w:val="2"/>
          <w:sz w:val="26"/>
          <w:szCs w:val="26"/>
          <w14:ligatures w14:val="standardContextual"/>
        </w:rPr>
      </w:pPr>
      <w:r w:rsidRPr="00B41651">
        <w:rPr>
          <w:rFonts w:asciiTheme="minorHAnsi" w:eastAsia="Calibri" w:hAnsiTheme="minorHAnsi" w:cstheme="minorHAnsi"/>
          <w:kern w:val="2"/>
          <w:sz w:val="26"/>
          <w:szCs w:val="26"/>
          <w14:ligatures w14:val="standardContextual"/>
        </w:rPr>
        <w:t xml:space="preserve">La nivelul unităților de parchet, analizele </w:t>
      </w:r>
      <w:r w:rsidRPr="008832FB">
        <w:rPr>
          <w:rFonts w:asciiTheme="minorHAnsi" w:eastAsia="Calibri" w:hAnsiTheme="minorHAnsi" w:cstheme="minorHAnsi"/>
          <w:kern w:val="2"/>
          <w:sz w:val="26"/>
          <w:szCs w:val="26"/>
          <w14:ligatures w14:val="standardContextual"/>
        </w:rPr>
        <w:t>de climat au acoperit 50% dintre birourile și serviciile  teritoriale ale structurilor centrale D</w:t>
      </w:r>
      <w:r w:rsidRPr="000F0D8B">
        <w:rPr>
          <w:rFonts w:asciiTheme="minorHAnsi" w:eastAsia="Calibri" w:hAnsiTheme="minorHAnsi" w:cstheme="minorHAnsi"/>
          <w:kern w:val="2"/>
          <w:sz w:val="26"/>
          <w:szCs w:val="26"/>
          <w14:ligatures w14:val="standardContextual"/>
        </w:rPr>
        <w:t>.</w:t>
      </w:r>
      <w:r w:rsidRPr="008832FB">
        <w:rPr>
          <w:rFonts w:asciiTheme="minorHAnsi" w:eastAsia="Calibri" w:hAnsiTheme="minorHAnsi" w:cstheme="minorHAnsi"/>
          <w:kern w:val="2"/>
          <w:sz w:val="26"/>
          <w:szCs w:val="26"/>
          <w14:ligatures w14:val="standardContextual"/>
        </w:rPr>
        <w:t>N</w:t>
      </w:r>
      <w:r w:rsidRPr="000F0D8B">
        <w:rPr>
          <w:rFonts w:asciiTheme="minorHAnsi" w:eastAsia="Calibri" w:hAnsiTheme="minorHAnsi" w:cstheme="minorHAnsi"/>
          <w:kern w:val="2"/>
          <w:sz w:val="26"/>
          <w:szCs w:val="26"/>
          <w14:ligatures w14:val="standardContextual"/>
        </w:rPr>
        <w:t>.</w:t>
      </w:r>
      <w:r w:rsidRPr="008832FB">
        <w:rPr>
          <w:rFonts w:asciiTheme="minorHAnsi" w:eastAsia="Calibri" w:hAnsiTheme="minorHAnsi" w:cstheme="minorHAnsi"/>
          <w:kern w:val="2"/>
          <w:sz w:val="26"/>
          <w:szCs w:val="26"/>
          <w14:ligatures w14:val="standardContextual"/>
        </w:rPr>
        <w:t>A</w:t>
      </w:r>
      <w:r w:rsidRPr="000F0D8B">
        <w:rPr>
          <w:rFonts w:asciiTheme="minorHAnsi" w:eastAsia="Calibri" w:hAnsiTheme="minorHAnsi" w:cstheme="minorHAnsi"/>
          <w:kern w:val="2"/>
          <w:sz w:val="26"/>
          <w:szCs w:val="26"/>
          <w14:ligatures w14:val="standardContextual"/>
        </w:rPr>
        <w:t>.</w:t>
      </w:r>
      <w:r w:rsidRPr="008832FB">
        <w:rPr>
          <w:rFonts w:asciiTheme="minorHAnsi" w:eastAsia="Calibri" w:hAnsiTheme="minorHAnsi" w:cstheme="minorHAnsi"/>
          <w:kern w:val="2"/>
          <w:sz w:val="26"/>
          <w:szCs w:val="26"/>
          <w14:ligatures w14:val="standardContextual"/>
        </w:rPr>
        <w:t xml:space="preserve"> și D</w:t>
      </w:r>
      <w:r w:rsidRPr="000F0D8B">
        <w:rPr>
          <w:rFonts w:asciiTheme="minorHAnsi" w:eastAsia="Calibri" w:hAnsiTheme="minorHAnsi" w:cstheme="minorHAnsi"/>
          <w:kern w:val="2"/>
          <w:sz w:val="26"/>
          <w:szCs w:val="26"/>
          <w14:ligatures w14:val="standardContextual"/>
        </w:rPr>
        <w:t>.</w:t>
      </w:r>
      <w:r w:rsidRPr="008832FB">
        <w:rPr>
          <w:rFonts w:asciiTheme="minorHAnsi" w:eastAsia="Calibri" w:hAnsiTheme="minorHAnsi" w:cstheme="minorHAnsi"/>
          <w:kern w:val="2"/>
          <w:sz w:val="26"/>
          <w:szCs w:val="26"/>
          <w14:ligatures w14:val="standardContextual"/>
        </w:rPr>
        <w:t>I</w:t>
      </w:r>
      <w:r w:rsidRPr="000F0D8B">
        <w:rPr>
          <w:rFonts w:asciiTheme="minorHAnsi" w:eastAsia="Calibri" w:hAnsiTheme="minorHAnsi" w:cstheme="minorHAnsi"/>
          <w:kern w:val="2"/>
          <w:sz w:val="26"/>
          <w:szCs w:val="26"/>
          <w14:ligatures w14:val="standardContextual"/>
        </w:rPr>
        <w:t>.</w:t>
      </w:r>
      <w:r w:rsidRPr="008832FB">
        <w:rPr>
          <w:rFonts w:asciiTheme="minorHAnsi" w:eastAsia="Calibri" w:hAnsiTheme="minorHAnsi" w:cstheme="minorHAnsi"/>
          <w:kern w:val="2"/>
          <w:sz w:val="26"/>
          <w:szCs w:val="26"/>
          <w14:ligatures w14:val="standardContextual"/>
        </w:rPr>
        <w:t>I</w:t>
      </w:r>
      <w:r w:rsidRPr="000F0D8B">
        <w:rPr>
          <w:rFonts w:asciiTheme="minorHAnsi" w:eastAsia="Calibri" w:hAnsiTheme="minorHAnsi" w:cstheme="minorHAnsi"/>
          <w:kern w:val="2"/>
          <w:sz w:val="26"/>
          <w:szCs w:val="26"/>
          <w14:ligatures w14:val="standardContextual"/>
        </w:rPr>
        <w:t>.</w:t>
      </w:r>
      <w:r w:rsidRPr="008832FB">
        <w:rPr>
          <w:rFonts w:asciiTheme="minorHAnsi" w:eastAsia="Calibri" w:hAnsiTheme="minorHAnsi" w:cstheme="minorHAnsi"/>
          <w:kern w:val="2"/>
          <w:sz w:val="26"/>
          <w:szCs w:val="26"/>
          <w14:ligatures w14:val="standardContextual"/>
        </w:rPr>
        <w:t>C</w:t>
      </w:r>
      <w:r w:rsidRPr="000F0D8B">
        <w:rPr>
          <w:rFonts w:asciiTheme="minorHAnsi" w:eastAsia="Calibri" w:hAnsiTheme="minorHAnsi" w:cstheme="minorHAnsi"/>
          <w:kern w:val="2"/>
          <w:sz w:val="26"/>
          <w:szCs w:val="26"/>
          <w14:ligatures w14:val="standardContextual"/>
        </w:rPr>
        <w:t>.</w:t>
      </w:r>
      <w:r w:rsidRPr="008832FB">
        <w:rPr>
          <w:rFonts w:asciiTheme="minorHAnsi" w:eastAsia="Calibri" w:hAnsiTheme="minorHAnsi" w:cstheme="minorHAnsi"/>
          <w:kern w:val="2"/>
          <w:sz w:val="26"/>
          <w:szCs w:val="26"/>
          <w14:ligatures w14:val="standardContextual"/>
        </w:rPr>
        <w:t>O</w:t>
      </w:r>
      <w:r w:rsidRPr="000F0D8B">
        <w:rPr>
          <w:rFonts w:asciiTheme="minorHAnsi" w:eastAsia="Calibri" w:hAnsiTheme="minorHAnsi" w:cstheme="minorHAnsi"/>
          <w:kern w:val="2"/>
          <w:sz w:val="26"/>
          <w:szCs w:val="26"/>
          <w14:ligatures w14:val="standardContextual"/>
        </w:rPr>
        <w:t>.</w:t>
      </w:r>
      <w:r w:rsidRPr="008832FB">
        <w:rPr>
          <w:rFonts w:asciiTheme="minorHAnsi" w:eastAsia="Calibri" w:hAnsiTheme="minorHAnsi" w:cstheme="minorHAnsi"/>
          <w:kern w:val="2"/>
          <w:sz w:val="26"/>
          <w:szCs w:val="26"/>
          <w14:ligatures w14:val="standardContextual"/>
        </w:rPr>
        <w:t>T</w:t>
      </w:r>
      <w:r w:rsidRPr="000F0D8B">
        <w:rPr>
          <w:rFonts w:asciiTheme="minorHAnsi" w:eastAsia="Calibri" w:hAnsiTheme="minorHAnsi" w:cstheme="minorHAnsi"/>
          <w:kern w:val="2"/>
          <w:sz w:val="26"/>
          <w:szCs w:val="26"/>
          <w14:ligatures w14:val="standardContextual"/>
        </w:rPr>
        <w:t>.</w:t>
      </w:r>
      <w:r w:rsidRPr="008832FB">
        <w:rPr>
          <w:rFonts w:asciiTheme="minorHAnsi" w:eastAsia="Calibri" w:hAnsiTheme="minorHAnsi" w:cstheme="minorHAnsi"/>
          <w:kern w:val="2"/>
          <w:sz w:val="26"/>
          <w:szCs w:val="26"/>
          <w14:ligatures w14:val="standardContextual"/>
        </w:rPr>
        <w:t xml:space="preserve">, 23,5% dintre parchetele de pe lângă curțile </w:t>
      </w:r>
      <w:r w:rsidRPr="008832FB">
        <w:rPr>
          <w:rFonts w:asciiTheme="minorHAnsi" w:eastAsia="Calibri" w:hAnsiTheme="minorHAnsi" w:cstheme="minorHAnsi"/>
          <w:kern w:val="2"/>
          <w:sz w:val="26"/>
          <w:szCs w:val="26"/>
          <w14:ligatures w14:val="standardContextual"/>
        </w:rPr>
        <w:lastRenderedPageBreak/>
        <w:t xml:space="preserve">de apel, 21,5% la parchetele de pe lângă tribunale </w:t>
      </w:r>
      <w:r w:rsidRPr="00663029">
        <w:rPr>
          <w:rFonts w:asciiTheme="minorHAnsi" w:eastAsia="Calibri" w:hAnsiTheme="minorHAnsi" w:cstheme="minorHAnsi"/>
          <w:kern w:val="2"/>
          <w:sz w:val="26"/>
          <w:szCs w:val="26"/>
          <w14:ligatures w14:val="standardContextual"/>
        </w:rPr>
        <w:t>și 14.8% la parchetele de pe lângă judecătorii</w:t>
      </w:r>
      <w:r w:rsidRPr="008832FB">
        <w:rPr>
          <w:rFonts w:asciiTheme="minorHAnsi" w:eastAsia="Calibri" w:hAnsiTheme="minorHAnsi" w:cstheme="minorHAnsi"/>
          <w:kern w:val="2"/>
          <w:sz w:val="26"/>
          <w:szCs w:val="26"/>
          <w14:ligatures w14:val="standardContextual"/>
        </w:rPr>
        <w:t xml:space="preserve">, </w:t>
      </w:r>
      <w:r w:rsidRPr="00A35EF2">
        <w:rPr>
          <w:rFonts w:asciiTheme="minorHAnsi" w:eastAsia="Calibri" w:hAnsiTheme="minorHAnsi" w:cstheme="minorHAnsi"/>
          <w:kern w:val="2"/>
          <w:sz w:val="26"/>
          <w:szCs w:val="26"/>
          <w:lang w:val="fr-FR"/>
          <w14:ligatures w14:val="standardContextual"/>
        </w:rPr>
        <w:t xml:space="preserve">la care au </w:t>
      </w:r>
      <w:proofErr w:type="spellStart"/>
      <w:r w:rsidRPr="00A35EF2">
        <w:rPr>
          <w:rFonts w:asciiTheme="minorHAnsi" w:eastAsia="Calibri" w:hAnsiTheme="minorHAnsi" w:cstheme="minorHAnsi"/>
          <w:kern w:val="2"/>
          <w:sz w:val="26"/>
          <w:szCs w:val="26"/>
          <w:lang w:val="fr-FR"/>
          <w14:ligatures w14:val="standardContextual"/>
        </w:rPr>
        <w:t>participat</w:t>
      </w:r>
      <w:proofErr w:type="spellEnd"/>
      <w:r w:rsidRPr="00A35EF2">
        <w:rPr>
          <w:rFonts w:asciiTheme="minorHAnsi" w:eastAsia="Calibri" w:hAnsiTheme="minorHAnsi" w:cstheme="minorHAnsi"/>
          <w:kern w:val="2"/>
          <w:sz w:val="26"/>
          <w:szCs w:val="26"/>
          <w:lang w:val="fr-FR"/>
          <w14:ligatures w14:val="standardContextual"/>
        </w:rPr>
        <w:t xml:space="preserve"> 167 de </w:t>
      </w:r>
      <w:proofErr w:type="spellStart"/>
      <w:r w:rsidRPr="00A35EF2">
        <w:rPr>
          <w:rFonts w:asciiTheme="minorHAnsi" w:eastAsia="Calibri" w:hAnsiTheme="minorHAnsi" w:cstheme="minorHAnsi"/>
          <w:kern w:val="2"/>
          <w:sz w:val="26"/>
          <w:szCs w:val="26"/>
          <w:lang w:val="fr-FR"/>
          <w14:ligatures w14:val="standardContextual"/>
        </w:rPr>
        <w:t>procurori</w:t>
      </w:r>
      <w:proofErr w:type="spellEnd"/>
      <w:r w:rsidRPr="00A35EF2">
        <w:rPr>
          <w:rFonts w:asciiTheme="minorHAnsi" w:eastAsia="Calibri" w:hAnsiTheme="minorHAnsi" w:cstheme="minorHAnsi"/>
          <w:kern w:val="2"/>
          <w:sz w:val="26"/>
          <w:szCs w:val="26"/>
          <w:lang w:val="fr-FR"/>
          <w14:ligatures w14:val="standardContextual"/>
        </w:rPr>
        <w:t xml:space="preserve">, 368 de </w:t>
      </w:r>
      <w:proofErr w:type="spellStart"/>
      <w:r w:rsidRPr="00A35EF2">
        <w:rPr>
          <w:rFonts w:asciiTheme="minorHAnsi" w:eastAsia="Calibri" w:hAnsiTheme="minorHAnsi" w:cstheme="minorHAnsi"/>
          <w:kern w:val="2"/>
          <w:sz w:val="26"/>
          <w:szCs w:val="26"/>
          <w:lang w:val="fr-FR"/>
          <w14:ligatures w14:val="standardContextual"/>
        </w:rPr>
        <w:t>grefieri</w:t>
      </w:r>
      <w:proofErr w:type="spellEnd"/>
      <w:r w:rsidRPr="00A35EF2">
        <w:rPr>
          <w:rFonts w:asciiTheme="minorHAnsi" w:eastAsia="Calibri" w:hAnsiTheme="minorHAnsi" w:cstheme="minorHAnsi"/>
          <w:kern w:val="2"/>
          <w:sz w:val="26"/>
          <w:szCs w:val="26"/>
          <w:lang w:val="fr-FR"/>
          <w14:ligatures w14:val="standardContextual"/>
        </w:rPr>
        <w:t xml:space="preserve"> și </w:t>
      </w:r>
      <w:proofErr w:type="spellStart"/>
      <w:r w:rsidRPr="00A35EF2">
        <w:rPr>
          <w:rFonts w:asciiTheme="minorHAnsi" w:eastAsia="Calibri" w:hAnsiTheme="minorHAnsi" w:cstheme="minorHAnsi"/>
          <w:kern w:val="2"/>
          <w:sz w:val="26"/>
          <w:szCs w:val="26"/>
          <w:lang w:val="fr-FR"/>
          <w14:ligatures w14:val="standardContextual"/>
        </w:rPr>
        <w:t>alte</w:t>
      </w:r>
      <w:proofErr w:type="spellEnd"/>
      <w:r w:rsidRPr="00A35EF2">
        <w:rPr>
          <w:rFonts w:asciiTheme="minorHAnsi" w:eastAsia="Calibri" w:hAnsiTheme="minorHAnsi" w:cstheme="minorHAnsi"/>
          <w:kern w:val="2"/>
          <w:sz w:val="26"/>
          <w:szCs w:val="26"/>
          <w:lang w:val="fr-FR"/>
          <w14:ligatures w14:val="standardContextual"/>
        </w:rPr>
        <w:t xml:space="preserve"> </w:t>
      </w:r>
      <w:proofErr w:type="spellStart"/>
      <w:r w:rsidRPr="00A35EF2">
        <w:rPr>
          <w:rFonts w:asciiTheme="minorHAnsi" w:eastAsia="Calibri" w:hAnsiTheme="minorHAnsi" w:cstheme="minorHAnsi"/>
          <w:kern w:val="2"/>
          <w:sz w:val="26"/>
          <w:szCs w:val="26"/>
          <w:lang w:val="fr-FR"/>
          <w14:ligatures w14:val="standardContextual"/>
        </w:rPr>
        <w:t>categorii</w:t>
      </w:r>
      <w:proofErr w:type="spellEnd"/>
      <w:r w:rsidRPr="00A35EF2">
        <w:rPr>
          <w:rFonts w:asciiTheme="minorHAnsi" w:eastAsia="Calibri" w:hAnsiTheme="minorHAnsi" w:cstheme="minorHAnsi"/>
          <w:kern w:val="2"/>
          <w:sz w:val="26"/>
          <w:szCs w:val="26"/>
          <w:lang w:val="fr-FR"/>
          <w14:ligatures w14:val="standardContextual"/>
        </w:rPr>
        <w:t xml:space="preserve"> de </w:t>
      </w:r>
      <w:proofErr w:type="spellStart"/>
      <w:r w:rsidRPr="00A35EF2">
        <w:rPr>
          <w:rFonts w:asciiTheme="minorHAnsi" w:eastAsia="Calibri" w:hAnsiTheme="minorHAnsi" w:cstheme="minorHAnsi"/>
          <w:kern w:val="2"/>
          <w:sz w:val="26"/>
          <w:szCs w:val="26"/>
          <w:lang w:val="fr-FR"/>
          <w14:ligatures w14:val="standardContextual"/>
        </w:rPr>
        <w:t>personal</w:t>
      </w:r>
      <w:proofErr w:type="spellEnd"/>
      <w:r w:rsidRPr="00A35EF2">
        <w:rPr>
          <w:rFonts w:asciiTheme="minorHAnsi" w:eastAsia="Calibri" w:hAnsiTheme="minorHAnsi" w:cstheme="minorHAnsi"/>
          <w:kern w:val="2"/>
          <w:sz w:val="26"/>
          <w:szCs w:val="26"/>
          <w:lang w:val="fr-FR"/>
          <w14:ligatures w14:val="standardContextual"/>
        </w:rPr>
        <w:t>.</w:t>
      </w:r>
    </w:p>
    <w:p w14:paraId="712D5988" w14:textId="77777777" w:rsidR="00A23843" w:rsidRPr="00B41651" w:rsidRDefault="00A23843" w:rsidP="00A23843">
      <w:pPr>
        <w:tabs>
          <w:tab w:val="left" w:pos="3120"/>
        </w:tabs>
        <w:spacing w:line="276" w:lineRule="auto"/>
        <w:ind w:firstLine="630"/>
        <w:jc w:val="both"/>
        <w:rPr>
          <w:rFonts w:asciiTheme="minorHAnsi" w:eastAsiaTheme="minorHAnsi" w:hAnsiTheme="minorHAnsi" w:cstheme="minorHAnsi"/>
          <w:bCs/>
          <w:sz w:val="26"/>
          <w:szCs w:val="26"/>
        </w:rPr>
      </w:pPr>
      <w:r w:rsidRPr="00B41651">
        <w:rPr>
          <w:rFonts w:asciiTheme="minorHAnsi" w:eastAsiaTheme="minorHAnsi" w:hAnsiTheme="minorHAnsi" w:cstheme="minorHAnsi"/>
          <w:bCs/>
          <w:sz w:val="26"/>
          <w:szCs w:val="26"/>
        </w:rPr>
        <w:t xml:space="preserve">În ceea ce privește activitățile menite să asigure pregătirea motivațională și aptitudinală a resurselor umane de la nivelul instanțelor și unităților de parchet, acestea au fost organizate la             54% dintre instanțe și 40% dintre unitățile de parchet. </w:t>
      </w:r>
    </w:p>
    <w:p w14:paraId="73D0BCC0" w14:textId="77777777" w:rsidR="00A23843" w:rsidRPr="00B41651" w:rsidRDefault="00A23843" w:rsidP="00A23843">
      <w:pPr>
        <w:tabs>
          <w:tab w:val="left" w:pos="3120"/>
        </w:tabs>
        <w:spacing w:line="276" w:lineRule="auto"/>
        <w:ind w:firstLine="630"/>
        <w:jc w:val="both"/>
        <w:rPr>
          <w:rFonts w:asciiTheme="minorHAnsi" w:eastAsiaTheme="minorHAnsi" w:hAnsiTheme="minorHAnsi" w:cstheme="minorHAnsi"/>
          <w:bCs/>
          <w:sz w:val="26"/>
          <w:szCs w:val="26"/>
        </w:rPr>
      </w:pPr>
      <w:r w:rsidRPr="00B41651">
        <w:rPr>
          <w:rFonts w:asciiTheme="minorHAnsi" w:eastAsiaTheme="minorHAnsi" w:hAnsiTheme="minorHAnsi" w:cstheme="minorHAnsi"/>
          <w:bCs/>
          <w:sz w:val="26"/>
          <w:szCs w:val="26"/>
        </w:rPr>
        <w:t>Raportat la gradul instanțelor, sesiunile au acoperit 56,3% dintre curțile de apel, 62% dintre tribunale și 51,1% dintre judecătorii, la care au participat 1398 de judecători, 3094 de grefieri și alte categorii de personal.</w:t>
      </w:r>
    </w:p>
    <w:p w14:paraId="29E605D1" w14:textId="77777777" w:rsidR="00A23843" w:rsidRPr="00B41651" w:rsidRDefault="00A23843" w:rsidP="00A23843">
      <w:pPr>
        <w:spacing w:line="276" w:lineRule="auto"/>
        <w:ind w:firstLine="630"/>
        <w:jc w:val="both"/>
        <w:rPr>
          <w:rFonts w:asciiTheme="minorHAnsi" w:eastAsiaTheme="minorHAnsi" w:hAnsiTheme="minorHAnsi" w:cstheme="minorHAnsi"/>
          <w:bCs/>
          <w:sz w:val="26"/>
          <w:szCs w:val="26"/>
        </w:rPr>
      </w:pPr>
      <w:r w:rsidRPr="00B41651">
        <w:rPr>
          <w:rFonts w:asciiTheme="minorHAnsi" w:eastAsiaTheme="minorHAnsi" w:hAnsiTheme="minorHAnsi" w:cstheme="minorHAnsi"/>
          <w:bCs/>
          <w:sz w:val="26"/>
          <w:szCs w:val="26"/>
        </w:rPr>
        <w:t>La nivelul unităților de parchet, sesiunile au acoperit 100% dintre birourile și serviciile teritoriale ale structurilor centrale D.N.A. și D.I.I.C.O.T., 35,2% dintre parchetele de pe lângă curțile de apel, 40,4% dintre parchetele de pe lângă tribunale și 39,2% dintre parchetele de pe lângă judecătorii, la care au participat 602 procurori, 748 de grefieri și alte categorii de personal.</w:t>
      </w:r>
    </w:p>
    <w:p w14:paraId="7879E456" w14:textId="77777777" w:rsidR="00A23843" w:rsidRPr="00B41651" w:rsidRDefault="00A23843" w:rsidP="00A23843">
      <w:pPr>
        <w:spacing w:line="276" w:lineRule="auto"/>
        <w:ind w:firstLine="630"/>
        <w:jc w:val="both"/>
        <w:rPr>
          <w:rFonts w:asciiTheme="minorHAnsi" w:eastAsiaTheme="minorHAnsi" w:hAnsiTheme="minorHAnsi" w:cstheme="minorHAnsi"/>
          <w:bCs/>
          <w:sz w:val="26"/>
          <w:szCs w:val="26"/>
        </w:rPr>
      </w:pPr>
      <w:r w:rsidRPr="00B41651">
        <w:rPr>
          <w:rFonts w:asciiTheme="minorHAnsi" w:eastAsiaTheme="minorHAnsi" w:hAnsiTheme="minorHAnsi" w:cstheme="minorHAnsi"/>
          <w:bCs/>
          <w:sz w:val="26"/>
          <w:szCs w:val="26"/>
        </w:rPr>
        <w:t>Suplimentar, în cadrul fiecărei instanțe și unități de parchet unde există psihologi, au fost oferite pe tot parcursul anului servicii de consiliere psihologică individuală, activități de mediere a conflictelor și de integrare a noilor angajați.</w:t>
      </w:r>
    </w:p>
    <w:p w14:paraId="7739A708" w14:textId="77777777" w:rsidR="00A23843" w:rsidRPr="008832FB" w:rsidRDefault="00A23843" w:rsidP="00A23843">
      <w:pPr>
        <w:spacing w:line="276" w:lineRule="auto"/>
        <w:ind w:firstLine="630"/>
        <w:jc w:val="both"/>
        <w:rPr>
          <w:rFonts w:asciiTheme="minorHAnsi" w:eastAsiaTheme="minorHAnsi" w:hAnsiTheme="minorHAnsi" w:cstheme="minorHAnsi"/>
          <w:bCs/>
          <w:sz w:val="26"/>
          <w:szCs w:val="26"/>
        </w:rPr>
      </w:pPr>
      <w:r w:rsidRPr="00B41651">
        <w:rPr>
          <w:rFonts w:asciiTheme="minorHAnsi" w:eastAsiaTheme="minorHAnsi" w:hAnsiTheme="minorHAnsi" w:cstheme="minorHAnsi"/>
          <w:bCs/>
          <w:sz w:val="26"/>
          <w:szCs w:val="26"/>
        </w:rPr>
        <w:t xml:space="preserve">De asemenea, în cursul anului 2025 la nivelul C.P.P. au fost organizate stagii de practică la care au participat 47 de studenți la Facultatea de Drept din cadrul Universității Titu Maiorescu, Universității din București, Academiei de Studii </w:t>
      </w:r>
      <w:r w:rsidRPr="008832FB">
        <w:rPr>
          <w:rFonts w:asciiTheme="minorHAnsi" w:eastAsiaTheme="minorHAnsi" w:hAnsiTheme="minorHAnsi" w:cstheme="minorHAnsi"/>
          <w:bCs/>
          <w:sz w:val="26"/>
          <w:szCs w:val="26"/>
        </w:rPr>
        <w:t>Economice. În cadrul stagiului de practică studenții au beneficiat de servicii de orientare profesională, respectiv</w:t>
      </w:r>
      <w:r w:rsidRPr="000F0D8B">
        <w:rPr>
          <w:rFonts w:asciiTheme="minorHAnsi" w:eastAsiaTheme="minorHAnsi" w:hAnsiTheme="minorHAnsi" w:cstheme="minorHAnsi"/>
          <w:bCs/>
          <w:sz w:val="26"/>
          <w:szCs w:val="26"/>
        </w:rPr>
        <w:t xml:space="preserve"> </w:t>
      </w:r>
      <w:r w:rsidRPr="008832FB">
        <w:rPr>
          <w:rFonts w:asciiTheme="minorHAnsi" w:eastAsiaTheme="minorHAnsi" w:hAnsiTheme="minorHAnsi" w:cstheme="minorHAnsi"/>
          <w:bCs/>
          <w:sz w:val="26"/>
          <w:szCs w:val="26"/>
        </w:rPr>
        <w:t>familiarizarea cu profesiile de judecător și procuror, structura organizatorică a Consiliului, organizarea sistemului judiciar</w:t>
      </w:r>
      <w:r w:rsidRPr="000F0D8B">
        <w:rPr>
          <w:rFonts w:asciiTheme="minorHAnsi" w:eastAsiaTheme="minorHAnsi" w:hAnsiTheme="minorHAnsi" w:cstheme="minorHAnsi"/>
          <w:bCs/>
          <w:sz w:val="26"/>
          <w:szCs w:val="26"/>
        </w:rPr>
        <w:t xml:space="preserve"> și</w:t>
      </w:r>
      <w:r w:rsidRPr="008832FB">
        <w:rPr>
          <w:rFonts w:asciiTheme="minorHAnsi" w:eastAsiaTheme="minorHAnsi" w:hAnsiTheme="minorHAnsi" w:cstheme="minorHAnsi"/>
          <w:bCs/>
          <w:sz w:val="26"/>
          <w:szCs w:val="26"/>
        </w:rPr>
        <w:t xml:space="preserve"> evaluarea intereselor, aptitudinilor și trăsăturilor de personalitate.</w:t>
      </w:r>
    </w:p>
    <w:p w14:paraId="79C9DE68" w14:textId="77777777" w:rsidR="00A23843" w:rsidRPr="008832FB" w:rsidRDefault="00A23843" w:rsidP="00A23843">
      <w:pPr>
        <w:spacing w:line="276" w:lineRule="auto"/>
        <w:ind w:firstLine="630"/>
        <w:jc w:val="both"/>
        <w:rPr>
          <w:rFonts w:asciiTheme="minorHAnsi" w:hAnsiTheme="minorHAnsi" w:cstheme="minorHAnsi"/>
          <w:sz w:val="26"/>
          <w:szCs w:val="26"/>
          <w:lang w:eastAsia="en-GB"/>
        </w:rPr>
      </w:pPr>
      <w:r w:rsidRPr="008832FB">
        <w:rPr>
          <w:rFonts w:asciiTheme="minorHAnsi" w:hAnsiTheme="minorHAnsi" w:cstheme="minorHAnsi"/>
          <w:sz w:val="26"/>
          <w:szCs w:val="26"/>
          <w:lang w:eastAsia="en-GB"/>
        </w:rPr>
        <w:t>Referitor la organizarea internă a structurii, în anul 2025 s-a procedat la implementarea măsurilor stabilite de Comisia de monitorizare a Sistemului de control intern managerial din cadrul Consilului, sens în care au fost comunicate rapoartele privind monitorizarea performanţelor compartimentului, inventarul obiectivelor specifice, activităţilor şi a procedurilor documentate</w:t>
      </w:r>
      <w:r>
        <w:rPr>
          <w:rFonts w:asciiTheme="minorHAnsi" w:hAnsiTheme="minorHAnsi" w:cstheme="minorHAnsi"/>
          <w:sz w:val="26"/>
          <w:szCs w:val="26"/>
          <w:lang w:eastAsia="en-GB"/>
        </w:rPr>
        <w:t xml:space="preserve"> şi</w:t>
      </w:r>
      <w:r w:rsidRPr="008832FB">
        <w:rPr>
          <w:rFonts w:asciiTheme="minorHAnsi" w:hAnsiTheme="minorHAnsi" w:cstheme="minorHAnsi"/>
          <w:sz w:val="26"/>
          <w:szCs w:val="26"/>
          <w:lang w:eastAsia="en-GB"/>
        </w:rPr>
        <w:t xml:space="preserve"> inventarul documentelor gestionate la nivelul structurii. </w:t>
      </w:r>
    </w:p>
    <w:p w14:paraId="50662967" w14:textId="77777777" w:rsidR="00A23843" w:rsidRDefault="00A23843" w:rsidP="00A23843">
      <w:pPr>
        <w:spacing w:line="276" w:lineRule="auto"/>
        <w:ind w:firstLine="630"/>
        <w:jc w:val="both"/>
        <w:rPr>
          <w:rFonts w:asciiTheme="minorHAnsi" w:hAnsiTheme="minorHAnsi" w:cstheme="minorHAnsi"/>
          <w:sz w:val="26"/>
          <w:szCs w:val="26"/>
          <w:lang w:eastAsia="en-GB"/>
        </w:rPr>
      </w:pPr>
      <w:r>
        <w:rPr>
          <w:rFonts w:asciiTheme="minorHAnsi" w:hAnsiTheme="minorHAnsi" w:cstheme="minorHAnsi"/>
          <w:sz w:val="26"/>
          <w:szCs w:val="26"/>
          <w:lang w:eastAsia="en-GB"/>
        </w:rPr>
        <w:t>P</w:t>
      </w:r>
      <w:r w:rsidRPr="008832FB">
        <w:rPr>
          <w:rFonts w:asciiTheme="minorHAnsi" w:hAnsiTheme="minorHAnsi" w:cstheme="minorHAnsi"/>
          <w:sz w:val="26"/>
          <w:szCs w:val="26"/>
          <w:lang w:eastAsia="en-GB"/>
        </w:rPr>
        <w:t xml:space="preserve">ersonalul încadrat la nivelul compartimentului a procedat la predarea către </w:t>
      </w:r>
      <w:r w:rsidRPr="000F0D8B">
        <w:rPr>
          <w:rFonts w:asciiTheme="minorHAnsi" w:hAnsiTheme="minorHAnsi" w:cstheme="minorHAnsi"/>
          <w:sz w:val="26"/>
          <w:szCs w:val="26"/>
          <w:lang w:eastAsia="en-GB"/>
        </w:rPr>
        <w:t>Serviciul de relaţii cu publicul, registratură şi arhivă</w:t>
      </w:r>
      <w:r w:rsidRPr="008832FB">
        <w:rPr>
          <w:rFonts w:asciiTheme="minorHAnsi" w:hAnsiTheme="minorHAnsi" w:cstheme="minorHAnsi"/>
          <w:sz w:val="26"/>
          <w:szCs w:val="26"/>
          <w:lang w:eastAsia="en-GB"/>
        </w:rPr>
        <w:t xml:space="preserve"> a documentelor arhivate la nivelul compartimentului.</w:t>
      </w:r>
    </w:p>
    <w:p w14:paraId="025337B8" w14:textId="4D8D2EF6" w:rsidR="00A23843" w:rsidRDefault="00A23843" w:rsidP="00A23843"/>
    <w:p w14:paraId="3C4F7826" w14:textId="4FC1200C" w:rsidR="00A23843" w:rsidRDefault="00A23843" w:rsidP="00A23843"/>
    <w:p w14:paraId="3EF748D2" w14:textId="77777777" w:rsidR="00A23843" w:rsidRDefault="00A23843" w:rsidP="00A23843"/>
    <w:p w14:paraId="74458C44" w14:textId="77777777" w:rsidR="005E4CD9" w:rsidRDefault="005E4CD9" w:rsidP="00A23843"/>
    <w:p w14:paraId="4585D290" w14:textId="77777777" w:rsidR="005E4CD9" w:rsidRDefault="005E4CD9" w:rsidP="00A23843"/>
    <w:p w14:paraId="344A5950" w14:textId="77777777" w:rsidR="007837D9" w:rsidRDefault="007837D9" w:rsidP="00A23843"/>
    <w:p w14:paraId="7CCEA5EC" w14:textId="77777777" w:rsidR="007837D9" w:rsidRDefault="007837D9" w:rsidP="00A23843"/>
    <w:p w14:paraId="516D8CB2" w14:textId="77777777" w:rsidR="007837D9" w:rsidRDefault="007837D9" w:rsidP="00A23843"/>
    <w:p w14:paraId="1C84C098" w14:textId="77777777" w:rsidR="007837D9" w:rsidRDefault="007837D9" w:rsidP="00A23843"/>
    <w:p w14:paraId="63C23212" w14:textId="77777777" w:rsidR="007837D9" w:rsidRDefault="007837D9" w:rsidP="00A23843"/>
    <w:p w14:paraId="43D1C086" w14:textId="77777777" w:rsidR="007837D9" w:rsidRDefault="007837D9" w:rsidP="00A23843"/>
    <w:p w14:paraId="34BB2BE7" w14:textId="77777777" w:rsidR="007837D9" w:rsidRDefault="007837D9" w:rsidP="00A23843"/>
    <w:p w14:paraId="2F86FC04" w14:textId="77777777" w:rsidR="007837D9" w:rsidRDefault="007837D9" w:rsidP="00A23843"/>
    <w:p w14:paraId="680C94D5" w14:textId="77777777" w:rsidR="007837D9" w:rsidRDefault="007837D9" w:rsidP="00A23843"/>
    <w:p w14:paraId="5C732979" w14:textId="77777777" w:rsidR="005E4CD9" w:rsidRDefault="005E4CD9" w:rsidP="00A23843"/>
    <w:p w14:paraId="18F4DE87" w14:textId="77777777" w:rsidR="005E4CD9" w:rsidRPr="00A23843" w:rsidRDefault="005E4CD9" w:rsidP="00A23843"/>
    <w:p w14:paraId="1A9F34F0" w14:textId="77777777" w:rsidR="0097451A" w:rsidRDefault="0097451A" w:rsidP="0097451A">
      <w:pPr>
        <w:pStyle w:val="Heading1"/>
        <w:keepNext w:val="0"/>
        <w:keepLines w:val="0"/>
        <w:suppressLineNumbers/>
        <w:suppressAutoHyphens/>
        <w:ind w:firstLine="0"/>
        <w:rPr>
          <w:rFonts w:cstheme="minorHAnsi"/>
          <w:color w:val="auto"/>
          <w:sz w:val="26"/>
          <w:szCs w:val="26"/>
        </w:rPr>
      </w:pPr>
      <w:bookmarkStart w:id="186" w:name="_Toc219287993"/>
      <w:bookmarkEnd w:id="182"/>
      <w:bookmarkEnd w:id="183"/>
      <w:r>
        <w:rPr>
          <w:rFonts w:cstheme="minorHAnsi"/>
          <w:color w:val="auto"/>
          <w:sz w:val="26"/>
          <w:szCs w:val="26"/>
        </w:rPr>
        <w:lastRenderedPageBreak/>
        <w:t>CAPITOLUL VII</w:t>
      </w:r>
      <w:bookmarkEnd w:id="186"/>
    </w:p>
    <w:p w14:paraId="68BE8824" w14:textId="77777777" w:rsidR="0097451A" w:rsidRDefault="0097451A" w:rsidP="0097451A">
      <w:pPr>
        <w:pStyle w:val="Heading1"/>
        <w:keepNext w:val="0"/>
        <w:keepLines w:val="0"/>
        <w:suppressLineNumbers/>
        <w:suppressAutoHyphens/>
        <w:spacing w:before="0" w:after="0"/>
        <w:ind w:firstLine="0"/>
        <w:rPr>
          <w:rFonts w:cstheme="minorHAnsi"/>
          <w:color w:val="auto"/>
          <w:sz w:val="26"/>
          <w:szCs w:val="26"/>
        </w:rPr>
      </w:pPr>
      <w:bookmarkStart w:id="187" w:name="_Toc219287994"/>
      <w:r>
        <w:rPr>
          <w:rFonts w:cstheme="minorHAnsi"/>
          <w:color w:val="auto"/>
          <w:sz w:val="26"/>
          <w:szCs w:val="26"/>
        </w:rPr>
        <w:t>Concluzii</w:t>
      </w:r>
      <w:bookmarkEnd w:id="187"/>
      <w:r>
        <w:rPr>
          <w:rFonts w:cstheme="minorHAnsi"/>
          <w:color w:val="auto"/>
          <w:sz w:val="26"/>
          <w:szCs w:val="26"/>
        </w:rPr>
        <w:t xml:space="preserve"> </w:t>
      </w:r>
    </w:p>
    <w:p w14:paraId="7079CCAE" w14:textId="77777777" w:rsidR="0097451A" w:rsidRDefault="0097451A" w:rsidP="0097451A">
      <w:pPr>
        <w:spacing w:line="276" w:lineRule="auto"/>
        <w:rPr>
          <w:rFonts w:asciiTheme="minorHAnsi" w:hAnsiTheme="minorHAnsi" w:cstheme="minorHAnsi"/>
          <w:sz w:val="26"/>
          <w:szCs w:val="26"/>
        </w:rPr>
      </w:pPr>
    </w:p>
    <w:p w14:paraId="0BAE15DE" w14:textId="77777777" w:rsidR="0097451A" w:rsidRDefault="0097451A" w:rsidP="0097451A">
      <w:pPr>
        <w:spacing w:line="276" w:lineRule="auto"/>
        <w:ind w:firstLine="720"/>
        <w:jc w:val="both"/>
        <w:rPr>
          <w:rFonts w:asciiTheme="minorHAnsi" w:hAnsiTheme="minorHAnsi" w:cstheme="minorHAnsi"/>
          <w:noProof/>
          <w:sz w:val="26"/>
          <w:szCs w:val="26"/>
        </w:rPr>
      </w:pPr>
      <w:r>
        <w:rPr>
          <w:rFonts w:asciiTheme="minorHAnsi" w:hAnsiTheme="minorHAnsi" w:cstheme="minorHAnsi"/>
          <w:noProof/>
          <w:sz w:val="26"/>
          <w:szCs w:val="26"/>
        </w:rPr>
        <w:t>În limita prerogativelor conferite de Constituția României și de prevederile legii organice care stabileşte atribuţiile instituţiei, Consiliul Superior al Magistraturii a urmărit în cursul anului 2025 ca activitatea derulată să asigure coordonatele legale şi resursele umane necesare realizării unui act de justiţie de calitate de către sistemul judiciar, precum şi să garanteze independenţa justiţiei în toate componentele sale.</w:t>
      </w:r>
    </w:p>
    <w:p w14:paraId="3089936E" w14:textId="77777777" w:rsidR="0097451A" w:rsidRDefault="0097451A" w:rsidP="0097451A">
      <w:pPr>
        <w:tabs>
          <w:tab w:val="left" w:pos="5475"/>
        </w:tabs>
        <w:spacing w:line="276" w:lineRule="auto"/>
        <w:ind w:firstLine="709"/>
        <w:jc w:val="both"/>
        <w:rPr>
          <w:rFonts w:asciiTheme="minorHAnsi" w:hAnsiTheme="minorHAnsi" w:cstheme="minorHAnsi"/>
          <w:sz w:val="26"/>
          <w:szCs w:val="26"/>
        </w:rPr>
      </w:pPr>
      <w:r>
        <w:rPr>
          <w:rFonts w:asciiTheme="minorHAnsi" w:hAnsiTheme="minorHAnsi" w:cstheme="minorHAnsi"/>
          <w:noProof/>
          <w:sz w:val="26"/>
          <w:szCs w:val="26"/>
        </w:rPr>
        <w:t xml:space="preserve">Astfel cum a fost evidenţiat în partea introductivă a prezentului raport, în cursul anului 2025, măsurile adoptate de Consiliul Superior al Magistraturii au vizat apărarea independenţei justiţiei şi salvargarea statutului magistratului, pe fondul efectelor şi reacţiilor publice generate de adoptarea de către Guvernul României prin asumare a </w:t>
      </w:r>
      <w:r>
        <w:rPr>
          <w:rFonts w:asciiTheme="minorHAnsi" w:hAnsiTheme="minorHAnsi" w:cstheme="minorHAnsi"/>
          <w:sz w:val="26"/>
          <w:szCs w:val="26"/>
        </w:rPr>
        <w:t>Legii pentru modificarea și completarea unor acte normative din domeniul pensiilor de serviciu.</w:t>
      </w:r>
    </w:p>
    <w:p w14:paraId="28E9BC21" w14:textId="77777777" w:rsidR="0097451A" w:rsidRDefault="0097451A" w:rsidP="0097451A">
      <w:pPr>
        <w:tabs>
          <w:tab w:val="left" w:pos="5475"/>
        </w:tabs>
        <w:spacing w:line="276" w:lineRule="auto"/>
        <w:ind w:firstLine="709"/>
        <w:jc w:val="both"/>
        <w:rPr>
          <w:rFonts w:asciiTheme="minorHAnsi" w:hAnsiTheme="minorHAnsi" w:cstheme="minorHAnsi"/>
          <w:noProof/>
          <w:sz w:val="26"/>
          <w:szCs w:val="26"/>
        </w:rPr>
      </w:pPr>
      <w:r>
        <w:rPr>
          <w:rFonts w:asciiTheme="minorHAnsi" w:hAnsiTheme="minorHAnsi" w:cstheme="minorHAnsi"/>
          <w:sz w:val="26"/>
          <w:szCs w:val="26"/>
        </w:rPr>
        <w:t>În acest context, Consiliul Superior al Magistraturii a urmărit constant respectarea rolului său constituţional ca reprezentant al autorităţii judecătoreşti de către celelalte puteri în stat, semnalând public că în nicio modalitate puterea judecătorescă nu poate fi pusă pe o poziţie de inegalitate şi inferioritate de către puterile legislativă şi executivă, echilibrul între cele trei puteri în stat fiind de esenţa democraţiei şi a statului de drept.</w:t>
      </w:r>
    </w:p>
    <w:p w14:paraId="29E2F74F" w14:textId="77777777" w:rsidR="0097451A" w:rsidRDefault="0097451A" w:rsidP="0097451A">
      <w:pPr>
        <w:spacing w:line="276" w:lineRule="auto"/>
        <w:ind w:firstLine="720"/>
        <w:jc w:val="both"/>
        <w:rPr>
          <w:rFonts w:asciiTheme="minorHAnsi" w:hAnsiTheme="minorHAnsi" w:cstheme="minorHAnsi"/>
          <w:noProof/>
          <w:sz w:val="26"/>
          <w:szCs w:val="26"/>
        </w:rPr>
      </w:pPr>
      <w:r>
        <w:rPr>
          <w:rFonts w:asciiTheme="minorHAnsi" w:hAnsiTheme="minorHAnsi" w:cstheme="minorHAnsi"/>
          <w:noProof/>
          <w:sz w:val="26"/>
          <w:szCs w:val="26"/>
        </w:rPr>
        <w:t>Luând în considerare în activitatea decizională aceste repere esenţiale pentru calitatea justiţiei, una dintre marile provocări ale anului de referință, cu impact pentru sistemul judiciar, a reprezentat-o asigurarea necesarului de resurse umane pentru buna desfășurare a activității la nivelul instanțelor şi parchetelor de pe lângă acestea, în special în urma adoptării măsurilor legislative privind suspendarea organizării concursurilor directe pentru ocuparea posturilor vacante de judecător şi procuror.</w:t>
      </w:r>
    </w:p>
    <w:p w14:paraId="033669D2" w14:textId="77777777" w:rsidR="0097451A" w:rsidRDefault="0097451A" w:rsidP="0097451A">
      <w:pPr>
        <w:spacing w:line="276" w:lineRule="auto"/>
        <w:ind w:firstLine="720"/>
        <w:jc w:val="both"/>
        <w:rPr>
          <w:rFonts w:asciiTheme="minorHAnsi" w:hAnsiTheme="minorHAnsi" w:cstheme="minorHAnsi"/>
          <w:noProof/>
          <w:sz w:val="26"/>
          <w:szCs w:val="26"/>
        </w:rPr>
      </w:pPr>
      <w:r>
        <w:rPr>
          <w:rFonts w:asciiTheme="minorHAnsi" w:hAnsiTheme="minorHAnsi" w:cstheme="minorHAnsi"/>
          <w:noProof/>
          <w:sz w:val="26"/>
          <w:szCs w:val="26"/>
        </w:rPr>
        <w:t xml:space="preserve">Fiind necesar a se asigura desfăşurarea în bune condiții a activității Înaltei Curți de Casație şi Justiție, în anul 2025 a fost desclanşată procedura de ocupare a </w:t>
      </w:r>
      <w:r>
        <w:rPr>
          <w:rFonts w:asciiTheme="minorHAnsi" w:hAnsiTheme="minorHAnsi" w:cstheme="minorHAnsi"/>
          <w:bCs/>
          <w:noProof/>
          <w:sz w:val="26"/>
          <w:szCs w:val="26"/>
        </w:rPr>
        <w:t>funcției de președinte al Înaltei Curţi de Casație și Justiție</w:t>
      </w:r>
      <w:r>
        <w:rPr>
          <w:rFonts w:asciiTheme="minorHAnsi" w:hAnsiTheme="minorHAnsi" w:cstheme="minorHAnsi"/>
          <w:bCs/>
          <w:iCs/>
          <w:noProof/>
          <w:sz w:val="26"/>
          <w:szCs w:val="26"/>
        </w:rPr>
        <w:t>, în acord cu prevederile art. 142 din Legea nr. 303/2022</w:t>
      </w:r>
      <w:r>
        <w:rPr>
          <w:rFonts w:asciiTheme="minorHAnsi" w:hAnsiTheme="minorHAnsi" w:cstheme="minorHAnsi"/>
          <w:noProof/>
          <w:sz w:val="26"/>
          <w:szCs w:val="26"/>
        </w:rPr>
        <w:t xml:space="preserve"> </w:t>
      </w:r>
      <w:r>
        <w:rPr>
          <w:rFonts w:asciiTheme="minorHAnsi" w:hAnsiTheme="minorHAnsi" w:cstheme="minorHAnsi"/>
          <w:bCs/>
          <w:iCs/>
          <w:noProof/>
          <w:sz w:val="26"/>
          <w:szCs w:val="26"/>
        </w:rPr>
        <w:t xml:space="preserve">privind statutul judecătorilor și procurorilor, cu modificările și completările ulterioare. Astfel, </w:t>
      </w:r>
      <w:r>
        <w:rPr>
          <w:rFonts w:asciiTheme="minorHAnsi" w:hAnsiTheme="minorHAnsi" w:cstheme="minorHAnsi"/>
          <w:noProof/>
          <w:sz w:val="26"/>
          <w:szCs w:val="26"/>
        </w:rPr>
        <w:t>prin Hotărârea Secţiei pentru judecători nr. 1533/2025 s-a dispus numirea în funcţia de preşedinte al Înaltei Curți de Casație și Justiție a doamnei judecător Lia Savonea, pentru o perioadă de 3 ani, începând cu data de 01 august 2025.</w:t>
      </w:r>
    </w:p>
    <w:p w14:paraId="598641C7" w14:textId="77777777" w:rsidR="0097451A" w:rsidRPr="00B41651" w:rsidRDefault="0097451A" w:rsidP="0097451A">
      <w:pPr>
        <w:spacing w:line="276" w:lineRule="auto"/>
        <w:ind w:firstLine="708"/>
        <w:jc w:val="both"/>
        <w:rPr>
          <w:rFonts w:asciiTheme="minorHAnsi" w:hAnsiTheme="minorHAnsi" w:cstheme="minorHAnsi"/>
          <w:sz w:val="26"/>
          <w:szCs w:val="26"/>
        </w:rPr>
      </w:pPr>
      <w:r w:rsidRPr="00B41651">
        <w:rPr>
          <w:rFonts w:asciiTheme="minorHAnsi" w:hAnsiTheme="minorHAnsi" w:cstheme="minorHAnsi"/>
          <w:sz w:val="26"/>
          <w:szCs w:val="26"/>
        </w:rPr>
        <w:t xml:space="preserve">De asemenea, la data de 29 octombrie 2025 a fost declanşată procedura de ocupare a unei funcţii de vicepreşedinte al Înaltei Curţi de Casaţie şi Justiţie, iar prin Hotărârea Secţiei pentru judecători a Consiliului Superior al Magistraturii nr. 2688/2025 s-a dispus numirea în funcţia de vicepreşedinte al Înaltei Curți de Casație și Justiție a doamnei judecător Ana-Hermina Iancu, pe o perioadă de 3 ani, exercitarea mandatului începând cu data de 25 noiembrie 2025. </w:t>
      </w:r>
    </w:p>
    <w:p w14:paraId="0E965ABF" w14:textId="77777777" w:rsidR="0097451A" w:rsidRPr="00B41651" w:rsidRDefault="0097451A" w:rsidP="0097451A">
      <w:pPr>
        <w:spacing w:line="276" w:lineRule="auto"/>
        <w:ind w:firstLine="708"/>
        <w:jc w:val="both"/>
        <w:rPr>
          <w:rFonts w:asciiTheme="minorHAnsi" w:hAnsiTheme="minorHAnsi" w:cstheme="minorHAnsi"/>
          <w:sz w:val="26"/>
          <w:szCs w:val="26"/>
        </w:rPr>
      </w:pPr>
      <w:r w:rsidRPr="00B41651">
        <w:rPr>
          <w:rFonts w:asciiTheme="minorHAnsi" w:hAnsiTheme="minorHAnsi" w:cstheme="minorHAnsi"/>
          <w:sz w:val="26"/>
          <w:szCs w:val="26"/>
        </w:rPr>
        <w:t>În prezent, la nivelul instanţei supreme, funcția de președinte al Secției penale este ocupată prin delegare de către doamna judecător Eleni-Cristina Marcu, conform Hotărârii Secției pentru judecători a Consiliului Superior al Magistraturii nr. 1895/2025. Totodată, doamna judecător Adina Oana Surdu, numită în funcţia de preşedinte al Secţiei a II-a Civile a instanţei supreme, prin Hotărârea Secţiei pentru judecători nr. 2226/2024, a început exercitarea mandatului la data de 11 ianuarie 2025.</w:t>
      </w:r>
    </w:p>
    <w:p w14:paraId="392407A3" w14:textId="77777777" w:rsidR="0097451A" w:rsidRDefault="0097451A" w:rsidP="0097451A">
      <w:pPr>
        <w:widowControl w:val="0"/>
        <w:spacing w:line="276" w:lineRule="auto"/>
        <w:ind w:firstLine="709"/>
        <w:jc w:val="both"/>
        <w:rPr>
          <w:rFonts w:asciiTheme="minorHAnsi" w:hAnsiTheme="minorHAnsi" w:cstheme="minorHAnsi"/>
          <w:sz w:val="26"/>
          <w:szCs w:val="26"/>
        </w:rPr>
      </w:pPr>
      <w:r>
        <w:rPr>
          <w:rFonts w:asciiTheme="minorHAnsi" w:hAnsiTheme="minorHAnsi" w:cstheme="minorHAnsi"/>
          <w:sz w:val="26"/>
          <w:szCs w:val="26"/>
        </w:rPr>
        <w:lastRenderedPageBreak/>
        <w:t>Totodată, s-a dispus promovarea a 11 judecători la instanţa supremă, începând cu data de 01 februarie 2025, ca urmare a finalizării concursului desfăşurat în perioada septembrie 2024 - ianuarie 2025, în cadrul căruia au fost alocate 15 posturi, şi a 13 judecători începând cu data de 01 decembrie 2025 ca urmare a finalizării concursului desfăşurat în perioada august – noiembrie 2025, în cadrul căruia au fost alocate, de asemenea, 15 posturi.</w:t>
      </w:r>
    </w:p>
    <w:p w14:paraId="3645BF2C" w14:textId="77777777" w:rsidR="0097451A" w:rsidRDefault="0097451A" w:rsidP="0097451A">
      <w:pPr>
        <w:spacing w:line="276" w:lineRule="auto"/>
        <w:ind w:firstLine="684"/>
        <w:jc w:val="both"/>
        <w:rPr>
          <w:rFonts w:asciiTheme="minorHAnsi" w:hAnsiTheme="minorHAnsi" w:cstheme="minorHAnsi"/>
          <w:noProof/>
          <w:sz w:val="26"/>
          <w:szCs w:val="26"/>
        </w:rPr>
      </w:pPr>
      <w:r>
        <w:rPr>
          <w:rFonts w:asciiTheme="minorHAnsi" w:hAnsiTheme="minorHAnsi" w:cstheme="minorHAnsi"/>
          <w:noProof/>
          <w:sz w:val="26"/>
          <w:szCs w:val="26"/>
        </w:rPr>
        <w:t xml:space="preserve">În cursul anului 2025 </w:t>
      </w:r>
      <w:r>
        <w:rPr>
          <w:rFonts w:asciiTheme="minorHAnsi" w:hAnsiTheme="minorHAnsi" w:cstheme="minorHAnsi"/>
          <w:sz w:val="26"/>
          <w:szCs w:val="26"/>
        </w:rPr>
        <w:t>a fost finalizat concursul de admitere în magistratură, declanşat în anul 2024, fiind ocupate 104 posturi de judecător la judecătorii</w:t>
      </w:r>
      <w:r>
        <w:rPr>
          <w:rFonts w:asciiTheme="minorHAnsi" w:hAnsiTheme="minorHAnsi" w:cstheme="minorHAnsi"/>
          <w:bCs/>
          <w:sz w:val="26"/>
          <w:szCs w:val="26"/>
          <w:lang w:eastAsia="ro-RO"/>
        </w:rPr>
        <w:t xml:space="preserve"> și 17 posturi de procuror</w:t>
      </w:r>
      <w:r>
        <w:rPr>
          <w:rFonts w:asciiTheme="minorHAnsi" w:hAnsiTheme="minorHAnsi" w:cstheme="minorHAnsi"/>
          <w:noProof/>
          <w:sz w:val="26"/>
          <w:szCs w:val="26"/>
        </w:rPr>
        <w:t xml:space="preserve"> la parchetele de pe lângă judecătorii. De asemenea, a fost finalizat concursul de admitere la Institutul Naţional al Magistraturii declanşat în anul 2024 şi a fost declanşat un nou concurs de admitere la Institutul Naţional al Magistraturii organizat în perioada iulie 2025 – martie 2026 pentru 250 de locuri de auditori de justiţie.</w:t>
      </w:r>
    </w:p>
    <w:p w14:paraId="2CC3D559" w14:textId="77777777" w:rsidR="0097451A" w:rsidRDefault="0097451A" w:rsidP="0097451A">
      <w:pPr>
        <w:spacing w:line="276" w:lineRule="auto"/>
        <w:ind w:firstLine="684"/>
        <w:jc w:val="both"/>
        <w:rPr>
          <w:rFonts w:asciiTheme="minorHAnsi" w:hAnsiTheme="minorHAnsi" w:cstheme="minorHAnsi"/>
          <w:noProof/>
          <w:sz w:val="26"/>
          <w:szCs w:val="26"/>
          <w:lang w:eastAsia="ro-RO"/>
        </w:rPr>
      </w:pPr>
      <w:r>
        <w:rPr>
          <w:rFonts w:asciiTheme="minorHAnsi" w:hAnsiTheme="minorHAnsi" w:cstheme="minorHAnsi"/>
          <w:noProof/>
          <w:sz w:val="26"/>
          <w:szCs w:val="26"/>
        </w:rPr>
        <w:t xml:space="preserve">În perioada octombrie 2024 – aprilie 2025 s-a desfăşurat examenul de capacitate al judecătorilor şi procurorilor stagiari, ca urmare a acestui examen fiind numiți 162 de judecători definitivi și </w:t>
      </w:r>
      <w:r>
        <w:rPr>
          <w:rFonts w:asciiTheme="minorHAnsi" w:hAnsiTheme="minorHAnsi" w:cstheme="minorHAnsi"/>
          <w:noProof/>
          <w:sz w:val="26"/>
          <w:szCs w:val="26"/>
          <w:lang w:eastAsia="ro-RO"/>
        </w:rPr>
        <w:t>112 procurori definitivi.</w:t>
      </w:r>
    </w:p>
    <w:p w14:paraId="6FDC936B" w14:textId="77777777" w:rsidR="0097451A" w:rsidRDefault="0097451A" w:rsidP="0097451A">
      <w:pPr>
        <w:spacing w:line="276" w:lineRule="auto"/>
        <w:ind w:firstLine="684"/>
        <w:jc w:val="both"/>
        <w:rPr>
          <w:rFonts w:asciiTheme="minorHAnsi" w:hAnsiTheme="minorHAnsi" w:cstheme="minorHAnsi"/>
          <w:bCs/>
          <w:sz w:val="26"/>
          <w:szCs w:val="26"/>
        </w:rPr>
      </w:pPr>
      <w:r>
        <w:rPr>
          <w:rFonts w:asciiTheme="minorHAnsi" w:hAnsiTheme="minorHAnsi" w:cstheme="minorHAnsi"/>
          <w:bCs/>
          <w:color w:val="000000" w:themeColor="text1"/>
          <w:sz w:val="26"/>
          <w:szCs w:val="26"/>
        </w:rPr>
        <w:t xml:space="preserve">În urma susţinerii examenului de absolvire al Institutului Naţional al Magistraturii, promoţia 2023 – 2025, cele două secţii ale Consiliului au numit 174 de absolvenţi în funcţia de judecător stagiar şi </w:t>
      </w:r>
      <w:r>
        <w:rPr>
          <w:rFonts w:asciiTheme="minorHAnsi" w:hAnsiTheme="minorHAnsi" w:cstheme="minorHAnsi"/>
          <w:bCs/>
          <w:sz w:val="26"/>
          <w:szCs w:val="26"/>
        </w:rPr>
        <w:t>95 de absolvenţi în funcţia de procuror stagiar, începând cu data de 01 iunie 2025.</w:t>
      </w:r>
    </w:p>
    <w:p w14:paraId="7C1052C6" w14:textId="77777777" w:rsidR="0097451A" w:rsidRDefault="0097451A" w:rsidP="0097451A">
      <w:pPr>
        <w:spacing w:line="276" w:lineRule="auto"/>
        <w:ind w:firstLine="708"/>
        <w:jc w:val="both"/>
        <w:rPr>
          <w:rFonts w:asciiTheme="minorHAnsi" w:hAnsiTheme="minorHAnsi" w:cstheme="minorHAnsi"/>
          <w:bCs/>
          <w:sz w:val="26"/>
          <w:szCs w:val="26"/>
        </w:rPr>
      </w:pPr>
      <w:r>
        <w:rPr>
          <w:rFonts w:asciiTheme="minorHAnsi" w:hAnsiTheme="minorHAnsi" w:cstheme="minorHAnsi"/>
          <w:noProof/>
          <w:sz w:val="26"/>
          <w:szCs w:val="26"/>
        </w:rPr>
        <w:t>De asemenea, în cadrul procedurii de numire</w:t>
      </w:r>
      <w:r>
        <w:rPr>
          <w:rFonts w:asciiTheme="minorHAnsi" w:hAnsiTheme="minorHAnsi" w:cstheme="minorHAnsi"/>
          <w:b/>
          <w:noProof/>
          <w:sz w:val="26"/>
          <w:szCs w:val="26"/>
        </w:rPr>
        <w:t xml:space="preserve"> </w:t>
      </w:r>
      <w:r>
        <w:rPr>
          <w:rFonts w:asciiTheme="minorHAnsi" w:hAnsiTheme="minorHAnsi" w:cstheme="minorHAnsi"/>
          <w:bCs/>
          <w:noProof/>
          <w:sz w:val="26"/>
          <w:szCs w:val="26"/>
        </w:rPr>
        <w:t xml:space="preserve">și reîncadrare în funcția de judecător și procuror, organizată în temeiul art. 216 alin. (2) și (3) din Legea nr. 303/2022, au fost numiți în funcție 7 judecători și </w:t>
      </w:r>
      <w:r>
        <w:rPr>
          <w:rFonts w:asciiTheme="minorHAnsi" w:hAnsiTheme="minorHAnsi" w:cstheme="minorHAnsi"/>
          <w:bCs/>
          <w:sz w:val="26"/>
          <w:szCs w:val="26"/>
        </w:rPr>
        <w:t xml:space="preserve">4 procurori. </w:t>
      </w:r>
    </w:p>
    <w:p w14:paraId="19446D25" w14:textId="77777777" w:rsidR="0097451A" w:rsidRPr="00B41651" w:rsidRDefault="0097451A" w:rsidP="0097451A">
      <w:pPr>
        <w:spacing w:line="276" w:lineRule="auto"/>
        <w:ind w:firstLine="720"/>
        <w:jc w:val="both"/>
        <w:rPr>
          <w:rFonts w:asciiTheme="minorHAnsi" w:hAnsiTheme="minorHAnsi" w:cstheme="minorHAnsi"/>
          <w:bCs/>
          <w:noProof/>
          <w:sz w:val="26"/>
          <w:szCs w:val="26"/>
        </w:rPr>
      </w:pPr>
      <w:r w:rsidRPr="00B41651">
        <w:rPr>
          <w:rFonts w:asciiTheme="minorHAnsi" w:hAnsiTheme="minorHAnsi" w:cstheme="minorHAnsi"/>
          <w:bCs/>
          <w:noProof/>
          <w:sz w:val="26"/>
          <w:szCs w:val="26"/>
        </w:rPr>
        <w:t xml:space="preserve">În anul 2025, raportat la necesarul ocupării funcţiilor de conducere din instanţele judecătoreşti, au fost numiţi 43 de judecători în funcţiile de vicepreşedinte şi preşedinte de secţie. </w:t>
      </w:r>
    </w:p>
    <w:p w14:paraId="711BD79D" w14:textId="6E93DCD2" w:rsidR="0097451A" w:rsidRPr="00B41651" w:rsidRDefault="0097451A" w:rsidP="0097451A">
      <w:pPr>
        <w:spacing w:line="276" w:lineRule="auto"/>
        <w:ind w:firstLine="708"/>
        <w:jc w:val="both"/>
        <w:rPr>
          <w:rFonts w:asciiTheme="minorHAnsi" w:hAnsiTheme="minorHAnsi" w:cstheme="minorHAnsi"/>
          <w:noProof/>
          <w:sz w:val="26"/>
          <w:szCs w:val="26"/>
        </w:rPr>
      </w:pPr>
      <w:r w:rsidRPr="00B41651">
        <w:rPr>
          <w:rFonts w:asciiTheme="minorHAnsi" w:hAnsiTheme="minorHAnsi" w:cstheme="minorHAnsi"/>
          <w:bCs/>
          <w:noProof/>
          <w:sz w:val="26"/>
          <w:szCs w:val="26"/>
        </w:rPr>
        <w:t xml:space="preserve">Tot în cursul anului de referință, ca urmare a derulării </w:t>
      </w:r>
      <w:r w:rsidRPr="00B41651">
        <w:rPr>
          <w:rFonts w:asciiTheme="minorHAnsi" w:hAnsiTheme="minorHAnsi" w:cstheme="minorHAnsi"/>
          <w:noProof/>
          <w:sz w:val="26"/>
          <w:szCs w:val="26"/>
        </w:rPr>
        <w:t xml:space="preserve">în perioada august – decembrie 2025 a unui concurs pentru ocuparea unui număr de 150 de funcţii de preşedinte la curţi de apel, tribunale, tribunale specializate şi judecătorii, </w:t>
      </w:r>
      <w:r w:rsidRPr="00B41651">
        <w:rPr>
          <w:rFonts w:asciiTheme="minorHAnsi" w:hAnsiTheme="minorHAnsi" w:cstheme="minorHAnsi"/>
          <w:sz w:val="26"/>
          <w:szCs w:val="26"/>
        </w:rPr>
        <w:t xml:space="preserve">prin Hotărârea Secţiei pentru judecători a Consiliului Superior al Magistraturii nr. 2819/10.12.2025 s-a dispus numirea în funcţii de conducere a 34 de candidați începând cu data de </w:t>
      </w:r>
      <w:r w:rsidR="00B41651" w:rsidRPr="00B41651">
        <w:rPr>
          <w:rFonts w:asciiTheme="minorHAnsi" w:hAnsiTheme="minorHAnsi" w:cstheme="minorHAnsi"/>
          <w:sz w:val="26"/>
          <w:szCs w:val="26"/>
        </w:rPr>
        <w:t>0</w:t>
      </w:r>
      <w:r w:rsidRPr="00B41651">
        <w:rPr>
          <w:rFonts w:asciiTheme="minorHAnsi" w:hAnsiTheme="minorHAnsi" w:cstheme="minorHAnsi"/>
          <w:sz w:val="26"/>
          <w:szCs w:val="26"/>
        </w:rPr>
        <w:t>6  ianuarie 2026.</w:t>
      </w:r>
    </w:p>
    <w:p w14:paraId="542BA48F" w14:textId="0C5B8DCD" w:rsidR="0097451A" w:rsidRPr="00B41651" w:rsidRDefault="0097451A" w:rsidP="0097451A">
      <w:pPr>
        <w:spacing w:line="276" w:lineRule="auto"/>
        <w:ind w:firstLine="720"/>
        <w:jc w:val="both"/>
        <w:rPr>
          <w:rFonts w:asciiTheme="minorHAnsi" w:hAnsiTheme="minorHAnsi" w:cstheme="minorHAnsi"/>
          <w:noProof/>
          <w:sz w:val="26"/>
          <w:szCs w:val="26"/>
        </w:rPr>
      </w:pPr>
      <w:r w:rsidRPr="00B41651">
        <w:rPr>
          <w:rFonts w:asciiTheme="minorHAnsi" w:hAnsiTheme="minorHAnsi" w:cstheme="minorHAnsi"/>
          <w:bCs/>
          <w:noProof/>
          <w:sz w:val="26"/>
          <w:szCs w:val="26"/>
        </w:rPr>
        <w:t xml:space="preserve">În perioada august – decembrie 2025 a fost aprobată organizarea </w:t>
      </w:r>
      <w:r w:rsidRPr="00B41651">
        <w:rPr>
          <w:rFonts w:asciiTheme="minorHAnsi" w:hAnsiTheme="minorHAnsi" w:cstheme="minorHAnsi"/>
          <w:noProof/>
          <w:sz w:val="26"/>
          <w:szCs w:val="26"/>
        </w:rPr>
        <w:t xml:space="preserve">concursului pentru numirea în funcții de conducere a procurorilor la parchetele de pe lângă curțile de apel, tribunale, tribunale specializate și judecătorii, fiind scoase la concurs </w:t>
      </w:r>
      <w:r w:rsidRPr="00B41651">
        <w:rPr>
          <w:rFonts w:asciiTheme="minorHAnsi" w:hAnsiTheme="minorHAnsi" w:cstheme="minorHAnsi"/>
          <w:bCs/>
          <w:noProof/>
          <w:sz w:val="26"/>
          <w:szCs w:val="26"/>
        </w:rPr>
        <w:t>130</w:t>
      </w:r>
      <w:r w:rsidRPr="00B41651">
        <w:rPr>
          <w:rFonts w:asciiTheme="minorHAnsi" w:hAnsiTheme="minorHAnsi" w:cstheme="minorHAnsi"/>
          <w:b/>
          <w:noProof/>
          <w:sz w:val="26"/>
          <w:szCs w:val="26"/>
        </w:rPr>
        <w:t xml:space="preserve"> </w:t>
      </w:r>
      <w:r w:rsidRPr="00B41651">
        <w:rPr>
          <w:rFonts w:asciiTheme="minorHAnsi" w:hAnsiTheme="minorHAnsi" w:cstheme="minorHAnsi"/>
          <w:bCs/>
          <w:noProof/>
          <w:sz w:val="26"/>
          <w:szCs w:val="26"/>
        </w:rPr>
        <w:t>de</w:t>
      </w:r>
      <w:r w:rsidRPr="00B41651">
        <w:rPr>
          <w:rFonts w:asciiTheme="minorHAnsi" w:hAnsiTheme="minorHAnsi" w:cstheme="minorHAnsi"/>
          <w:b/>
          <w:noProof/>
          <w:sz w:val="26"/>
          <w:szCs w:val="26"/>
        </w:rPr>
        <w:t xml:space="preserve"> </w:t>
      </w:r>
      <w:r w:rsidRPr="00B41651">
        <w:rPr>
          <w:rFonts w:asciiTheme="minorHAnsi" w:hAnsiTheme="minorHAnsi" w:cstheme="minorHAnsi"/>
          <w:noProof/>
          <w:sz w:val="26"/>
          <w:szCs w:val="26"/>
        </w:rPr>
        <w:t xml:space="preserve">funcţii vacante de procuror general şi prim procuror de la parchetele de pe lângă curţile de apel, tribunale şi judecătorii, iar prin Hotărârea Secției pentru procurori nr. 1191/16.12.2025, </w:t>
      </w:r>
      <w:r w:rsidRPr="00B41651">
        <w:rPr>
          <w:rFonts w:asciiTheme="minorHAnsi" w:hAnsiTheme="minorHAnsi" w:cstheme="minorHAnsi"/>
          <w:sz w:val="26"/>
          <w:szCs w:val="26"/>
        </w:rPr>
        <w:t>au fost numiți în funcții de conducere</w:t>
      </w:r>
      <w:r w:rsidR="00B41651" w:rsidRPr="00B41651">
        <w:rPr>
          <w:rFonts w:asciiTheme="minorHAnsi" w:hAnsiTheme="minorHAnsi" w:cstheme="minorHAnsi"/>
          <w:sz w:val="26"/>
          <w:szCs w:val="26"/>
        </w:rPr>
        <w:t xml:space="preserve"> 36 de procurori</w:t>
      </w:r>
      <w:r w:rsidRPr="00B41651">
        <w:rPr>
          <w:rFonts w:asciiTheme="minorHAnsi" w:hAnsiTheme="minorHAnsi" w:cstheme="minorHAnsi"/>
          <w:sz w:val="26"/>
          <w:szCs w:val="26"/>
        </w:rPr>
        <w:t xml:space="preserve">, începând cu data de </w:t>
      </w:r>
      <w:r w:rsidR="00B41651" w:rsidRPr="00B41651">
        <w:rPr>
          <w:rFonts w:asciiTheme="minorHAnsi" w:hAnsiTheme="minorHAnsi" w:cstheme="minorHAnsi"/>
          <w:sz w:val="26"/>
          <w:szCs w:val="26"/>
        </w:rPr>
        <w:t>0</w:t>
      </w:r>
      <w:r w:rsidRPr="00B41651">
        <w:rPr>
          <w:rFonts w:asciiTheme="minorHAnsi" w:hAnsiTheme="minorHAnsi" w:cstheme="minorHAnsi"/>
          <w:sz w:val="26"/>
          <w:szCs w:val="26"/>
        </w:rPr>
        <w:t>1 ianuarie 2026.</w:t>
      </w:r>
    </w:p>
    <w:p w14:paraId="2954EBF9" w14:textId="77777777" w:rsidR="0097451A" w:rsidRDefault="0097451A" w:rsidP="0097451A">
      <w:pPr>
        <w:spacing w:line="276" w:lineRule="auto"/>
        <w:ind w:firstLine="720"/>
        <w:jc w:val="both"/>
        <w:rPr>
          <w:rFonts w:asciiTheme="minorHAnsi" w:hAnsiTheme="minorHAnsi" w:cstheme="minorHAnsi"/>
          <w:bCs/>
          <w:noProof/>
          <w:sz w:val="26"/>
          <w:szCs w:val="26"/>
        </w:rPr>
      </w:pPr>
      <w:r>
        <w:rPr>
          <w:rFonts w:asciiTheme="minorHAnsi" w:hAnsiTheme="minorHAnsi" w:cstheme="minorHAnsi"/>
          <w:bCs/>
          <w:noProof/>
          <w:sz w:val="26"/>
          <w:szCs w:val="26"/>
        </w:rPr>
        <w:t>De asemenea, în cursul anului de referință, în temeiul dispoziţiilor art. 149 şi art. 150 alin. (2) şi alin. (3) din Legea nr. 303/2022 au fost numiţi 101 procurori în funcţii de conducere.</w:t>
      </w:r>
    </w:p>
    <w:p w14:paraId="39ED8A1F" w14:textId="77777777" w:rsidR="0097451A" w:rsidRPr="00B41651" w:rsidRDefault="0097451A" w:rsidP="0097451A">
      <w:pPr>
        <w:spacing w:line="276" w:lineRule="auto"/>
        <w:ind w:firstLine="709"/>
        <w:jc w:val="both"/>
        <w:rPr>
          <w:rFonts w:asciiTheme="minorHAnsi" w:hAnsiTheme="minorHAnsi" w:cstheme="minorHAnsi"/>
          <w:sz w:val="26"/>
          <w:szCs w:val="26"/>
        </w:rPr>
      </w:pPr>
      <w:r>
        <w:rPr>
          <w:rFonts w:asciiTheme="minorHAnsi" w:hAnsiTheme="minorHAnsi" w:cstheme="minorHAnsi"/>
          <w:color w:val="000000" w:themeColor="text1"/>
          <w:sz w:val="26"/>
          <w:szCs w:val="26"/>
        </w:rPr>
        <w:t xml:space="preserve">Totodată, a fost finalizat concursul de promovare efectivă în funcţii de execuţie organizat în condiţiile art. 139 – art. 141 din Legea nr. 303/2022 privind statutul judecătorilor şi procurorilor în perioada septembrie 2024 – februarie 2025, în urma acestui concurs promovând 157 de judecători la tribunale şi 29 de judecători la curţile de apel. De asemenea, în perioada februarie – iunie 2025 s-a organizat concursul de promovare efectivă în funcţii de execuţie în temeiul aceloraşi dispoziţii legale, la acest concurs fiind alocate 67 de posturi la nivelul tribunalelor, dintre care au fost ocupate 43 de posturi. </w:t>
      </w:r>
      <w:r>
        <w:rPr>
          <w:rFonts w:asciiTheme="minorHAnsi" w:hAnsiTheme="minorHAnsi" w:cstheme="minorHAnsi"/>
          <w:sz w:val="26"/>
          <w:szCs w:val="26"/>
        </w:rPr>
        <w:t xml:space="preserve">La data de 11 septembrie 2025 a fost declanşat un nou concurs de promovare </w:t>
      </w:r>
      <w:r w:rsidRPr="00B41651">
        <w:rPr>
          <w:rFonts w:asciiTheme="minorHAnsi" w:hAnsiTheme="minorHAnsi" w:cstheme="minorHAnsi"/>
          <w:sz w:val="26"/>
          <w:szCs w:val="26"/>
        </w:rPr>
        <w:lastRenderedPageBreak/>
        <w:t>efectivă în funcţii de execuţie pentru ocuparea a 43 de posturi la nivelul curţilor de apel, în urma căruia au fost promovaţi 37 de judecători.</w:t>
      </w:r>
    </w:p>
    <w:p w14:paraId="68D898DB" w14:textId="77777777" w:rsidR="0097451A" w:rsidRPr="00B41651" w:rsidRDefault="0097451A" w:rsidP="0097451A">
      <w:pPr>
        <w:spacing w:line="276" w:lineRule="auto"/>
        <w:ind w:firstLine="709"/>
        <w:jc w:val="both"/>
        <w:rPr>
          <w:rFonts w:asciiTheme="minorHAnsi" w:hAnsiTheme="minorHAnsi" w:cstheme="minorHAnsi"/>
          <w:sz w:val="26"/>
          <w:szCs w:val="26"/>
        </w:rPr>
      </w:pPr>
      <w:r w:rsidRPr="00B41651">
        <w:rPr>
          <w:rFonts w:asciiTheme="minorHAnsi" w:hAnsiTheme="minorHAnsi" w:cstheme="minorHAnsi"/>
          <w:sz w:val="26"/>
          <w:szCs w:val="26"/>
        </w:rPr>
        <w:t>Totodată, la data de 12 decembrie 2025 a fost declanţat un concurs de promovare efectivă în funcţii de execuţie la nivelul tribunalelor, concurs pentru care au fost alocate 394 de posturi de judecător.</w:t>
      </w:r>
    </w:p>
    <w:p w14:paraId="586D0258" w14:textId="77777777" w:rsidR="0097451A" w:rsidRPr="00B41651" w:rsidRDefault="0097451A" w:rsidP="0097451A">
      <w:pPr>
        <w:tabs>
          <w:tab w:val="left" w:pos="709"/>
        </w:tabs>
        <w:jc w:val="both"/>
        <w:rPr>
          <w:rFonts w:asciiTheme="minorHAnsi" w:hAnsiTheme="minorHAnsi" w:cstheme="minorHAnsi"/>
          <w:sz w:val="26"/>
          <w:szCs w:val="26"/>
        </w:rPr>
      </w:pPr>
      <w:r w:rsidRPr="00B41651">
        <w:rPr>
          <w:rFonts w:asciiTheme="minorHAnsi" w:hAnsiTheme="minorHAnsi" w:cstheme="minorHAnsi"/>
          <w:sz w:val="26"/>
          <w:szCs w:val="26"/>
        </w:rPr>
        <w:tab/>
        <w:t>Î</w:t>
      </w:r>
      <w:r w:rsidRPr="00B41651">
        <w:rPr>
          <w:rFonts w:asciiTheme="minorHAnsi" w:hAnsiTheme="minorHAnsi" w:cstheme="minorHAnsi"/>
          <w:noProof/>
          <w:sz w:val="26"/>
          <w:szCs w:val="26"/>
        </w:rPr>
        <w:t xml:space="preserve">n perioada martie - septembrie 2025 s-a desfășurat concursul de promovare efectivă în funcţii de execuţie a procurorilor pentru un număr de 131 de posturi, iar în urma finalizării acestui concurs au promovat efectiv la unitățile de parchet superioare 63 de procurori. </w:t>
      </w:r>
      <w:r w:rsidRPr="00B41651">
        <w:rPr>
          <w:rFonts w:asciiTheme="minorHAnsi" w:hAnsiTheme="minorHAnsi" w:cstheme="minorHAnsi"/>
          <w:sz w:val="26"/>
          <w:szCs w:val="26"/>
        </w:rPr>
        <w:t xml:space="preserve">Totodată, în ședința din data de 16 decembrie 2025, Secția pentru procurori a decis promovarea efectivă a 13 procurori, prin valorificarea rezultatelor obținute la concurs. </w:t>
      </w:r>
    </w:p>
    <w:p w14:paraId="68FFBC50" w14:textId="77777777" w:rsidR="0097451A" w:rsidRDefault="0097451A" w:rsidP="0097451A">
      <w:pPr>
        <w:spacing w:line="276" w:lineRule="auto"/>
        <w:ind w:firstLine="720"/>
        <w:jc w:val="both"/>
        <w:rPr>
          <w:rFonts w:asciiTheme="minorHAnsi" w:hAnsiTheme="minorHAnsi" w:cstheme="minorHAnsi"/>
          <w:noProof/>
          <w:sz w:val="26"/>
          <w:szCs w:val="26"/>
        </w:rPr>
      </w:pPr>
      <w:r>
        <w:rPr>
          <w:rFonts w:asciiTheme="minorHAnsi" w:hAnsiTheme="minorHAnsi" w:cstheme="minorHAnsi"/>
          <w:noProof/>
          <w:sz w:val="26"/>
          <w:szCs w:val="26"/>
        </w:rPr>
        <w:t xml:space="preserve">În ceea ce privește activitățile derulate în raport de atribuțiile în materie legislativă, în exercitarea prerogativelor conferite de art. 39 alin. (3) din Legea nr. 305/2022, au fost înaintate Consiliului Superior al Magistraturii spre avizare proiectele mai multor acte normative care privesc activitatea autorității judecătorești. În exercitarea acestei atribuții, Consiliul a avizat favorabil, cu observații sau fără observații, ori negativ mai multe proiecte de acte normative, activitate amplu detaliată în secțiunea dedicată din prezentul raport. </w:t>
      </w:r>
    </w:p>
    <w:p w14:paraId="35E83ACE" w14:textId="77777777" w:rsidR="0097451A" w:rsidRDefault="0097451A" w:rsidP="0097451A">
      <w:pPr>
        <w:spacing w:line="276" w:lineRule="auto"/>
        <w:ind w:firstLine="720"/>
        <w:jc w:val="both"/>
        <w:rPr>
          <w:rFonts w:asciiTheme="minorHAnsi" w:hAnsiTheme="minorHAnsi" w:cstheme="minorHAnsi"/>
          <w:noProof/>
          <w:sz w:val="26"/>
          <w:szCs w:val="26"/>
        </w:rPr>
      </w:pPr>
      <w:r>
        <w:rPr>
          <w:rFonts w:asciiTheme="minorHAnsi" w:hAnsiTheme="minorHAnsi" w:cstheme="minorHAnsi"/>
          <w:bCs/>
          <w:noProof/>
          <w:sz w:val="26"/>
          <w:szCs w:val="26"/>
        </w:rPr>
        <w:t>Raporturile Consiliului Superior al Magistraturii cu Parlamentul României</w:t>
      </w:r>
      <w:r>
        <w:rPr>
          <w:rFonts w:asciiTheme="minorHAnsi" w:hAnsiTheme="minorHAnsi" w:cstheme="minorHAnsi"/>
          <w:b/>
          <w:noProof/>
          <w:sz w:val="26"/>
          <w:szCs w:val="26"/>
        </w:rPr>
        <w:t xml:space="preserve"> </w:t>
      </w:r>
      <w:r>
        <w:rPr>
          <w:rFonts w:asciiTheme="minorHAnsi" w:hAnsiTheme="minorHAnsi" w:cstheme="minorHAnsi"/>
          <w:noProof/>
          <w:sz w:val="26"/>
          <w:szCs w:val="26"/>
        </w:rPr>
        <w:t xml:space="preserve">s-au concretizat, în principal, în avizarea propunerilor legislative aflate în dezbatere parlamentară și în exprimarea unor puncte de vedere față de o serie de propuneri legislative, atât de către Plen, cât şi prin intermediul comisiilor de specialitate. </w:t>
      </w:r>
    </w:p>
    <w:p w14:paraId="2924C056" w14:textId="77777777" w:rsidR="0097451A" w:rsidRDefault="0097451A" w:rsidP="0097451A">
      <w:pPr>
        <w:spacing w:line="276" w:lineRule="auto"/>
        <w:ind w:firstLine="720"/>
        <w:jc w:val="both"/>
        <w:rPr>
          <w:rFonts w:asciiTheme="minorHAnsi" w:hAnsiTheme="minorHAnsi" w:cstheme="minorHAnsi"/>
          <w:noProof/>
          <w:sz w:val="26"/>
          <w:szCs w:val="26"/>
        </w:rPr>
      </w:pPr>
      <w:r>
        <w:rPr>
          <w:rFonts w:asciiTheme="minorHAnsi" w:hAnsiTheme="minorHAnsi" w:cstheme="minorHAnsi"/>
          <w:noProof/>
          <w:sz w:val="26"/>
          <w:szCs w:val="26"/>
        </w:rPr>
        <w:t xml:space="preserve">De asemenea, în </w:t>
      </w:r>
      <w:r>
        <w:rPr>
          <w:rFonts w:asciiTheme="minorHAnsi" w:hAnsiTheme="minorHAnsi" w:cstheme="minorHAnsi"/>
          <w:bCs/>
          <w:noProof/>
          <w:sz w:val="26"/>
          <w:szCs w:val="26"/>
        </w:rPr>
        <w:t>raporturile Consiliului Superior al Magistraturii cu puterea executivă,</w:t>
      </w:r>
      <w:r>
        <w:rPr>
          <w:rFonts w:asciiTheme="minorHAnsi" w:hAnsiTheme="minorHAnsi" w:cstheme="minorHAnsi"/>
          <w:noProof/>
          <w:sz w:val="26"/>
          <w:szCs w:val="26"/>
        </w:rPr>
        <w:t xml:space="preserve"> în cadrul procesului legislativ, Consiliul şi-a exercitat atribuțiile referitoare la avizarea actelor normative care privesc activitatea autorității judecătorești, prevăzute de art. 39 alin. (3) din Legea nr. 305/2004, prezentate anterior. </w:t>
      </w:r>
    </w:p>
    <w:p w14:paraId="01F3725F" w14:textId="77777777" w:rsidR="0097451A" w:rsidRDefault="0097451A" w:rsidP="0097451A">
      <w:pPr>
        <w:spacing w:line="276" w:lineRule="auto"/>
        <w:ind w:firstLine="720"/>
        <w:jc w:val="both"/>
        <w:rPr>
          <w:rFonts w:asciiTheme="minorHAnsi" w:hAnsiTheme="minorHAnsi" w:cstheme="minorHAnsi"/>
          <w:noProof/>
          <w:sz w:val="26"/>
          <w:szCs w:val="26"/>
        </w:rPr>
      </w:pPr>
      <w:r>
        <w:rPr>
          <w:rFonts w:asciiTheme="minorHAnsi" w:hAnsiTheme="minorHAnsi" w:cstheme="minorHAnsi"/>
          <w:noProof/>
          <w:sz w:val="26"/>
          <w:szCs w:val="26"/>
        </w:rPr>
        <w:t>O altă componentă importantă a acestor raporturi se referă la sesizările transmise Ministerului Justiției de către Plenul Consiliului Superior al Magistraturii,</w:t>
      </w:r>
      <w:r>
        <w:rPr>
          <w:rFonts w:asciiTheme="minorHAnsi" w:hAnsiTheme="minorHAnsi" w:cstheme="minorHAnsi"/>
          <w:b/>
          <w:noProof/>
          <w:sz w:val="26"/>
          <w:szCs w:val="26"/>
        </w:rPr>
        <w:t xml:space="preserve"> </w:t>
      </w:r>
      <w:r>
        <w:rPr>
          <w:rFonts w:asciiTheme="minorHAnsi" w:hAnsiTheme="minorHAnsi" w:cstheme="minorHAnsi"/>
          <w:noProof/>
          <w:sz w:val="26"/>
          <w:szCs w:val="26"/>
        </w:rPr>
        <w:t xml:space="preserve">în temeiul art. 39 alin. (5) din Legea nr. 305/2022, pentru inițierea sau modificarea unor acte normative. </w:t>
      </w:r>
    </w:p>
    <w:p w14:paraId="737752CB" w14:textId="77777777" w:rsidR="0097451A" w:rsidRDefault="0097451A" w:rsidP="0097451A">
      <w:pPr>
        <w:spacing w:line="276" w:lineRule="auto"/>
        <w:ind w:firstLine="708"/>
        <w:jc w:val="both"/>
        <w:rPr>
          <w:rFonts w:asciiTheme="minorHAnsi" w:hAnsiTheme="minorHAnsi" w:cstheme="minorHAnsi"/>
          <w:sz w:val="26"/>
          <w:szCs w:val="26"/>
        </w:rPr>
      </w:pPr>
      <w:r>
        <w:rPr>
          <w:rFonts w:asciiTheme="minorHAnsi" w:hAnsiTheme="minorHAnsi" w:cstheme="minorHAnsi"/>
          <w:sz w:val="26"/>
          <w:szCs w:val="26"/>
        </w:rPr>
        <w:t xml:space="preserve">În ceea ce priveşte proiectul de Lege pentru modificarea şi completarea unor acte normative în domeniul pensiilor de serviciu, la data de 20 august 2025, Ministerul Muncii, Familiei, Tineretului şi Solidarităţii Sociale a solicitat Consiliului Superior al Magistraturii exprimarea unui punct de vedere, însă ulterior, acelaşi minister a revenit la adresa anterioară şi a solicitat Consiliului avizul asupra proiectului de lege menţionat, conform atribuţiilor specifice acestei instituţii, fără a preciza un termen în care acesta să fie acordat, deşi legea prevede că termenul de emitere a avizului este de 30 de zile de la sesizare. </w:t>
      </w:r>
    </w:p>
    <w:p w14:paraId="43B01D00" w14:textId="77777777" w:rsidR="0097451A" w:rsidRDefault="0097451A" w:rsidP="0097451A">
      <w:pPr>
        <w:spacing w:line="276" w:lineRule="auto"/>
        <w:ind w:firstLine="708"/>
        <w:jc w:val="both"/>
        <w:rPr>
          <w:rFonts w:asciiTheme="minorHAnsi" w:hAnsiTheme="minorHAnsi" w:cstheme="minorHAnsi"/>
          <w:sz w:val="26"/>
          <w:szCs w:val="26"/>
        </w:rPr>
      </w:pPr>
      <w:r>
        <w:rPr>
          <w:rFonts w:asciiTheme="minorHAnsi" w:hAnsiTheme="minorHAnsi" w:cstheme="minorHAnsi"/>
          <w:sz w:val="26"/>
          <w:szCs w:val="26"/>
        </w:rPr>
        <w:t xml:space="preserve">Cu toate acestea, la data de 29 august 2025, Guvernul a aprobat o altă formă, diferită de cea trimisă la avizare, iar la data de 01 septembrie 2025 - la 9 zile de la data solicitării avizului -, Guvernul şi-a angajat răspunderea în Parlament pe acest proiect de lege. </w:t>
      </w:r>
    </w:p>
    <w:p w14:paraId="56555F17" w14:textId="77777777" w:rsidR="0097451A" w:rsidRDefault="0097451A" w:rsidP="0097451A">
      <w:pPr>
        <w:spacing w:line="276" w:lineRule="auto"/>
        <w:ind w:firstLine="708"/>
        <w:jc w:val="both"/>
        <w:rPr>
          <w:rFonts w:asciiTheme="minorHAnsi" w:hAnsiTheme="minorHAnsi" w:cstheme="minorHAnsi"/>
          <w:sz w:val="26"/>
          <w:szCs w:val="26"/>
        </w:rPr>
      </w:pPr>
      <w:r>
        <w:rPr>
          <w:rFonts w:asciiTheme="minorHAnsi" w:hAnsiTheme="minorHAnsi" w:cstheme="minorHAnsi"/>
          <w:sz w:val="26"/>
          <w:szCs w:val="26"/>
        </w:rPr>
        <w:t xml:space="preserve">Trebuie menţionat că, dată fiind importanţa modificărilor propuse din perspectiva statutului magistraţilor, în procedura de avizare a proiectului de act normativ era absolut necesară consultarea instanţelor judecătoreşti şi a parchetelor de pe lângă acestea, pentru exprimarea unui punct de vedere potrivit art. 56 alin. (1) lit. d) din Legea nr. 304/2022 privind organizarea judiciară, motiv pentru care la data de 21 august 2025 (a doua zi după primirea solicitării de la Ministerul </w:t>
      </w:r>
      <w:r>
        <w:rPr>
          <w:rFonts w:asciiTheme="minorHAnsi" w:hAnsiTheme="minorHAnsi" w:cstheme="minorHAnsi"/>
          <w:sz w:val="26"/>
          <w:szCs w:val="26"/>
        </w:rPr>
        <w:lastRenderedPageBreak/>
        <w:t>Muncii, Familiei, Tineretului şi Solidarităţii Sociale), Consiliul a transmis acest proiect la instanţe şi parchete pentru analiză.</w:t>
      </w:r>
    </w:p>
    <w:p w14:paraId="242DEA3F" w14:textId="77777777" w:rsidR="0097451A" w:rsidRDefault="0097451A" w:rsidP="0097451A">
      <w:pPr>
        <w:spacing w:line="276" w:lineRule="auto"/>
        <w:ind w:firstLine="708"/>
        <w:jc w:val="both"/>
        <w:rPr>
          <w:rFonts w:asciiTheme="minorHAnsi" w:hAnsiTheme="minorHAnsi" w:cstheme="minorHAnsi"/>
          <w:sz w:val="26"/>
          <w:szCs w:val="26"/>
        </w:rPr>
      </w:pPr>
      <w:r>
        <w:rPr>
          <w:rFonts w:asciiTheme="minorHAnsi" w:hAnsiTheme="minorHAnsi" w:cstheme="minorHAnsi"/>
          <w:sz w:val="26"/>
          <w:szCs w:val="26"/>
        </w:rPr>
        <w:t>La data de 20 octombrie 2025, Curtea Constituțională a admis obiecția de neconstituționalitate formulată de Înalta Curte de Casație și Justiție – Secțiile Unite și a constatat că </w:t>
      </w:r>
      <w:r>
        <w:rPr>
          <w:rFonts w:asciiTheme="minorHAnsi" w:hAnsiTheme="minorHAnsi" w:cstheme="minorHAnsi"/>
          <w:iCs/>
          <w:sz w:val="26"/>
          <w:szCs w:val="26"/>
        </w:rPr>
        <w:t>Legea pentru modificarea și completarea unor acte normative din domeniul pensiilor de serviciu</w:t>
      </w:r>
      <w:r>
        <w:rPr>
          <w:rFonts w:asciiTheme="minorHAnsi" w:hAnsiTheme="minorHAnsi" w:cstheme="minorHAnsi"/>
          <w:sz w:val="26"/>
          <w:szCs w:val="26"/>
        </w:rPr>
        <w:t> în ansamblu este neconstituțională. Astfel, a constatat că lipsa avizului Consiliului Superior al Magistraturii coroborat cu neașteptarea curgerii de către Guvern a întregului termen de 30 de zile necesar obținerii acestuia </w:t>
      </w:r>
      <w:r>
        <w:rPr>
          <w:rFonts w:asciiTheme="minorHAnsi" w:hAnsiTheme="minorHAnsi" w:cstheme="minorHAnsi"/>
          <w:bCs/>
          <w:sz w:val="26"/>
          <w:szCs w:val="26"/>
        </w:rPr>
        <w:t>încalcă art. 1 alin. (3) și (5) raportat la art. 133 alin. (1) și art. 134 alin. (4) din Constituție</w:t>
      </w:r>
      <w:r>
        <w:rPr>
          <w:rFonts w:asciiTheme="minorHAnsi" w:hAnsiTheme="minorHAnsi" w:cstheme="minorHAnsi"/>
          <w:sz w:val="26"/>
          <w:szCs w:val="26"/>
        </w:rPr>
        <w:t>.</w:t>
      </w:r>
    </w:p>
    <w:p w14:paraId="0D5D8EE1" w14:textId="0CEACA2E" w:rsidR="008C02B4" w:rsidRDefault="00F818C6" w:rsidP="00F818C6">
      <w:pPr>
        <w:spacing w:line="276" w:lineRule="auto"/>
        <w:ind w:firstLine="708"/>
        <w:jc w:val="both"/>
        <w:rPr>
          <w:rFonts w:asciiTheme="minorHAnsi" w:hAnsiTheme="minorHAnsi" w:cstheme="minorHAnsi"/>
          <w:noProof/>
          <w:sz w:val="26"/>
          <w:szCs w:val="26"/>
        </w:rPr>
      </w:pPr>
      <w:r w:rsidRPr="00295D06">
        <w:rPr>
          <w:rStyle w:val="rvts7"/>
          <w:rFonts w:asciiTheme="minorHAnsi" w:hAnsiTheme="minorHAnsi" w:cstheme="minorHAnsi"/>
          <w:sz w:val="26"/>
          <w:szCs w:val="26"/>
        </w:rPr>
        <w:t>În urma examinării Proiectului de Lege pentru modificarea și completarea unor acte normative din domeniul pensiilor de serviciu, transmis spre avizare de Ministerul Muncii, Familiei, Tineretului și Solidarității Sociale</w:t>
      </w:r>
      <w:r>
        <w:rPr>
          <w:rStyle w:val="rvts7"/>
          <w:rFonts w:asciiTheme="minorHAnsi" w:hAnsiTheme="minorHAnsi" w:cstheme="minorHAnsi"/>
          <w:sz w:val="26"/>
          <w:szCs w:val="26"/>
        </w:rPr>
        <w:t xml:space="preserve"> în luna noiembrie 2025, </w:t>
      </w:r>
      <w:r w:rsidRPr="00295D06">
        <w:rPr>
          <w:rStyle w:val="rvts7"/>
          <w:rFonts w:asciiTheme="minorHAnsi" w:hAnsiTheme="minorHAnsi" w:cstheme="minorHAnsi"/>
          <w:sz w:val="26"/>
          <w:szCs w:val="26"/>
        </w:rPr>
        <w:t>prin Hotărârea nr. 158 din 27 noiembrie 2025, Plenul Consiliului Superior al Magistraturii a avizat negativ Proiectul de Lege pentru modificarea și completarea unor acte normative din domeniul pensiilor de serviciu.</w:t>
      </w:r>
    </w:p>
    <w:p w14:paraId="10803427" w14:textId="77777777" w:rsidR="0097451A" w:rsidRDefault="0097451A" w:rsidP="0097451A">
      <w:pPr>
        <w:spacing w:line="276" w:lineRule="auto"/>
        <w:ind w:firstLine="720"/>
        <w:jc w:val="both"/>
        <w:rPr>
          <w:rFonts w:asciiTheme="minorHAnsi" w:hAnsiTheme="minorHAnsi" w:cstheme="minorHAnsi"/>
          <w:noProof/>
          <w:sz w:val="26"/>
          <w:szCs w:val="26"/>
        </w:rPr>
      </w:pPr>
      <w:r>
        <w:rPr>
          <w:rFonts w:asciiTheme="minorHAnsi" w:hAnsiTheme="minorHAnsi" w:cstheme="minorHAnsi"/>
          <w:noProof/>
          <w:sz w:val="26"/>
          <w:szCs w:val="26"/>
        </w:rPr>
        <w:t xml:space="preserve">În ceea ce privește </w:t>
      </w:r>
      <w:r>
        <w:rPr>
          <w:rFonts w:asciiTheme="minorHAnsi" w:hAnsiTheme="minorHAnsi" w:cstheme="minorHAnsi"/>
          <w:bCs/>
          <w:noProof/>
          <w:sz w:val="26"/>
          <w:szCs w:val="26"/>
        </w:rPr>
        <w:t>relația Consiliului cu Președintele României,</w:t>
      </w:r>
      <w:r>
        <w:rPr>
          <w:rFonts w:asciiTheme="minorHAnsi" w:hAnsiTheme="minorHAnsi" w:cstheme="minorHAnsi"/>
          <w:b/>
          <w:noProof/>
          <w:sz w:val="26"/>
          <w:szCs w:val="26"/>
        </w:rPr>
        <w:t xml:space="preserve"> </w:t>
      </w:r>
      <w:r>
        <w:rPr>
          <w:rFonts w:asciiTheme="minorHAnsi" w:hAnsiTheme="minorHAnsi" w:cstheme="minorHAnsi"/>
          <w:noProof/>
          <w:sz w:val="26"/>
          <w:szCs w:val="26"/>
        </w:rPr>
        <w:t xml:space="preserve">aceasta s-a circumscris prevederilor art. 134 din Constituția României şi celor din legile organice privind justiția, în temeiul cărora au fost înaintate Președintelui României hotărârile Secţiilor Consiliului Superior al Magistraturii privind propunerile de numire şi de eliberare din funcțiile de judecător şi procuror. </w:t>
      </w:r>
    </w:p>
    <w:p w14:paraId="215D77AA" w14:textId="77777777" w:rsidR="0097451A" w:rsidRDefault="0097451A" w:rsidP="0097451A">
      <w:pPr>
        <w:spacing w:line="276" w:lineRule="auto"/>
        <w:ind w:firstLine="720"/>
        <w:jc w:val="both"/>
        <w:rPr>
          <w:rFonts w:asciiTheme="minorHAnsi" w:hAnsiTheme="minorHAnsi" w:cstheme="minorHAnsi"/>
          <w:noProof/>
          <w:sz w:val="26"/>
          <w:szCs w:val="26"/>
        </w:rPr>
      </w:pPr>
      <w:r>
        <w:rPr>
          <w:rFonts w:asciiTheme="minorHAnsi" w:hAnsiTheme="minorHAnsi" w:cstheme="minorHAnsi"/>
          <w:noProof/>
          <w:sz w:val="26"/>
          <w:szCs w:val="26"/>
        </w:rPr>
        <w:t>În cursul anului 2025, activitatea Consiliului Superior al Magistraturii a urmărit, de asemenea, consolidarea</w:t>
      </w:r>
      <w:r>
        <w:rPr>
          <w:rFonts w:asciiTheme="minorHAnsi" w:hAnsiTheme="minorHAnsi" w:cstheme="minorHAnsi"/>
          <w:bCs/>
          <w:noProof/>
          <w:sz w:val="26"/>
          <w:szCs w:val="26"/>
        </w:rPr>
        <w:t xml:space="preserve"> capacității instituționale a Institutului Național al Magistraturii și Școlii Naționale de Grefieri,</w:t>
      </w:r>
      <w:r>
        <w:rPr>
          <w:rFonts w:asciiTheme="minorHAnsi" w:hAnsiTheme="minorHAnsi" w:cstheme="minorHAnsi"/>
          <w:noProof/>
          <w:sz w:val="26"/>
          <w:szCs w:val="26"/>
        </w:rPr>
        <w:t xml:space="preserve"> asigurând participarea celor două instituții în cadrul proiectelor cu finanțare externă ce asigură formarea judecătorilor, procurorilor și grefierilor, dar şi completarea echipelor de formatori.</w:t>
      </w:r>
    </w:p>
    <w:p w14:paraId="19C470C7" w14:textId="1E8DCEDB" w:rsidR="0097451A" w:rsidRPr="00B41651" w:rsidRDefault="0097451A" w:rsidP="0097451A">
      <w:pPr>
        <w:spacing w:line="276" w:lineRule="auto"/>
        <w:ind w:firstLine="720"/>
        <w:jc w:val="both"/>
        <w:rPr>
          <w:rFonts w:asciiTheme="minorHAnsi" w:hAnsiTheme="minorHAnsi" w:cstheme="minorHAnsi"/>
          <w:noProof/>
          <w:sz w:val="26"/>
          <w:szCs w:val="26"/>
        </w:rPr>
      </w:pPr>
      <w:r w:rsidRPr="00B41651">
        <w:rPr>
          <w:rFonts w:asciiTheme="minorHAnsi" w:hAnsiTheme="minorHAnsi" w:cstheme="minorHAnsi"/>
          <w:noProof/>
          <w:sz w:val="26"/>
          <w:szCs w:val="26"/>
        </w:rPr>
        <w:t xml:space="preserve">În ceea ce privește </w:t>
      </w:r>
      <w:r w:rsidRPr="00B41651">
        <w:rPr>
          <w:rFonts w:asciiTheme="minorHAnsi" w:hAnsiTheme="minorHAnsi" w:cstheme="minorHAnsi"/>
          <w:bCs/>
          <w:noProof/>
          <w:sz w:val="26"/>
          <w:szCs w:val="26"/>
        </w:rPr>
        <w:t>atribuțiile jurisdicționale în materie disciplinară</w:t>
      </w:r>
      <w:r w:rsidRPr="00B41651">
        <w:rPr>
          <w:rFonts w:asciiTheme="minorHAnsi" w:hAnsiTheme="minorHAnsi" w:cstheme="minorHAnsi"/>
          <w:noProof/>
          <w:sz w:val="26"/>
          <w:szCs w:val="26"/>
        </w:rPr>
        <w:t xml:space="preserve"> ale celor două secţii ale Consiliului, datele statistice indică un număr de 8 sancțiuni disciplinare aplicate judecătorilor, dintre care 4 sancțiuni disciplinare nu sunt definitive, și 3 sancțiuni disciplinare aplicate procurorilor, dintre care una este nedefinitivă,</w:t>
      </w:r>
      <w:r w:rsidR="00161763" w:rsidRPr="00B41651">
        <w:rPr>
          <w:rFonts w:asciiTheme="minorHAnsi" w:hAnsiTheme="minorHAnsi" w:cstheme="minorHAnsi"/>
          <w:noProof/>
          <w:sz w:val="26"/>
          <w:szCs w:val="26"/>
        </w:rPr>
        <w:t xml:space="preserve"> iar</w:t>
      </w:r>
      <w:r w:rsidRPr="00B41651">
        <w:rPr>
          <w:rFonts w:asciiTheme="minorHAnsi" w:hAnsiTheme="minorHAnsi" w:cstheme="minorHAnsi"/>
          <w:noProof/>
          <w:sz w:val="26"/>
          <w:szCs w:val="26"/>
        </w:rPr>
        <w:t xml:space="preserve"> </w:t>
      </w:r>
      <w:r w:rsidRPr="00B41651">
        <w:rPr>
          <w:rFonts w:asciiTheme="minorHAnsi" w:hAnsiTheme="minorHAnsi" w:cstheme="minorHAnsi"/>
          <w:bCs/>
          <w:sz w:val="26"/>
          <w:szCs w:val="26"/>
        </w:rPr>
        <w:t>o acţiune disciplinară a fost admisă în parte, hotârârea fiind definitivă.</w:t>
      </w:r>
    </w:p>
    <w:p w14:paraId="202748BA" w14:textId="77777777" w:rsidR="0097451A" w:rsidRDefault="0097451A" w:rsidP="0097451A">
      <w:pPr>
        <w:spacing w:line="276" w:lineRule="auto"/>
        <w:ind w:firstLine="720"/>
        <w:jc w:val="both"/>
        <w:rPr>
          <w:rFonts w:asciiTheme="minorHAnsi" w:hAnsiTheme="minorHAnsi" w:cstheme="minorHAnsi"/>
          <w:noProof/>
          <w:sz w:val="26"/>
          <w:szCs w:val="26"/>
        </w:rPr>
      </w:pPr>
      <w:r>
        <w:rPr>
          <w:rFonts w:asciiTheme="minorHAnsi" w:hAnsiTheme="minorHAnsi" w:cstheme="minorHAnsi"/>
          <w:bCs/>
          <w:noProof/>
          <w:sz w:val="26"/>
          <w:szCs w:val="26"/>
        </w:rPr>
        <w:t>Subsumat rolului principal al Consiliului Superior al Magistraturii,</w:t>
      </w:r>
      <w:r>
        <w:rPr>
          <w:rFonts w:asciiTheme="minorHAnsi" w:hAnsiTheme="minorHAnsi" w:cstheme="minorHAnsi"/>
          <w:noProof/>
          <w:sz w:val="26"/>
          <w:szCs w:val="26"/>
        </w:rPr>
        <w:t xml:space="preserve"> acela de </w:t>
      </w:r>
      <w:r>
        <w:rPr>
          <w:rFonts w:asciiTheme="minorHAnsi" w:hAnsiTheme="minorHAnsi" w:cstheme="minorHAnsi"/>
          <w:iCs/>
          <w:noProof/>
          <w:sz w:val="26"/>
          <w:szCs w:val="26"/>
        </w:rPr>
        <w:t>garant al independenței justiției</w:t>
      </w:r>
      <w:r>
        <w:rPr>
          <w:rFonts w:asciiTheme="minorHAnsi" w:hAnsiTheme="minorHAnsi" w:cstheme="minorHAnsi"/>
          <w:noProof/>
          <w:sz w:val="26"/>
          <w:szCs w:val="26"/>
        </w:rPr>
        <w:t xml:space="preserve">, în anul 2025, </w:t>
      </w:r>
      <w:r>
        <w:rPr>
          <w:rFonts w:asciiTheme="minorHAnsi" w:hAnsiTheme="minorHAnsi" w:cstheme="minorHAnsi"/>
          <w:bCs/>
          <w:noProof/>
          <w:sz w:val="26"/>
          <w:szCs w:val="26"/>
        </w:rPr>
        <w:t>Consiliul a adoptat 14 hotărâri</w:t>
      </w:r>
      <w:r>
        <w:rPr>
          <w:rFonts w:asciiTheme="minorHAnsi" w:hAnsiTheme="minorHAnsi" w:cstheme="minorHAnsi"/>
          <w:noProof/>
          <w:sz w:val="26"/>
          <w:szCs w:val="26"/>
        </w:rPr>
        <w:t xml:space="preserve"> având ca obiect apărarea reputației profesionale şi a independenței şi imparțialității judecătorilor și procurorilor.</w:t>
      </w:r>
    </w:p>
    <w:p w14:paraId="1E1DD785" w14:textId="77777777" w:rsidR="0097451A" w:rsidRDefault="0097451A" w:rsidP="0097451A">
      <w:pPr>
        <w:spacing w:line="276" w:lineRule="auto"/>
        <w:ind w:firstLine="720"/>
        <w:jc w:val="both"/>
        <w:rPr>
          <w:rFonts w:asciiTheme="minorHAnsi" w:hAnsiTheme="minorHAnsi" w:cstheme="minorHAnsi"/>
          <w:noProof/>
          <w:sz w:val="26"/>
          <w:szCs w:val="26"/>
        </w:rPr>
      </w:pPr>
      <w:r>
        <w:rPr>
          <w:rFonts w:asciiTheme="minorHAnsi" w:hAnsiTheme="minorHAnsi" w:cstheme="minorHAnsi"/>
          <w:bCs/>
          <w:noProof/>
          <w:sz w:val="26"/>
          <w:szCs w:val="26"/>
        </w:rPr>
        <w:t>Secția pentru judecători a Consiliului Superior al Magistraturii, în perioada de referință, a soluționat 7</w:t>
      </w:r>
      <w:r>
        <w:rPr>
          <w:rFonts w:asciiTheme="minorHAnsi" w:hAnsiTheme="minorHAnsi" w:cstheme="minorHAnsi"/>
          <w:noProof/>
          <w:sz w:val="26"/>
          <w:szCs w:val="26"/>
        </w:rPr>
        <w:t xml:space="preserve"> sesizări având ca obiect apărarea reputației profesionale şi a independenței şi imparțialității judecătorilor, dintre care 6 hotărâri de admitere şi o hotărâre de respingere.</w:t>
      </w:r>
    </w:p>
    <w:p w14:paraId="79E1DBE2" w14:textId="77777777" w:rsidR="0097451A" w:rsidRDefault="0097451A" w:rsidP="0097451A">
      <w:pPr>
        <w:spacing w:line="276" w:lineRule="auto"/>
        <w:ind w:firstLine="720"/>
        <w:jc w:val="both"/>
        <w:rPr>
          <w:rFonts w:asciiTheme="minorHAnsi" w:hAnsiTheme="minorHAnsi" w:cstheme="minorHAnsi"/>
          <w:bCs/>
          <w:noProof/>
          <w:sz w:val="26"/>
          <w:szCs w:val="26"/>
        </w:rPr>
      </w:pPr>
      <w:r>
        <w:rPr>
          <w:rFonts w:asciiTheme="minorHAnsi" w:hAnsiTheme="minorHAnsi" w:cstheme="minorHAnsi"/>
          <w:bCs/>
          <w:noProof/>
          <w:sz w:val="26"/>
          <w:szCs w:val="26"/>
        </w:rPr>
        <w:t xml:space="preserve">Totodată, </w:t>
      </w:r>
      <w:r>
        <w:rPr>
          <w:rFonts w:asciiTheme="minorHAnsi" w:hAnsiTheme="minorHAnsi" w:cstheme="minorHAnsi"/>
          <w:noProof/>
          <w:sz w:val="26"/>
          <w:szCs w:val="26"/>
        </w:rPr>
        <w:t>Secția pentru procurori a pronunțat 7 hotărâri</w:t>
      </w:r>
      <w:r>
        <w:rPr>
          <w:rFonts w:asciiTheme="minorHAnsi" w:hAnsiTheme="minorHAnsi" w:cstheme="minorHAnsi"/>
          <w:b/>
          <w:bCs/>
          <w:noProof/>
          <w:sz w:val="26"/>
          <w:szCs w:val="26"/>
        </w:rPr>
        <w:t xml:space="preserve"> </w:t>
      </w:r>
      <w:r>
        <w:rPr>
          <w:rFonts w:asciiTheme="minorHAnsi" w:hAnsiTheme="minorHAnsi" w:cstheme="minorHAnsi"/>
          <w:noProof/>
          <w:sz w:val="26"/>
          <w:szCs w:val="26"/>
        </w:rPr>
        <w:t xml:space="preserve">având ca obiect cereri privind apărarea reputației profesionale şi a independenței şi imparțialității procurorilor, </w:t>
      </w:r>
      <w:r>
        <w:rPr>
          <w:rFonts w:asciiTheme="minorHAnsi" w:hAnsiTheme="minorHAnsi" w:cstheme="minorHAnsi"/>
          <w:bCs/>
          <w:noProof/>
          <w:sz w:val="26"/>
          <w:szCs w:val="26"/>
        </w:rPr>
        <w:t>dintre care 6 hotărâri de admitere și o hotărâre de respingere.</w:t>
      </w:r>
    </w:p>
    <w:p w14:paraId="68BD73BF" w14:textId="77777777" w:rsidR="0097451A" w:rsidRDefault="0097451A" w:rsidP="0097451A">
      <w:pPr>
        <w:spacing w:line="276" w:lineRule="auto"/>
        <w:ind w:firstLine="720"/>
        <w:jc w:val="both"/>
        <w:rPr>
          <w:rFonts w:asciiTheme="minorHAnsi" w:hAnsiTheme="minorHAnsi" w:cstheme="minorHAnsi"/>
          <w:noProof/>
          <w:sz w:val="26"/>
          <w:szCs w:val="26"/>
        </w:rPr>
      </w:pPr>
      <w:r>
        <w:rPr>
          <w:rFonts w:asciiTheme="minorHAnsi" w:hAnsiTheme="minorHAnsi" w:cstheme="minorHAnsi"/>
          <w:bCs/>
          <w:noProof/>
          <w:sz w:val="26"/>
          <w:szCs w:val="26"/>
        </w:rPr>
        <w:t xml:space="preserve">Se impune menţionată, de asemenea, </w:t>
      </w:r>
      <w:r>
        <w:rPr>
          <w:rFonts w:asciiTheme="minorHAnsi" w:hAnsiTheme="minorHAnsi" w:cstheme="minorHAnsi"/>
          <w:noProof/>
          <w:sz w:val="26"/>
          <w:szCs w:val="26"/>
        </w:rPr>
        <w:t xml:space="preserve">continuarea colaborării Consiliului cu diverse organisme europene, participarea sa la aceste structuri vizând integrarea sistemului judiciar românesc în spațiul juridic european, precum și alinierea la standardele comune privind independența, eficiența și transparența justiției. Activitatea instituției în domeniul relațiilor europene și internaționale s-a desfășurat constant și dinamic, prin cooperarea cu instituții și </w:t>
      </w:r>
      <w:r>
        <w:rPr>
          <w:rFonts w:asciiTheme="minorHAnsi" w:hAnsiTheme="minorHAnsi" w:cstheme="minorHAnsi"/>
          <w:noProof/>
          <w:sz w:val="26"/>
          <w:szCs w:val="26"/>
        </w:rPr>
        <w:lastRenderedPageBreak/>
        <w:t>organisme europene și internaționale, participarea la proiecte și studii comparative, precum și implicarea în analize referitoare la eficiența sistemului judiciar și buna administrare a justiției.</w:t>
      </w:r>
    </w:p>
    <w:p w14:paraId="470E4FF6" w14:textId="77777777" w:rsidR="0097451A" w:rsidRDefault="0097451A" w:rsidP="0097451A">
      <w:pPr>
        <w:spacing w:line="276" w:lineRule="auto"/>
        <w:ind w:right="26" w:firstLine="720"/>
        <w:jc w:val="both"/>
        <w:rPr>
          <w:rFonts w:asciiTheme="minorHAnsi" w:hAnsiTheme="minorHAnsi" w:cstheme="minorHAnsi"/>
          <w:sz w:val="26"/>
          <w:szCs w:val="26"/>
        </w:rPr>
      </w:pPr>
      <w:r>
        <w:rPr>
          <w:rFonts w:asciiTheme="minorHAnsi" w:hAnsiTheme="minorHAnsi" w:cstheme="minorHAnsi"/>
          <w:sz w:val="26"/>
          <w:szCs w:val="26"/>
        </w:rPr>
        <w:t xml:space="preserve">Implicarea activă a instituției în mecanismele de evaluare ale Uniunii Europene, precum Mecanismul Statului de Drept, Tabloul de bord privind justiția în U.E. sau rapoartele Comisiei Europene pentru Eficiența Justiției, a contribuit la conturarea unei imagini obiective a progreselor sistemului judiciar românesc și la consolidarea încrederii partenerilor europeni în reformele derulate în acest cadru. Participarea constantă la activități de această natură reflectă inclusiv angajamentul instituției față de valorile fundamentale ale statului de drept. </w:t>
      </w:r>
    </w:p>
    <w:p w14:paraId="0B1E6796" w14:textId="77777777" w:rsidR="0097451A" w:rsidRDefault="0097451A" w:rsidP="0097451A">
      <w:pPr>
        <w:spacing w:line="276" w:lineRule="auto"/>
        <w:ind w:right="26" w:firstLine="720"/>
        <w:jc w:val="both"/>
        <w:rPr>
          <w:rFonts w:asciiTheme="minorHAnsi" w:hAnsiTheme="minorHAnsi" w:cstheme="minorHAnsi"/>
          <w:sz w:val="26"/>
          <w:szCs w:val="26"/>
        </w:rPr>
      </w:pPr>
      <w:r>
        <w:rPr>
          <w:rFonts w:asciiTheme="minorHAnsi" w:hAnsiTheme="minorHAnsi" w:cstheme="minorHAnsi"/>
          <w:sz w:val="26"/>
          <w:szCs w:val="26"/>
        </w:rPr>
        <w:t xml:space="preserve">Totodată, Consiliul a menținut o colaborare activă în cadrul Rețelei Europene a Consiliilor Judiciare, contribuind la schimburile de bune practici între statele membre și la consolidarea independenței sistemelor judiciare, precum și la sprijinirea implementării unor standarde comune de funcționare a justiției. </w:t>
      </w:r>
    </w:p>
    <w:p w14:paraId="2878A974" w14:textId="77777777" w:rsidR="0097451A" w:rsidRDefault="0097451A" w:rsidP="0097451A">
      <w:pPr>
        <w:spacing w:line="276" w:lineRule="auto"/>
        <w:ind w:firstLine="720"/>
        <w:jc w:val="both"/>
        <w:rPr>
          <w:rFonts w:asciiTheme="minorHAnsi" w:hAnsiTheme="minorHAnsi" w:cstheme="minorHAnsi"/>
          <w:noProof/>
          <w:sz w:val="26"/>
          <w:szCs w:val="26"/>
        </w:rPr>
      </w:pPr>
      <w:r>
        <w:rPr>
          <w:rFonts w:asciiTheme="minorHAnsi" w:hAnsiTheme="minorHAnsi" w:cstheme="minorHAnsi"/>
          <w:bCs/>
          <w:noProof/>
          <w:sz w:val="26"/>
          <w:szCs w:val="26"/>
        </w:rPr>
        <w:t xml:space="preserve">În ceea ce privește mecanismul Statului de drept, Consiliul </w:t>
      </w:r>
      <w:r>
        <w:rPr>
          <w:rFonts w:asciiTheme="minorHAnsi" w:hAnsiTheme="minorHAnsi" w:cstheme="minorHAnsi"/>
          <w:noProof/>
          <w:sz w:val="26"/>
          <w:szCs w:val="26"/>
        </w:rPr>
        <w:t>a transmis contribuția sa anuală la chestionarul Comisiei Europene și a participat la reuniunile de dialog organizate. Comisia Europeană a publicat al șaselea Raport privind Statul de Drept, documentul menționând faptul că România a făcut progrese în îndeplinirea recomandărilor din rapoartele precedente, fiind parcurși pași semnificativi în direcția implementării recomandărilor din anul 2024 referitoare la legile justiției, în special privind independența, calitatea și eficiența sistemului judiciar. De asemenea, a fost evidențiată îmbunătățirea transparenței jurisprudenței disciplinare, inclusiv ca urmare a demersurilor întreprinse de Consiliu pentru diseminarea acesteia, prin intermediul aplicației ReJust. Raportul subliniază, tototdată,  progresele înregistrate în ceea ce privește recomandarea de a asigura resurse umane adecvate pentru sistemul de justiție, ca urmare a măsurilor realizate de către Consiliul Superior al Magistraturii.</w:t>
      </w:r>
    </w:p>
    <w:p w14:paraId="38099751" w14:textId="77777777" w:rsidR="0097451A" w:rsidRDefault="0097451A" w:rsidP="0097451A">
      <w:pPr>
        <w:spacing w:line="276" w:lineRule="auto"/>
        <w:ind w:right="-2" w:firstLine="709"/>
        <w:jc w:val="both"/>
        <w:rPr>
          <w:rFonts w:asciiTheme="minorHAnsi" w:hAnsiTheme="minorHAnsi" w:cstheme="minorHAnsi"/>
          <w:noProof/>
          <w:sz w:val="26"/>
          <w:szCs w:val="26"/>
        </w:rPr>
      </w:pPr>
      <w:r>
        <w:rPr>
          <w:rFonts w:asciiTheme="minorHAnsi" w:hAnsiTheme="minorHAnsi" w:cstheme="minorHAnsi"/>
          <w:noProof/>
          <w:sz w:val="26"/>
          <w:szCs w:val="26"/>
        </w:rPr>
        <w:t xml:space="preserve">În cursul anului 2025, au fost continuate acțiunile de cooperare cu reprezentanţi ai sistemelor judiciare atât din spaţiul european, cât şi la nivel internaţional, cu scopul de a promova schimbul de bune practici în domenii prioritare pentru activitatea Consiliului și a de a consolida poziția instituțională și reprezentativitatea României în forurile internaționale. </w:t>
      </w:r>
    </w:p>
    <w:p w14:paraId="62FEBF89" w14:textId="77777777" w:rsidR="0097451A" w:rsidRDefault="0097451A" w:rsidP="0097451A">
      <w:pPr>
        <w:spacing w:line="276" w:lineRule="auto"/>
        <w:ind w:firstLine="720"/>
        <w:jc w:val="both"/>
        <w:rPr>
          <w:rFonts w:asciiTheme="minorHAnsi" w:hAnsiTheme="minorHAnsi" w:cstheme="minorHAnsi"/>
          <w:noProof/>
          <w:sz w:val="26"/>
          <w:szCs w:val="26"/>
        </w:rPr>
      </w:pPr>
      <w:r>
        <w:rPr>
          <w:rFonts w:asciiTheme="minorHAnsi" w:hAnsiTheme="minorHAnsi" w:cstheme="minorHAnsi"/>
          <w:noProof/>
          <w:sz w:val="26"/>
          <w:szCs w:val="26"/>
        </w:rPr>
        <w:t>În ceea ce privește activitatea derulată în cadrul Rețelei Europene a Consiliilor Judiciare, pe parcusul anului 2025 a fost asigurată reprezentarea Consiliului Superior al Magistraturii la acțiunile cuprinse în planul de activități al acestui for. Referitor la colaborarea în cadrul proiectului Consiliului Europei – Comisia Europeană pentru Eficientizarea Justiției, implicarea Consiliului a fost una activă, aceasta realizându-se atât prin reprezentarea instituției, la nivel tehnic, în activitatea specifică, precum și prin transmiterea contribuției României la chestionarele elaborate de C.E.P.E.J., care stau la baza evaluărilor sistemelor judiciare naționale ale statelor membre ale Consiliului Europei.</w:t>
      </w:r>
    </w:p>
    <w:p w14:paraId="6206E50D" w14:textId="77777777" w:rsidR="0097451A" w:rsidRDefault="0097451A" w:rsidP="0097451A">
      <w:pPr>
        <w:spacing w:line="276" w:lineRule="auto"/>
        <w:ind w:firstLine="720"/>
        <w:jc w:val="both"/>
        <w:rPr>
          <w:rFonts w:asciiTheme="minorHAnsi" w:hAnsiTheme="minorHAnsi" w:cstheme="minorHAnsi"/>
          <w:noProof/>
          <w:sz w:val="26"/>
          <w:szCs w:val="26"/>
        </w:rPr>
      </w:pPr>
      <w:r>
        <w:rPr>
          <w:rFonts w:asciiTheme="minorHAnsi" w:hAnsiTheme="minorHAnsi" w:cstheme="minorHAnsi"/>
          <w:noProof/>
          <w:sz w:val="26"/>
          <w:szCs w:val="26"/>
        </w:rPr>
        <w:t>În cursul anului 2025, Consiliul a susţinut constant, în limita atribuțiilor care îi revin, eforturile autorităților naționale în procesul de aderare a României la O.C.D.E.. Astfel, în contextul evaluărilor periodice realizate de comitetele acestui for interguvernamental, pentru îmbunătățirea eforturilor de aliniere la standardele și bunele practici ale O.C.D.E. pe termen mediu și lung, s-a continuat realizarea raportărilor privind activitatea grupului de lucru interinstituțional.</w:t>
      </w:r>
    </w:p>
    <w:p w14:paraId="3D8E0E59" w14:textId="77777777" w:rsidR="0097451A" w:rsidRDefault="0097451A" w:rsidP="0097451A">
      <w:pPr>
        <w:widowControl w:val="0"/>
        <w:autoSpaceDE w:val="0"/>
        <w:autoSpaceDN w:val="0"/>
        <w:adjustRightInd w:val="0"/>
        <w:spacing w:line="276" w:lineRule="auto"/>
        <w:ind w:right="-2" w:firstLine="709"/>
        <w:jc w:val="both"/>
        <w:rPr>
          <w:rFonts w:asciiTheme="minorHAnsi" w:hAnsiTheme="minorHAnsi" w:cstheme="minorHAnsi"/>
          <w:noProof/>
          <w:sz w:val="26"/>
          <w:szCs w:val="26"/>
        </w:rPr>
      </w:pPr>
      <w:r>
        <w:rPr>
          <w:rFonts w:asciiTheme="minorHAnsi" w:hAnsiTheme="minorHAnsi" w:cstheme="minorHAnsi"/>
          <w:noProof/>
          <w:sz w:val="26"/>
          <w:szCs w:val="26"/>
        </w:rPr>
        <w:t>Totodată, Consiliul a finalizat, în anul 2025, implementarea proiectului „Îmbunătățirea digitalizării la nivelul Consiliului Superior al Magistraturii”, iar ca urmare a implementării proiectului a fost atins obiectivul de consolidare a capacității instituționale a Consiliului pentru asigurarea îndeplinirii adecvate a atribuțiilor, prin sporirea infrastructurii IT și a securității informatice.</w:t>
      </w:r>
    </w:p>
    <w:p w14:paraId="0DC93205" w14:textId="77777777" w:rsidR="0097451A" w:rsidRDefault="0097451A" w:rsidP="0097451A">
      <w:pPr>
        <w:spacing w:line="276" w:lineRule="auto"/>
        <w:ind w:firstLine="709"/>
        <w:jc w:val="both"/>
        <w:rPr>
          <w:rFonts w:asciiTheme="minorHAnsi" w:hAnsiTheme="minorHAnsi" w:cstheme="minorHAnsi"/>
          <w:sz w:val="26"/>
          <w:szCs w:val="26"/>
        </w:rPr>
      </w:pPr>
      <w:r>
        <w:rPr>
          <w:rFonts w:asciiTheme="minorHAnsi" w:hAnsiTheme="minorHAnsi" w:cstheme="minorHAnsi"/>
          <w:sz w:val="26"/>
          <w:szCs w:val="26"/>
        </w:rPr>
        <w:lastRenderedPageBreak/>
        <w:t>De asemenea, în luna aprilie 2025, Consiliul Superior al Magistraturii a semnat contractul de finanțare aferent Componentei de program 5 - Îmbunătățirea și consolidarea sistemului de justiție pentru minori, un demers de anvergură finanțat în cadrul Programului de Cooperare Elvețiano-Român - Programul de securitate și siguranță publică (Justiție). Această componentă se concentrează pe dezvoltarea unui sistem judiciar mai prietenos cu copiii, cu impact direct asupra protecției acestora în timpul procedurilor judiciare, pentru a reduce riscul de revictimizare a acestora și traumele sistemice.</w:t>
      </w:r>
    </w:p>
    <w:p w14:paraId="7A909A71" w14:textId="77777777" w:rsidR="0097451A" w:rsidRDefault="0097451A" w:rsidP="0097451A">
      <w:pPr>
        <w:spacing w:line="276" w:lineRule="auto"/>
        <w:ind w:firstLine="709"/>
        <w:jc w:val="both"/>
        <w:rPr>
          <w:rFonts w:asciiTheme="minorHAnsi" w:hAnsiTheme="minorHAnsi" w:cstheme="minorHAnsi"/>
          <w:noProof/>
          <w:sz w:val="26"/>
          <w:szCs w:val="26"/>
        </w:rPr>
      </w:pPr>
      <w:r>
        <w:rPr>
          <w:rFonts w:asciiTheme="minorHAnsi" w:hAnsiTheme="minorHAnsi" w:cstheme="minorHAnsi"/>
          <w:sz w:val="26"/>
          <w:szCs w:val="26"/>
        </w:rPr>
        <w:t>În domeniul digitalizării justiţiei, departamentul de specialitate din cadrul Consiliului a continuat demersurile de integrare a sistemelor de inteligenţă artificială în aplicaţiile informatice dezvoltate, urmărind sporirea eficienţei instanţelor şi parchetelor prin utilizarea acestora în cadrul redactării actelor de procedură şi scurtarea timpilor de lucru în activitatea magistraţilor. De asemenea, a fost constant îmbunătăţită aplicaţia informatică ReJust şi asigurat accesul publicului la hotărârile judecătoreşti anonimizate, pentru a cunoaşte jurisprudenţa instanţelor şi a creşte nivelul de transparenţă al sistemului judiciar.</w:t>
      </w:r>
    </w:p>
    <w:p w14:paraId="1881DCD6" w14:textId="77777777" w:rsidR="0097451A" w:rsidRDefault="0097451A" w:rsidP="0097451A">
      <w:pPr>
        <w:spacing w:line="276" w:lineRule="auto"/>
        <w:ind w:firstLine="709"/>
        <w:jc w:val="both"/>
        <w:rPr>
          <w:rFonts w:asciiTheme="minorHAnsi" w:hAnsiTheme="minorHAnsi" w:cstheme="minorHAnsi"/>
          <w:noProof/>
          <w:sz w:val="26"/>
          <w:szCs w:val="26"/>
        </w:rPr>
      </w:pPr>
      <w:r>
        <w:rPr>
          <w:rFonts w:asciiTheme="minorHAnsi" w:hAnsiTheme="minorHAnsi" w:cstheme="minorHAnsi"/>
          <w:noProof/>
          <w:sz w:val="26"/>
          <w:szCs w:val="26"/>
        </w:rPr>
        <w:t>În concluzie, activitatea Consiliului în anul 2025 a fost orientată în primul rând spre asigurarea respectării independenţei justiţiei de către celelalte puteri în stat, precum şi spre asigurarea necesarului de personal la nivelul instanțelor judecătorești şi parchetelor de pe lângă acestea, pentru garantarea accesului la justiție al cetățenilor ca drept fundamental, cu monitorizarea constantă a procesului de digitalizare a justiţiei.</w:t>
      </w:r>
    </w:p>
    <w:p w14:paraId="4901B3EA" w14:textId="77777777" w:rsidR="0097451A" w:rsidRDefault="0097451A" w:rsidP="0097451A">
      <w:pPr>
        <w:spacing w:line="276" w:lineRule="auto"/>
        <w:ind w:firstLine="720"/>
        <w:jc w:val="both"/>
        <w:rPr>
          <w:rFonts w:asciiTheme="minorHAnsi" w:hAnsiTheme="minorHAnsi" w:cstheme="minorHAnsi"/>
          <w:noProof/>
          <w:sz w:val="26"/>
          <w:szCs w:val="26"/>
        </w:rPr>
      </w:pPr>
      <w:r>
        <w:rPr>
          <w:rFonts w:asciiTheme="minorHAnsi" w:hAnsiTheme="minorHAnsi" w:cstheme="minorHAnsi"/>
          <w:noProof/>
          <w:sz w:val="26"/>
          <w:szCs w:val="26"/>
        </w:rPr>
        <w:t>Pe tot parcursul anului 2025, Consiliul Superior al Magistraturii a urmărit asigurarea unui înalt nivel de performanță profesională în cadrul autorității judecătorești, precum şi a independenței și imparțialității corpului magistraților, ca repere indispensabile într-o societate democratică pentru ocrotirea drepturilor și libertăților fundamentale ale cetățenilor, dar şi a independenței sistemului judiciar, în ansamblul său.</w:t>
      </w:r>
    </w:p>
    <w:p w14:paraId="615FFE5C" w14:textId="77777777" w:rsidR="0097451A" w:rsidRDefault="0097451A" w:rsidP="0097451A">
      <w:pPr>
        <w:spacing w:line="276" w:lineRule="auto"/>
        <w:ind w:firstLine="720"/>
        <w:jc w:val="both"/>
        <w:rPr>
          <w:rFonts w:asciiTheme="minorHAnsi" w:hAnsiTheme="minorHAnsi" w:cstheme="minorHAnsi"/>
          <w:noProof/>
          <w:sz w:val="26"/>
          <w:szCs w:val="26"/>
        </w:rPr>
      </w:pPr>
      <w:r>
        <w:rPr>
          <w:rFonts w:asciiTheme="minorHAnsi" w:hAnsiTheme="minorHAnsi" w:cstheme="minorHAnsi"/>
          <w:noProof/>
          <w:sz w:val="26"/>
          <w:szCs w:val="26"/>
        </w:rPr>
        <w:t>În consecință, și în anul 2025, misiunea Consiliului Superior al Magistraturii a fost aceea de a garanta independenţa justiţiei, în toate componentele sale, dar şi de a crea toate premisele necesare funcţionării unui sistem judiciar caracterizat de imparțialitate, independenţă, performanţă, responsabilitate şi credibilitate, atribute esențiale pentru realizarea unui act de justiție de calitate într-un stat de drept.</w:t>
      </w:r>
    </w:p>
    <w:p w14:paraId="3AADEDE8" w14:textId="77777777" w:rsidR="0097451A" w:rsidRDefault="0097451A" w:rsidP="0097451A">
      <w:pPr>
        <w:spacing w:line="276" w:lineRule="auto"/>
        <w:ind w:firstLine="720"/>
        <w:jc w:val="both"/>
        <w:rPr>
          <w:rFonts w:asciiTheme="minorHAnsi" w:hAnsiTheme="minorHAnsi" w:cstheme="minorHAnsi"/>
          <w:noProof/>
          <w:sz w:val="26"/>
          <w:szCs w:val="26"/>
        </w:rPr>
      </w:pPr>
      <w:r>
        <w:rPr>
          <w:rFonts w:asciiTheme="minorHAnsi" w:hAnsiTheme="minorHAnsi" w:cstheme="minorHAnsi"/>
          <w:noProof/>
          <w:sz w:val="26"/>
          <w:szCs w:val="26"/>
        </w:rPr>
        <w:t xml:space="preserve"> </w:t>
      </w:r>
    </w:p>
    <w:p w14:paraId="3D8CB8FE" w14:textId="77777777" w:rsidR="0097451A" w:rsidRDefault="0097451A" w:rsidP="0097451A">
      <w:pPr>
        <w:rPr>
          <w:rFonts w:asciiTheme="minorHAnsi" w:hAnsiTheme="minorHAnsi" w:cstheme="minorHAnsi"/>
          <w:noProof/>
          <w:sz w:val="26"/>
          <w:szCs w:val="26"/>
        </w:rPr>
      </w:pPr>
    </w:p>
    <w:p w14:paraId="5AA1CEB3" w14:textId="77777777" w:rsidR="0097451A" w:rsidRDefault="0097451A" w:rsidP="0097451A">
      <w:pPr>
        <w:spacing w:line="276" w:lineRule="auto"/>
        <w:ind w:firstLine="709"/>
        <w:jc w:val="both"/>
        <w:rPr>
          <w:rFonts w:asciiTheme="minorHAnsi" w:hAnsiTheme="minorHAnsi" w:cstheme="minorHAnsi"/>
          <w:sz w:val="26"/>
          <w:szCs w:val="26"/>
        </w:rPr>
      </w:pPr>
    </w:p>
    <w:p w14:paraId="0C838E7C" w14:textId="77777777" w:rsidR="0097451A" w:rsidRDefault="0097451A" w:rsidP="0097451A">
      <w:pPr>
        <w:rPr>
          <w:rFonts w:asciiTheme="minorHAnsi" w:hAnsiTheme="minorHAnsi" w:cstheme="minorHAnsi"/>
          <w:sz w:val="26"/>
          <w:szCs w:val="26"/>
        </w:rPr>
      </w:pPr>
    </w:p>
    <w:p w14:paraId="4BCAE3B4" w14:textId="77777777" w:rsidR="00957020" w:rsidRPr="00957020" w:rsidRDefault="00957020" w:rsidP="00957020">
      <w:pPr>
        <w:rPr>
          <w:noProof/>
        </w:rPr>
      </w:pPr>
    </w:p>
    <w:p w14:paraId="4A201D98" w14:textId="418E468F" w:rsidR="003F56DF" w:rsidRPr="000F0D8B" w:rsidRDefault="003F56DF" w:rsidP="009E3AD8">
      <w:pPr>
        <w:spacing w:line="276" w:lineRule="auto"/>
        <w:ind w:firstLine="709"/>
        <w:jc w:val="both"/>
        <w:rPr>
          <w:rFonts w:asciiTheme="minorHAnsi" w:hAnsiTheme="minorHAnsi" w:cstheme="minorHAnsi"/>
          <w:sz w:val="26"/>
          <w:szCs w:val="26"/>
        </w:rPr>
      </w:pPr>
    </w:p>
    <w:sectPr w:rsidR="003F56DF" w:rsidRPr="000F0D8B" w:rsidSect="001C2FDA">
      <w:pgSz w:w="11906" w:h="16838" w:code="9"/>
      <w:pgMar w:top="567" w:right="707" w:bottom="567" w:left="851" w:header="567" w:footer="284"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B755B" w14:textId="77777777" w:rsidR="009A7832" w:rsidRDefault="009A7832" w:rsidP="003C4716">
      <w:r>
        <w:separator/>
      </w:r>
    </w:p>
  </w:endnote>
  <w:endnote w:type="continuationSeparator" w:id="0">
    <w:p w14:paraId="2F785568" w14:textId="77777777" w:rsidR="009A7832" w:rsidRDefault="009A7832" w:rsidP="003C4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1)">
    <w:altName w:val="Times New Roman"/>
    <w:panose1 w:val="00000000000000000000"/>
    <w:charset w:val="00"/>
    <w:family w:val="roman"/>
    <w:notTrueType/>
    <w:pitch w:val="variable"/>
    <w:sig w:usb0="00000003" w:usb1="00000000" w:usb2="00000000" w:usb3="00000000" w:csb0="00000001" w:csb1="00000000"/>
  </w:font>
  <w:font w:name="Arabic Typesetting">
    <w:charset w:val="B2"/>
    <w:family w:val="script"/>
    <w:pitch w:val="variable"/>
    <w:sig w:usb0="80002007" w:usb1="80000000" w:usb2="00000008" w:usb3="00000000" w:csb0="000000D3"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3084168"/>
      <w:docPartObj>
        <w:docPartGallery w:val="Page Numbers (Bottom of Page)"/>
        <w:docPartUnique/>
      </w:docPartObj>
    </w:sdtPr>
    <w:sdtEndPr>
      <w:rPr>
        <w:rFonts w:asciiTheme="minorHAnsi" w:hAnsiTheme="minorHAnsi" w:cstheme="minorHAnsi"/>
        <w:noProof/>
        <w:sz w:val="24"/>
        <w:szCs w:val="24"/>
      </w:rPr>
    </w:sdtEndPr>
    <w:sdtContent>
      <w:p w14:paraId="45077922" w14:textId="2F4D074D" w:rsidR="00E5183C" w:rsidRPr="007216EF" w:rsidRDefault="00000000">
        <w:pPr>
          <w:pStyle w:val="Footer"/>
          <w:jc w:val="center"/>
          <w:rPr>
            <w:rFonts w:asciiTheme="minorHAnsi" w:hAnsiTheme="minorHAnsi" w:cstheme="minorHAnsi"/>
            <w:sz w:val="24"/>
            <w:szCs w:val="24"/>
          </w:rPr>
        </w:pPr>
      </w:p>
    </w:sdtContent>
  </w:sdt>
  <w:p w14:paraId="2A093BFE" w14:textId="34451739" w:rsidR="00E5183C" w:rsidRPr="003F3275" w:rsidRDefault="00E5183C">
    <w:pPr>
      <w:pStyle w:val="Footer"/>
      <w:rPr>
        <w:rFonts w:asciiTheme="minorHAnsi" w:hAnsiTheme="minorHAnsi" w:cstheme="minorHAnsi"/>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6DE3E" w14:textId="6E4AAE47" w:rsidR="00E5183C" w:rsidRPr="007216EF" w:rsidRDefault="00E5183C">
    <w:pPr>
      <w:pStyle w:val="Footer"/>
      <w:jc w:val="center"/>
      <w:rPr>
        <w:rFonts w:asciiTheme="minorHAnsi" w:hAnsiTheme="minorHAnsi" w:cstheme="minorHAnsi"/>
        <w:sz w:val="24"/>
        <w:szCs w:val="24"/>
      </w:rPr>
    </w:pPr>
  </w:p>
  <w:p w14:paraId="5F789084" w14:textId="420CC53E" w:rsidR="00E5183C" w:rsidRPr="003F3275" w:rsidRDefault="00000000">
    <w:pPr>
      <w:pStyle w:val="Footer"/>
      <w:rPr>
        <w:rFonts w:asciiTheme="minorHAnsi" w:hAnsiTheme="minorHAnsi" w:cstheme="minorHAnsi"/>
        <w:sz w:val="2"/>
        <w:szCs w:val="2"/>
      </w:rPr>
    </w:pPr>
    <w:sdt>
      <w:sdtPr>
        <w:rPr>
          <w:rFonts w:asciiTheme="minorHAnsi" w:hAnsiTheme="minorHAnsi" w:cstheme="minorHAnsi"/>
        </w:rPr>
        <w:id w:val="2074076205"/>
        <w:docPartObj>
          <w:docPartGallery w:val="Page Numbers (Top of Page)"/>
          <w:docPartUnique/>
        </w:docPartObj>
      </w:sdtPr>
      <w:sdtEndPr>
        <w:rPr>
          <w:sz w:val="20"/>
        </w:rPr>
      </w:sdtEndP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1616574"/>
      <w:docPartObj>
        <w:docPartGallery w:val="Page Numbers (Bottom of Page)"/>
        <w:docPartUnique/>
      </w:docPartObj>
    </w:sdtPr>
    <w:sdtEndPr>
      <w:rPr>
        <w:rFonts w:asciiTheme="minorHAnsi" w:hAnsiTheme="minorHAnsi" w:cstheme="minorHAnsi"/>
        <w:noProof/>
        <w:sz w:val="24"/>
        <w:szCs w:val="24"/>
      </w:rPr>
    </w:sdtEndPr>
    <w:sdtContent>
      <w:p w14:paraId="74CA52E8" w14:textId="77777777" w:rsidR="00E5183C" w:rsidRPr="007216EF" w:rsidRDefault="00E5183C">
        <w:pPr>
          <w:pStyle w:val="Footer"/>
          <w:jc w:val="center"/>
          <w:rPr>
            <w:rFonts w:asciiTheme="minorHAnsi" w:hAnsiTheme="minorHAnsi" w:cstheme="minorHAnsi"/>
            <w:sz w:val="24"/>
            <w:szCs w:val="24"/>
          </w:rPr>
        </w:pPr>
        <w:r w:rsidRPr="007216EF">
          <w:rPr>
            <w:rFonts w:asciiTheme="minorHAnsi" w:hAnsiTheme="minorHAnsi" w:cstheme="minorHAnsi"/>
            <w:sz w:val="24"/>
            <w:szCs w:val="24"/>
          </w:rPr>
          <w:fldChar w:fldCharType="begin"/>
        </w:r>
        <w:r w:rsidRPr="007216EF">
          <w:rPr>
            <w:rFonts w:asciiTheme="minorHAnsi" w:hAnsiTheme="minorHAnsi" w:cstheme="minorHAnsi"/>
            <w:sz w:val="24"/>
            <w:szCs w:val="24"/>
          </w:rPr>
          <w:instrText xml:space="preserve"> PAGE   \* MERGEFORMAT </w:instrText>
        </w:r>
        <w:r w:rsidRPr="007216EF">
          <w:rPr>
            <w:rFonts w:asciiTheme="minorHAnsi" w:hAnsiTheme="minorHAnsi" w:cstheme="minorHAnsi"/>
            <w:sz w:val="24"/>
            <w:szCs w:val="24"/>
          </w:rPr>
          <w:fldChar w:fldCharType="separate"/>
        </w:r>
        <w:r>
          <w:rPr>
            <w:rFonts w:asciiTheme="minorHAnsi" w:hAnsiTheme="minorHAnsi" w:cstheme="minorHAnsi"/>
            <w:noProof/>
            <w:sz w:val="24"/>
            <w:szCs w:val="24"/>
          </w:rPr>
          <w:t>141</w:t>
        </w:r>
        <w:r w:rsidRPr="007216EF">
          <w:rPr>
            <w:rFonts w:asciiTheme="minorHAnsi" w:hAnsiTheme="minorHAnsi" w:cstheme="minorHAnsi"/>
            <w:noProof/>
            <w:sz w:val="24"/>
            <w:szCs w:val="24"/>
          </w:rPr>
          <w:fldChar w:fldCharType="end"/>
        </w:r>
      </w:p>
    </w:sdtContent>
  </w:sdt>
  <w:p w14:paraId="10DB8DF6" w14:textId="77777777" w:rsidR="00E5183C" w:rsidRPr="003F3275" w:rsidRDefault="00E5183C">
    <w:pPr>
      <w:pStyle w:val="Footer"/>
      <w:rPr>
        <w:rFonts w:asciiTheme="minorHAnsi" w:hAnsiTheme="minorHAnsi" w:cstheme="minorHAnsi"/>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57DDC" w14:textId="77777777" w:rsidR="009A7832" w:rsidRDefault="009A7832" w:rsidP="003C4716">
      <w:r>
        <w:separator/>
      </w:r>
    </w:p>
  </w:footnote>
  <w:footnote w:type="continuationSeparator" w:id="0">
    <w:p w14:paraId="6A339F19" w14:textId="77777777" w:rsidR="009A7832" w:rsidRDefault="009A7832" w:rsidP="003C4716">
      <w:r>
        <w:continuationSeparator/>
      </w:r>
    </w:p>
  </w:footnote>
  <w:footnote w:id="1">
    <w:p w14:paraId="344D61D6" w14:textId="77777777" w:rsidR="00E5183C" w:rsidRPr="002D2D6C" w:rsidRDefault="00E5183C" w:rsidP="003657DC">
      <w:pPr>
        <w:pStyle w:val="Textnotdesubsol1"/>
        <w:jc w:val="both"/>
        <w:rPr>
          <w:lang w:val="it-IT"/>
        </w:rPr>
      </w:pPr>
      <w:r w:rsidRPr="004A72CD">
        <w:rPr>
          <w:rStyle w:val="FootnoteReference"/>
          <w:color w:val="000000"/>
          <w:lang w:val="ro-RO"/>
        </w:rPr>
        <w:footnoteRef/>
      </w:r>
      <w:r w:rsidRPr="004A72CD">
        <w:rPr>
          <w:color w:val="000000"/>
          <w:lang w:val="ro-RO"/>
        </w:rPr>
        <w:t xml:space="preserve"> Direcții de acțiune și obiective ale Consiliului Superior al Magistraturii pentru mandatul 2023 - 2029, adoptate prin Hotărârea nr. 55/30 martie 2023 a Plenului Consiliului Superior al Magistraturii.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14B10"/>
    <w:multiLevelType w:val="hybridMultilevel"/>
    <w:tmpl w:val="E104F7E0"/>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 w15:restartNumberingAfterBreak="0">
    <w:nsid w:val="0840387B"/>
    <w:multiLevelType w:val="hybridMultilevel"/>
    <w:tmpl w:val="19E85C5E"/>
    <w:lvl w:ilvl="0" w:tplc="A0E4E48C">
      <w:start w:val="3"/>
      <w:numFmt w:val="bullet"/>
      <w:lvlText w:val="-"/>
      <w:lvlJc w:val="left"/>
      <w:pPr>
        <w:ind w:left="1776" w:hanging="360"/>
      </w:pPr>
      <w:rPr>
        <w:rFonts w:ascii="Calibri" w:eastAsia="Times New Roman" w:hAnsi="Calibri" w:cs="Calibri" w:hint="default"/>
        <w:color w:val="auto"/>
      </w:rPr>
    </w:lvl>
    <w:lvl w:ilvl="1" w:tplc="08090003" w:tentative="1">
      <w:start w:val="1"/>
      <w:numFmt w:val="bullet"/>
      <w:lvlText w:val="o"/>
      <w:lvlJc w:val="left"/>
      <w:pPr>
        <w:ind w:left="2496" w:hanging="360"/>
      </w:pPr>
      <w:rPr>
        <w:rFonts w:ascii="Courier New" w:hAnsi="Courier New" w:cs="Courier New" w:hint="default"/>
      </w:rPr>
    </w:lvl>
    <w:lvl w:ilvl="2" w:tplc="08090005" w:tentative="1">
      <w:start w:val="1"/>
      <w:numFmt w:val="bullet"/>
      <w:lvlText w:val=""/>
      <w:lvlJc w:val="left"/>
      <w:pPr>
        <w:ind w:left="3216" w:hanging="360"/>
      </w:pPr>
      <w:rPr>
        <w:rFonts w:ascii="Wingdings" w:hAnsi="Wingdings" w:hint="default"/>
      </w:rPr>
    </w:lvl>
    <w:lvl w:ilvl="3" w:tplc="08090001" w:tentative="1">
      <w:start w:val="1"/>
      <w:numFmt w:val="bullet"/>
      <w:lvlText w:val=""/>
      <w:lvlJc w:val="left"/>
      <w:pPr>
        <w:ind w:left="3936" w:hanging="360"/>
      </w:pPr>
      <w:rPr>
        <w:rFonts w:ascii="Symbol" w:hAnsi="Symbol" w:hint="default"/>
      </w:rPr>
    </w:lvl>
    <w:lvl w:ilvl="4" w:tplc="08090003" w:tentative="1">
      <w:start w:val="1"/>
      <w:numFmt w:val="bullet"/>
      <w:lvlText w:val="o"/>
      <w:lvlJc w:val="left"/>
      <w:pPr>
        <w:ind w:left="4656" w:hanging="360"/>
      </w:pPr>
      <w:rPr>
        <w:rFonts w:ascii="Courier New" w:hAnsi="Courier New" w:cs="Courier New" w:hint="default"/>
      </w:rPr>
    </w:lvl>
    <w:lvl w:ilvl="5" w:tplc="08090005" w:tentative="1">
      <w:start w:val="1"/>
      <w:numFmt w:val="bullet"/>
      <w:lvlText w:val=""/>
      <w:lvlJc w:val="left"/>
      <w:pPr>
        <w:ind w:left="5376" w:hanging="360"/>
      </w:pPr>
      <w:rPr>
        <w:rFonts w:ascii="Wingdings" w:hAnsi="Wingdings" w:hint="default"/>
      </w:rPr>
    </w:lvl>
    <w:lvl w:ilvl="6" w:tplc="08090001" w:tentative="1">
      <w:start w:val="1"/>
      <w:numFmt w:val="bullet"/>
      <w:lvlText w:val=""/>
      <w:lvlJc w:val="left"/>
      <w:pPr>
        <w:ind w:left="6096" w:hanging="360"/>
      </w:pPr>
      <w:rPr>
        <w:rFonts w:ascii="Symbol" w:hAnsi="Symbol" w:hint="default"/>
      </w:rPr>
    </w:lvl>
    <w:lvl w:ilvl="7" w:tplc="08090003" w:tentative="1">
      <w:start w:val="1"/>
      <w:numFmt w:val="bullet"/>
      <w:lvlText w:val="o"/>
      <w:lvlJc w:val="left"/>
      <w:pPr>
        <w:ind w:left="6816" w:hanging="360"/>
      </w:pPr>
      <w:rPr>
        <w:rFonts w:ascii="Courier New" w:hAnsi="Courier New" w:cs="Courier New" w:hint="default"/>
      </w:rPr>
    </w:lvl>
    <w:lvl w:ilvl="8" w:tplc="08090005" w:tentative="1">
      <w:start w:val="1"/>
      <w:numFmt w:val="bullet"/>
      <w:lvlText w:val=""/>
      <w:lvlJc w:val="left"/>
      <w:pPr>
        <w:ind w:left="7536" w:hanging="360"/>
      </w:pPr>
      <w:rPr>
        <w:rFonts w:ascii="Wingdings" w:hAnsi="Wingdings" w:hint="default"/>
      </w:rPr>
    </w:lvl>
  </w:abstractNum>
  <w:abstractNum w:abstractNumId="2" w15:restartNumberingAfterBreak="0">
    <w:nsid w:val="0A470740"/>
    <w:multiLevelType w:val="hybridMultilevel"/>
    <w:tmpl w:val="9C96C4D8"/>
    <w:lvl w:ilvl="0" w:tplc="08AE545A">
      <w:start w:val="1"/>
      <w:numFmt w:val="upperLetter"/>
      <w:lvlText w:val="%1."/>
      <w:lvlJc w:val="left"/>
      <w:pPr>
        <w:ind w:left="1406" w:hanging="696"/>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0B6C5A10"/>
    <w:multiLevelType w:val="hybridMultilevel"/>
    <w:tmpl w:val="D8222C5C"/>
    <w:lvl w:ilvl="0" w:tplc="08090015">
      <w:start w:val="1"/>
      <w:numFmt w:val="upperLetter"/>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4" w15:restartNumberingAfterBreak="0">
    <w:nsid w:val="0D04126D"/>
    <w:multiLevelType w:val="hybridMultilevel"/>
    <w:tmpl w:val="0B5E73AA"/>
    <w:lvl w:ilvl="0" w:tplc="91061FE6">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871650"/>
    <w:multiLevelType w:val="hybridMultilevel"/>
    <w:tmpl w:val="9E2A307E"/>
    <w:lvl w:ilvl="0" w:tplc="5A247DB2">
      <w:start w:val="2"/>
      <w:numFmt w:val="bullet"/>
      <w:lvlText w:val="-"/>
      <w:lvlJc w:val="left"/>
      <w:pPr>
        <w:ind w:left="1069" w:hanging="360"/>
      </w:pPr>
      <w:rPr>
        <w:rFonts w:ascii="Times New Roman" w:eastAsia="Times New Roman" w:hAnsi="Times New Roman" w:cs="Times New Roman"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hint="default"/>
      </w:rPr>
    </w:lvl>
  </w:abstractNum>
  <w:abstractNum w:abstractNumId="6" w15:restartNumberingAfterBreak="0">
    <w:nsid w:val="0E3C4884"/>
    <w:multiLevelType w:val="hybridMultilevel"/>
    <w:tmpl w:val="4D5AF6CA"/>
    <w:lvl w:ilvl="0" w:tplc="D102C076">
      <w:start w:val="1"/>
      <w:numFmt w:val="bullet"/>
      <w:lvlText w:val="•"/>
      <w:lvlJc w:val="left"/>
      <w:pPr>
        <w:ind w:left="1428" w:hanging="360"/>
      </w:pPr>
      <w:rPr>
        <w:rFonts w:ascii="Calibri" w:hAnsi="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0EF52EB"/>
    <w:multiLevelType w:val="hybridMultilevel"/>
    <w:tmpl w:val="D4369474"/>
    <w:lvl w:ilvl="0" w:tplc="CF9E98CE">
      <w:start w:val="1"/>
      <w:numFmt w:val="upperLetter"/>
      <w:lvlText w:val="%1."/>
      <w:lvlJc w:val="left"/>
      <w:pPr>
        <w:ind w:left="1068" w:hanging="360"/>
      </w:pPr>
      <w:rPr>
        <w:rFonts w:hint="default"/>
      </w:rPr>
    </w:lvl>
    <w:lvl w:ilvl="1" w:tplc="CEAACFA4">
      <w:start w:val="1"/>
      <w:numFmt w:val="decimal"/>
      <w:lvlText w:val="%2."/>
      <w:lvlJc w:val="left"/>
      <w:pPr>
        <w:ind w:left="1788" w:hanging="360"/>
      </w:pPr>
      <w:rPr>
        <w:rFonts w:hint="default"/>
      </w:r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15:restartNumberingAfterBreak="0">
    <w:nsid w:val="133C10D9"/>
    <w:multiLevelType w:val="hybridMultilevel"/>
    <w:tmpl w:val="C9E4A9B8"/>
    <w:lvl w:ilvl="0" w:tplc="04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136F2F04"/>
    <w:multiLevelType w:val="hybridMultilevel"/>
    <w:tmpl w:val="FE4A0D44"/>
    <w:lvl w:ilvl="0" w:tplc="BBA6544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3B65D2F"/>
    <w:multiLevelType w:val="hybridMultilevel"/>
    <w:tmpl w:val="2FA67484"/>
    <w:lvl w:ilvl="0" w:tplc="EFB0ECC6">
      <w:numFmt w:val="bullet"/>
      <w:lvlText w:val="-"/>
      <w:lvlJc w:val="left"/>
      <w:pPr>
        <w:ind w:left="1069" w:hanging="360"/>
      </w:pPr>
      <w:rPr>
        <w:rFonts w:ascii="Calibri" w:eastAsiaTheme="minorHAnsi" w:hAnsi="Calibri" w:cs="Calibr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150646A3"/>
    <w:multiLevelType w:val="hybridMultilevel"/>
    <w:tmpl w:val="914457C8"/>
    <w:lvl w:ilvl="0" w:tplc="B440AFE0">
      <w:numFmt w:val="bullet"/>
      <w:lvlText w:val="-"/>
      <w:lvlJc w:val="left"/>
      <w:pPr>
        <w:ind w:left="780" w:hanging="360"/>
      </w:pPr>
      <w:rPr>
        <w:rFonts w:ascii="Times New Roman" w:eastAsia="Times New Roman" w:hAnsi="Times New Roman" w:cs="Times New Roman"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2" w15:restartNumberingAfterBreak="0">
    <w:nsid w:val="1699167B"/>
    <w:multiLevelType w:val="hybridMultilevel"/>
    <w:tmpl w:val="F25657D6"/>
    <w:lvl w:ilvl="0" w:tplc="04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19B907B6"/>
    <w:multiLevelType w:val="hybridMultilevel"/>
    <w:tmpl w:val="EBCECF40"/>
    <w:lvl w:ilvl="0" w:tplc="4874ED82">
      <w:start w:val="4"/>
      <w:numFmt w:val="bullet"/>
      <w:lvlText w:val="-"/>
      <w:lvlJc w:val="left"/>
      <w:pPr>
        <w:ind w:left="720" w:hanging="360"/>
      </w:pPr>
      <w:rPr>
        <w:rFonts w:ascii="Garamond (W1)" w:eastAsia="Times New Roman" w:hAnsi="Garamond (W1)" w:cs="Arabic Typesetting"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4" w15:restartNumberingAfterBreak="0">
    <w:nsid w:val="21090FD0"/>
    <w:multiLevelType w:val="hybridMultilevel"/>
    <w:tmpl w:val="DFF2DC90"/>
    <w:lvl w:ilvl="0" w:tplc="0409000B">
      <w:start w:val="1"/>
      <w:numFmt w:val="bullet"/>
      <w:lvlText w:val=""/>
      <w:lvlJc w:val="left"/>
      <w:pPr>
        <w:ind w:left="1429" w:hanging="360"/>
      </w:pPr>
      <w:rPr>
        <w:rFonts w:ascii="Wingdings" w:hAnsi="Wingdings"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5" w15:restartNumberingAfterBreak="0">
    <w:nsid w:val="2E203521"/>
    <w:multiLevelType w:val="hybridMultilevel"/>
    <w:tmpl w:val="026C423C"/>
    <w:lvl w:ilvl="0" w:tplc="29EE0DD8">
      <w:start w:val="1"/>
      <w:numFmt w:val="bullet"/>
      <w:lvlText w:val="-"/>
      <w:lvlJc w:val="left"/>
      <w:pPr>
        <w:ind w:left="720" w:hanging="360"/>
      </w:pPr>
      <w:rPr>
        <w:rFonts w:ascii="Bookman Old Style" w:hAnsi="Bookman Old Styl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0472A0"/>
    <w:multiLevelType w:val="hybridMultilevel"/>
    <w:tmpl w:val="924E2E42"/>
    <w:lvl w:ilvl="0" w:tplc="04180005">
      <w:start w:val="1"/>
      <w:numFmt w:val="bullet"/>
      <w:lvlText w:val=""/>
      <w:lvlJc w:val="left"/>
      <w:pPr>
        <w:ind w:left="1065" w:hanging="705"/>
      </w:pPr>
      <w:rPr>
        <w:rFonts w:ascii="Wingdings" w:hAnsi="Wingdings" w:cs="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4DA5B04"/>
    <w:multiLevelType w:val="hybridMultilevel"/>
    <w:tmpl w:val="27928BA2"/>
    <w:lvl w:ilvl="0" w:tplc="A7946BF6">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194EC8"/>
    <w:multiLevelType w:val="hybridMultilevel"/>
    <w:tmpl w:val="FC341856"/>
    <w:lvl w:ilvl="0" w:tplc="04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39746196"/>
    <w:multiLevelType w:val="hybridMultilevel"/>
    <w:tmpl w:val="BD4CBC68"/>
    <w:lvl w:ilvl="0" w:tplc="52BA36DA">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397D2345"/>
    <w:multiLevelType w:val="hybridMultilevel"/>
    <w:tmpl w:val="2BDE6366"/>
    <w:lvl w:ilvl="0" w:tplc="0409000B">
      <w:start w:val="1"/>
      <w:numFmt w:val="bullet"/>
      <w:lvlText w:val=""/>
      <w:lvlJc w:val="left"/>
      <w:pPr>
        <w:ind w:left="900" w:hanging="360"/>
      </w:pPr>
      <w:rPr>
        <w:rFonts w:ascii="Wingdings" w:hAnsi="Wingdings" w:hint="default"/>
      </w:rPr>
    </w:lvl>
    <w:lvl w:ilvl="1" w:tplc="FFFFFFFF">
      <w:start w:val="1"/>
      <w:numFmt w:val="bullet"/>
      <w:lvlText w:val="o"/>
      <w:lvlJc w:val="left"/>
      <w:pPr>
        <w:ind w:left="1620" w:hanging="360"/>
      </w:pPr>
      <w:rPr>
        <w:rFonts w:ascii="Courier New" w:hAnsi="Courier New" w:cs="Courier New" w:hint="default"/>
      </w:rPr>
    </w:lvl>
    <w:lvl w:ilvl="2" w:tplc="FFFFFFFF">
      <w:start w:val="1"/>
      <w:numFmt w:val="bullet"/>
      <w:lvlText w:val=""/>
      <w:lvlJc w:val="left"/>
      <w:pPr>
        <w:ind w:left="2340" w:hanging="360"/>
      </w:pPr>
      <w:rPr>
        <w:rFonts w:ascii="Wingdings" w:hAnsi="Wingdings" w:hint="default"/>
      </w:rPr>
    </w:lvl>
    <w:lvl w:ilvl="3" w:tplc="FFFFFFFF">
      <w:start w:val="1"/>
      <w:numFmt w:val="bullet"/>
      <w:lvlText w:val=""/>
      <w:lvlJc w:val="left"/>
      <w:pPr>
        <w:ind w:left="3060" w:hanging="360"/>
      </w:pPr>
      <w:rPr>
        <w:rFonts w:ascii="Symbol" w:hAnsi="Symbol" w:hint="default"/>
      </w:rPr>
    </w:lvl>
    <w:lvl w:ilvl="4" w:tplc="FFFFFFFF">
      <w:start w:val="1"/>
      <w:numFmt w:val="bullet"/>
      <w:lvlText w:val="o"/>
      <w:lvlJc w:val="left"/>
      <w:pPr>
        <w:ind w:left="3780" w:hanging="360"/>
      </w:pPr>
      <w:rPr>
        <w:rFonts w:ascii="Courier New" w:hAnsi="Courier New" w:cs="Courier New" w:hint="default"/>
      </w:rPr>
    </w:lvl>
    <w:lvl w:ilvl="5" w:tplc="FFFFFFFF">
      <w:start w:val="1"/>
      <w:numFmt w:val="bullet"/>
      <w:lvlText w:val=""/>
      <w:lvlJc w:val="left"/>
      <w:pPr>
        <w:ind w:left="4500" w:hanging="360"/>
      </w:pPr>
      <w:rPr>
        <w:rFonts w:ascii="Wingdings" w:hAnsi="Wingdings" w:hint="default"/>
      </w:rPr>
    </w:lvl>
    <w:lvl w:ilvl="6" w:tplc="FFFFFFFF">
      <w:start w:val="1"/>
      <w:numFmt w:val="bullet"/>
      <w:lvlText w:val=""/>
      <w:lvlJc w:val="left"/>
      <w:pPr>
        <w:ind w:left="5220" w:hanging="360"/>
      </w:pPr>
      <w:rPr>
        <w:rFonts w:ascii="Symbol" w:hAnsi="Symbol" w:hint="default"/>
      </w:rPr>
    </w:lvl>
    <w:lvl w:ilvl="7" w:tplc="FFFFFFFF">
      <w:start w:val="1"/>
      <w:numFmt w:val="bullet"/>
      <w:lvlText w:val="o"/>
      <w:lvlJc w:val="left"/>
      <w:pPr>
        <w:ind w:left="5940" w:hanging="360"/>
      </w:pPr>
      <w:rPr>
        <w:rFonts w:ascii="Courier New" w:hAnsi="Courier New" w:cs="Courier New" w:hint="default"/>
      </w:rPr>
    </w:lvl>
    <w:lvl w:ilvl="8" w:tplc="FFFFFFFF">
      <w:start w:val="1"/>
      <w:numFmt w:val="bullet"/>
      <w:lvlText w:val=""/>
      <w:lvlJc w:val="left"/>
      <w:pPr>
        <w:ind w:left="6660" w:hanging="360"/>
      </w:pPr>
      <w:rPr>
        <w:rFonts w:ascii="Wingdings" w:hAnsi="Wingdings" w:hint="default"/>
      </w:rPr>
    </w:lvl>
  </w:abstractNum>
  <w:abstractNum w:abstractNumId="21" w15:restartNumberingAfterBreak="0">
    <w:nsid w:val="3A127DDF"/>
    <w:multiLevelType w:val="hybridMultilevel"/>
    <w:tmpl w:val="304EA11C"/>
    <w:lvl w:ilvl="0" w:tplc="A89E2A2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15:restartNumberingAfterBreak="0">
    <w:nsid w:val="4146661A"/>
    <w:multiLevelType w:val="multilevel"/>
    <w:tmpl w:val="5DEA3B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4A65E12"/>
    <w:multiLevelType w:val="hybridMultilevel"/>
    <w:tmpl w:val="62D03E00"/>
    <w:lvl w:ilvl="0" w:tplc="BD9481F6">
      <w:start w:val="1"/>
      <w:numFmt w:val="bullet"/>
      <w:lvlText w:val=""/>
      <w:lvlJc w:val="left"/>
      <w:pPr>
        <w:ind w:left="990"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4" w15:restartNumberingAfterBreak="0">
    <w:nsid w:val="47D27FC6"/>
    <w:multiLevelType w:val="hybridMultilevel"/>
    <w:tmpl w:val="6D2EE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231A24"/>
    <w:multiLevelType w:val="hybridMultilevel"/>
    <w:tmpl w:val="F9805A0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48F11572"/>
    <w:multiLevelType w:val="hybridMultilevel"/>
    <w:tmpl w:val="BFAC9EFE"/>
    <w:lvl w:ilvl="0" w:tplc="0409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7" w15:restartNumberingAfterBreak="0">
    <w:nsid w:val="4A6D78D6"/>
    <w:multiLevelType w:val="hybridMultilevel"/>
    <w:tmpl w:val="0A969FBE"/>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8" w15:restartNumberingAfterBreak="0">
    <w:nsid w:val="4CF93A0E"/>
    <w:multiLevelType w:val="hybridMultilevel"/>
    <w:tmpl w:val="A406E2EE"/>
    <w:lvl w:ilvl="0" w:tplc="28FA55A8">
      <w:start w:val="12"/>
      <w:numFmt w:val="bullet"/>
      <w:lvlText w:val="-"/>
      <w:lvlJc w:val="left"/>
      <w:pPr>
        <w:ind w:left="3822" w:hanging="360"/>
      </w:pPr>
      <w:rPr>
        <w:rFonts w:ascii="Times New Roman" w:eastAsia="Times New Roman" w:hAnsi="Times New Roman" w:cs="Times New Roman" w:hint="default"/>
      </w:rPr>
    </w:lvl>
    <w:lvl w:ilvl="1" w:tplc="04180003">
      <w:start w:val="1"/>
      <w:numFmt w:val="bullet"/>
      <w:lvlText w:val="o"/>
      <w:lvlJc w:val="left"/>
      <w:pPr>
        <w:ind w:left="4272" w:hanging="360"/>
      </w:pPr>
      <w:rPr>
        <w:rFonts w:ascii="Courier New" w:hAnsi="Courier New" w:cs="Courier New" w:hint="default"/>
      </w:rPr>
    </w:lvl>
    <w:lvl w:ilvl="2" w:tplc="04180005">
      <w:start w:val="1"/>
      <w:numFmt w:val="bullet"/>
      <w:lvlText w:val=""/>
      <w:lvlJc w:val="left"/>
      <w:pPr>
        <w:ind w:left="4992" w:hanging="360"/>
      </w:pPr>
      <w:rPr>
        <w:rFonts w:ascii="Wingdings" w:hAnsi="Wingdings" w:hint="default"/>
      </w:rPr>
    </w:lvl>
    <w:lvl w:ilvl="3" w:tplc="04180001">
      <w:start w:val="1"/>
      <w:numFmt w:val="bullet"/>
      <w:lvlText w:val=""/>
      <w:lvlJc w:val="left"/>
      <w:pPr>
        <w:ind w:left="5712" w:hanging="360"/>
      </w:pPr>
      <w:rPr>
        <w:rFonts w:ascii="Symbol" w:hAnsi="Symbol" w:hint="default"/>
      </w:rPr>
    </w:lvl>
    <w:lvl w:ilvl="4" w:tplc="04180003">
      <w:start w:val="1"/>
      <w:numFmt w:val="bullet"/>
      <w:lvlText w:val="o"/>
      <w:lvlJc w:val="left"/>
      <w:pPr>
        <w:ind w:left="6432" w:hanging="360"/>
      </w:pPr>
      <w:rPr>
        <w:rFonts w:ascii="Courier New" w:hAnsi="Courier New" w:cs="Courier New" w:hint="default"/>
      </w:rPr>
    </w:lvl>
    <w:lvl w:ilvl="5" w:tplc="04180005">
      <w:start w:val="1"/>
      <w:numFmt w:val="bullet"/>
      <w:lvlText w:val=""/>
      <w:lvlJc w:val="left"/>
      <w:pPr>
        <w:ind w:left="7152" w:hanging="360"/>
      </w:pPr>
      <w:rPr>
        <w:rFonts w:ascii="Wingdings" w:hAnsi="Wingdings" w:hint="default"/>
      </w:rPr>
    </w:lvl>
    <w:lvl w:ilvl="6" w:tplc="04180001">
      <w:start w:val="1"/>
      <w:numFmt w:val="bullet"/>
      <w:lvlText w:val=""/>
      <w:lvlJc w:val="left"/>
      <w:pPr>
        <w:ind w:left="7872" w:hanging="360"/>
      </w:pPr>
      <w:rPr>
        <w:rFonts w:ascii="Symbol" w:hAnsi="Symbol" w:hint="default"/>
      </w:rPr>
    </w:lvl>
    <w:lvl w:ilvl="7" w:tplc="04180003">
      <w:start w:val="1"/>
      <w:numFmt w:val="bullet"/>
      <w:lvlText w:val="o"/>
      <w:lvlJc w:val="left"/>
      <w:pPr>
        <w:ind w:left="8592" w:hanging="360"/>
      </w:pPr>
      <w:rPr>
        <w:rFonts w:ascii="Courier New" w:hAnsi="Courier New" w:cs="Courier New" w:hint="default"/>
      </w:rPr>
    </w:lvl>
    <w:lvl w:ilvl="8" w:tplc="04180005">
      <w:start w:val="1"/>
      <w:numFmt w:val="bullet"/>
      <w:lvlText w:val=""/>
      <w:lvlJc w:val="left"/>
      <w:pPr>
        <w:ind w:left="9312" w:hanging="360"/>
      </w:pPr>
      <w:rPr>
        <w:rFonts w:ascii="Wingdings" w:hAnsi="Wingdings" w:hint="default"/>
      </w:rPr>
    </w:lvl>
  </w:abstractNum>
  <w:abstractNum w:abstractNumId="29" w15:restartNumberingAfterBreak="0">
    <w:nsid w:val="4DFB6D0C"/>
    <w:multiLevelType w:val="hybridMultilevel"/>
    <w:tmpl w:val="BD4CBC68"/>
    <w:lvl w:ilvl="0" w:tplc="52BA36DA">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4F06636F"/>
    <w:multiLevelType w:val="hybridMultilevel"/>
    <w:tmpl w:val="D35E55FC"/>
    <w:lvl w:ilvl="0" w:tplc="A89E2A22">
      <w:numFmt w:val="bullet"/>
      <w:lvlText w:val="-"/>
      <w:lvlJc w:val="left"/>
      <w:pPr>
        <w:ind w:left="7023"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35528AA"/>
    <w:multiLevelType w:val="hybridMultilevel"/>
    <w:tmpl w:val="D92E62B0"/>
    <w:lvl w:ilvl="0" w:tplc="7692545E">
      <w:start w:val="1"/>
      <w:numFmt w:val="upperLetter"/>
      <w:lvlText w:val="%1."/>
      <w:lvlJc w:val="left"/>
      <w:pPr>
        <w:ind w:left="720" w:hanging="360"/>
      </w:pPr>
      <w:rPr>
        <w:rFonts w:asciiTheme="minorHAnsi" w:hAnsiTheme="minorHAnsi" w:cstheme="minorHAnsi" w:hint="default"/>
      </w:r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start w:val="1"/>
      <w:numFmt w:val="lowerRoman"/>
      <w:lvlText w:val="%6."/>
      <w:lvlJc w:val="right"/>
      <w:pPr>
        <w:ind w:left="5310" w:hanging="180"/>
      </w:pPr>
    </w:lvl>
    <w:lvl w:ilvl="6" w:tplc="0409000F">
      <w:start w:val="1"/>
      <w:numFmt w:val="decimal"/>
      <w:lvlText w:val="%7."/>
      <w:lvlJc w:val="left"/>
      <w:pPr>
        <w:ind w:left="6030" w:hanging="360"/>
      </w:pPr>
    </w:lvl>
    <w:lvl w:ilvl="7" w:tplc="04090019">
      <w:start w:val="1"/>
      <w:numFmt w:val="lowerLetter"/>
      <w:lvlText w:val="%8."/>
      <w:lvlJc w:val="left"/>
      <w:pPr>
        <w:ind w:left="6750" w:hanging="360"/>
      </w:pPr>
    </w:lvl>
    <w:lvl w:ilvl="8" w:tplc="0409001B">
      <w:start w:val="1"/>
      <w:numFmt w:val="lowerRoman"/>
      <w:lvlText w:val="%9."/>
      <w:lvlJc w:val="right"/>
      <w:pPr>
        <w:ind w:left="7470" w:hanging="180"/>
      </w:pPr>
    </w:lvl>
  </w:abstractNum>
  <w:abstractNum w:abstractNumId="32" w15:restartNumberingAfterBreak="0">
    <w:nsid w:val="5F434EBB"/>
    <w:multiLevelType w:val="hybridMultilevel"/>
    <w:tmpl w:val="4E883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870C8F"/>
    <w:multiLevelType w:val="hybridMultilevel"/>
    <w:tmpl w:val="19B0FD72"/>
    <w:lvl w:ilvl="0" w:tplc="4BB85608">
      <w:start w:val="1"/>
      <w:numFmt w:val="bullet"/>
      <w:lvlText w:val="▪"/>
      <w:lvlJc w:val="left"/>
      <w:pPr>
        <w:ind w:left="1080" w:hanging="360"/>
      </w:pPr>
      <w:rPr>
        <w:rFonts w:ascii="Bookman Old Style" w:eastAsia="Bookman Old Style" w:hAnsi="Bookman Old Style" w:cs="Bookman Old Style"/>
        <w:b w:val="0"/>
        <w:i w:val="0"/>
        <w:strike w:val="0"/>
        <w:dstrike w:val="0"/>
        <w:color w:val="333399"/>
        <w:sz w:val="24"/>
        <w:szCs w:val="24"/>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4321104"/>
    <w:multiLevelType w:val="hybridMultilevel"/>
    <w:tmpl w:val="21E6C01A"/>
    <w:lvl w:ilvl="0" w:tplc="DE1C5166">
      <w:start w:val="4"/>
      <w:numFmt w:val="bullet"/>
      <w:lvlText w:val="-"/>
      <w:lvlJc w:val="left"/>
      <w:pPr>
        <w:tabs>
          <w:tab w:val="num" w:pos="1068"/>
        </w:tabs>
        <w:ind w:left="1068" w:hanging="360"/>
      </w:pPr>
      <w:rPr>
        <w:rFonts w:ascii="Bookman Old Style" w:eastAsia="Times New Roman" w:hAnsi="Bookman Old Style" w:cs="Times New Roman" w:hint="default"/>
      </w:rPr>
    </w:lvl>
    <w:lvl w:ilvl="1" w:tplc="78C6D638">
      <w:start w:val="4"/>
      <w:numFmt w:val="bullet"/>
      <w:lvlText w:val=""/>
      <w:lvlJc w:val="left"/>
      <w:pPr>
        <w:tabs>
          <w:tab w:val="num" w:pos="907"/>
        </w:tabs>
        <w:ind w:left="0" w:firstLine="907"/>
      </w:pPr>
      <w:rPr>
        <w:rFonts w:ascii="Wingdings" w:hAnsi="Wingdings"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688B5965"/>
    <w:multiLevelType w:val="hybridMultilevel"/>
    <w:tmpl w:val="EC2012FA"/>
    <w:lvl w:ilvl="0" w:tplc="A53EBA34">
      <w:start w:val="1"/>
      <w:numFmt w:val="upp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6" w15:restartNumberingAfterBreak="0">
    <w:nsid w:val="6B282CDB"/>
    <w:multiLevelType w:val="hybridMultilevel"/>
    <w:tmpl w:val="30D0E07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7" w15:restartNumberingAfterBreak="0">
    <w:nsid w:val="70972D63"/>
    <w:multiLevelType w:val="hybridMultilevel"/>
    <w:tmpl w:val="10724B92"/>
    <w:lvl w:ilvl="0" w:tplc="0409000B">
      <w:start w:val="1"/>
      <w:numFmt w:val="bullet"/>
      <w:lvlText w:val=""/>
      <w:lvlJc w:val="left"/>
      <w:pPr>
        <w:ind w:left="225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8" w15:restartNumberingAfterBreak="0">
    <w:nsid w:val="744553A1"/>
    <w:multiLevelType w:val="hybridMultilevel"/>
    <w:tmpl w:val="FAAE9B5E"/>
    <w:lvl w:ilvl="0" w:tplc="D19AC00A">
      <w:start w:val="1"/>
      <w:numFmt w:val="upp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39" w15:restartNumberingAfterBreak="0">
    <w:nsid w:val="755F7E1F"/>
    <w:multiLevelType w:val="hybridMultilevel"/>
    <w:tmpl w:val="D6FC3C00"/>
    <w:lvl w:ilvl="0" w:tplc="04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0" w15:restartNumberingAfterBreak="0">
    <w:nsid w:val="7C8A1B54"/>
    <w:multiLevelType w:val="hybridMultilevel"/>
    <w:tmpl w:val="98825E80"/>
    <w:lvl w:ilvl="0" w:tplc="635C21F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7CBB5B07"/>
    <w:multiLevelType w:val="hybridMultilevel"/>
    <w:tmpl w:val="01CC4210"/>
    <w:lvl w:ilvl="0" w:tplc="4BB85608">
      <w:start w:val="1"/>
      <w:numFmt w:val="bullet"/>
      <w:lvlText w:val="▪"/>
      <w:lvlJc w:val="left"/>
      <w:pPr>
        <w:ind w:left="1068" w:hanging="360"/>
      </w:pPr>
      <w:rPr>
        <w:rFonts w:ascii="Bookman Old Style" w:eastAsia="Bookman Old Style" w:hAnsi="Bookman Old Style" w:cs="Bookman Old Style" w:hint="default"/>
        <w:b w:val="0"/>
        <w:i w:val="0"/>
        <w:strike w:val="0"/>
        <w:dstrike w:val="0"/>
        <w:color w:val="333399"/>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1E1F2C"/>
    <w:multiLevelType w:val="hybridMultilevel"/>
    <w:tmpl w:val="1DD0F4FE"/>
    <w:lvl w:ilvl="0" w:tplc="A0E4E48C">
      <w:start w:val="3"/>
      <w:numFmt w:val="bullet"/>
      <w:lvlText w:val="-"/>
      <w:lvlJc w:val="left"/>
      <w:pPr>
        <w:ind w:left="1429" w:hanging="360"/>
      </w:pPr>
      <w:rPr>
        <w:rFonts w:ascii="Calibri" w:eastAsia="Times New Roman" w:hAnsi="Calibri" w:cs="Calibri" w:hint="default"/>
        <w:color w:val="auto"/>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3" w15:restartNumberingAfterBreak="0">
    <w:nsid w:val="7E7F16A2"/>
    <w:multiLevelType w:val="hybridMultilevel"/>
    <w:tmpl w:val="21FAEB12"/>
    <w:lvl w:ilvl="0" w:tplc="4874ED82">
      <w:start w:val="4"/>
      <w:numFmt w:val="bullet"/>
      <w:lvlText w:val="-"/>
      <w:lvlJc w:val="left"/>
      <w:pPr>
        <w:tabs>
          <w:tab w:val="num" w:pos="1680"/>
        </w:tabs>
        <w:ind w:left="1680" w:hanging="960"/>
      </w:pPr>
      <w:rPr>
        <w:rFonts w:ascii="Garamond (W1)" w:eastAsia="Times New Roman" w:hAnsi="Garamond (W1)" w:cs="Arabic Typesetting"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16cid:durableId="370695293">
    <w:abstractNumId w:val="38"/>
  </w:num>
  <w:num w:numId="2" w16cid:durableId="2108379305">
    <w:abstractNumId w:val="25"/>
  </w:num>
  <w:num w:numId="3" w16cid:durableId="1072312362">
    <w:abstractNumId w:val="7"/>
  </w:num>
  <w:num w:numId="4" w16cid:durableId="18850931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46809851">
    <w:abstractNumId w:val="31"/>
  </w:num>
  <w:num w:numId="6" w16cid:durableId="1674915880">
    <w:abstractNumId w:val="11"/>
  </w:num>
  <w:num w:numId="7" w16cid:durableId="2066642382">
    <w:abstractNumId w:val="0"/>
  </w:num>
  <w:num w:numId="8" w16cid:durableId="761727877">
    <w:abstractNumId w:val="24"/>
  </w:num>
  <w:num w:numId="9" w16cid:durableId="703478792">
    <w:abstractNumId w:val="43"/>
  </w:num>
  <w:num w:numId="10" w16cid:durableId="1005547767">
    <w:abstractNumId w:val="28"/>
  </w:num>
  <w:num w:numId="11" w16cid:durableId="614922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74584339">
    <w:abstractNumId w:val="22"/>
  </w:num>
  <w:num w:numId="13" w16cid:durableId="789934957">
    <w:abstractNumId w:val="5"/>
  </w:num>
  <w:num w:numId="14" w16cid:durableId="1619531873">
    <w:abstractNumId w:val="14"/>
  </w:num>
  <w:num w:numId="15" w16cid:durableId="1672876464">
    <w:abstractNumId w:val="21"/>
  </w:num>
  <w:num w:numId="16" w16cid:durableId="1884519621">
    <w:abstractNumId w:val="13"/>
  </w:num>
  <w:num w:numId="17" w16cid:durableId="1829666242">
    <w:abstractNumId w:val="40"/>
  </w:num>
  <w:num w:numId="18" w16cid:durableId="21380674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0826385">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95376376">
    <w:abstractNumId w:val="23"/>
  </w:num>
  <w:num w:numId="21" w16cid:durableId="661280074">
    <w:abstractNumId w:val="4"/>
  </w:num>
  <w:num w:numId="22" w16cid:durableId="1636444250">
    <w:abstractNumId w:val="29"/>
  </w:num>
  <w:num w:numId="23" w16cid:durableId="1728187333">
    <w:abstractNumId w:val="6"/>
  </w:num>
  <w:num w:numId="24" w16cid:durableId="18774095">
    <w:abstractNumId w:val="32"/>
  </w:num>
  <w:num w:numId="25" w16cid:durableId="2131388990">
    <w:abstractNumId w:val="17"/>
  </w:num>
  <w:num w:numId="26" w16cid:durableId="279991134">
    <w:abstractNumId w:val="33"/>
  </w:num>
  <w:num w:numId="27" w16cid:durableId="1433817114">
    <w:abstractNumId w:val="41"/>
  </w:num>
  <w:num w:numId="28" w16cid:durableId="366755354">
    <w:abstractNumId w:val="27"/>
  </w:num>
  <w:num w:numId="29" w16cid:durableId="7101321">
    <w:abstractNumId w:val="16"/>
  </w:num>
  <w:num w:numId="30" w16cid:durableId="12149643">
    <w:abstractNumId w:val="1"/>
  </w:num>
  <w:num w:numId="31" w16cid:durableId="520358724">
    <w:abstractNumId w:val="10"/>
  </w:num>
  <w:num w:numId="32" w16cid:durableId="2046326006">
    <w:abstractNumId w:val="42"/>
  </w:num>
  <w:num w:numId="33" w16cid:durableId="287316756">
    <w:abstractNumId w:val="15"/>
  </w:num>
  <w:num w:numId="34" w16cid:durableId="1053312719">
    <w:abstractNumId w:val="26"/>
  </w:num>
  <w:num w:numId="35" w16cid:durableId="410322918">
    <w:abstractNumId w:val="37"/>
  </w:num>
  <w:num w:numId="36" w16cid:durableId="1636835548">
    <w:abstractNumId w:val="20"/>
  </w:num>
  <w:num w:numId="37" w16cid:durableId="52317074">
    <w:abstractNumId w:val="8"/>
  </w:num>
  <w:num w:numId="38" w16cid:durableId="1672414750">
    <w:abstractNumId w:val="12"/>
  </w:num>
  <w:num w:numId="39" w16cid:durableId="1272736563">
    <w:abstractNumId w:val="18"/>
  </w:num>
  <w:num w:numId="40" w16cid:durableId="1429235808">
    <w:abstractNumId w:val="39"/>
  </w:num>
  <w:num w:numId="41" w16cid:durableId="551617356">
    <w:abstractNumId w:val="35"/>
  </w:num>
  <w:num w:numId="42" w16cid:durableId="460148972">
    <w:abstractNumId w:val="30"/>
  </w:num>
  <w:num w:numId="43" w16cid:durableId="899294613">
    <w:abstractNumId w:val="36"/>
  </w:num>
  <w:num w:numId="44" w16cid:durableId="85468785">
    <w:abstractNumId w:val="1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E0B"/>
    <w:rsid w:val="00000948"/>
    <w:rsid w:val="00000E2B"/>
    <w:rsid w:val="00003FDB"/>
    <w:rsid w:val="00005BD8"/>
    <w:rsid w:val="00005CC2"/>
    <w:rsid w:val="00007E3F"/>
    <w:rsid w:val="00010B3D"/>
    <w:rsid w:val="00010D34"/>
    <w:rsid w:val="000132A0"/>
    <w:rsid w:val="0001595E"/>
    <w:rsid w:val="00016C07"/>
    <w:rsid w:val="00016FC5"/>
    <w:rsid w:val="000170EF"/>
    <w:rsid w:val="000173B1"/>
    <w:rsid w:val="00021845"/>
    <w:rsid w:val="00021A77"/>
    <w:rsid w:val="00021ABC"/>
    <w:rsid w:val="000239CD"/>
    <w:rsid w:val="000247A7"/>
    <w:rsid w:val="00025DD5"/>
    <w:rsid w:val="000264F0"/>
    <w:rsid w:val="00027977"/>
    <w:rsid w:val="0003082F"/>
    <w:rsid w:val="000308D9"/>
    <w:rsid w:val="00030AEB"/>
    <w:rsid w:val="00030B17"/>
    <w:rsid w:val="0003174C"/>
    <w:rsid w:val="00031A50"/>
    <w:rsid w:val="000320FE"/>
    <w:rsid w:val="00032512"/>
    <w:rsid w:val="00032E34"/>
    <w:rsid w:val="00034A77"/>
    <w:rsid w:val="00034F05"/>
    <w:rsid w:val="00035473"/>
    <w:rsid w:val="000363DB"/>
    <w:rsid w:val="00036BE0"/>
    <w:rsid w:val="00040104"/>
    <w:rsid w:val="00040359"/>
    <w:rsid w:val="00040CE8"/>
    <w:rsid w:val="00042A22"/>
    <w:rsid w:val="000433CD"/>
    <w:rsid w:val="000434DA"/>
    <w:rsid w:val="000438EC"/>
    <w:rsid w:val="000439A0"/>
    <w:rsid w:val="00043B71"/>
    <w:rsid w:val="00045725"/>
    <w:rsid w:val="00046597"/>
    <w:rsid w:val="000466E6"/>
    <w:rsid w:val="00046F6E"/>
    <w:rsid w:val="00047F4D"/>
    <w:rsid w:val="00050EA4"/>
    <w:rsid w:val="000514B8"/>
    <w:rsid w:val="00051694"/>
    <w:rsid w:val="000516FC"/>
    <w:rsid w:val="000529AB"/>
    <w:rsid w:val="000546E1"/>
    <w:rsid w:val="00054C53"/>
    <w:rsid w:val="000550EF"/>
    <w:rsid w:val="00055327"/>
    <w:rsid w:val="000558C3"/>
    <w:rsid w:val="00055DDE"/>
    <w:rsid w:val="00055F63"/>
    <w:rsid w:val="0005685B"/>
    <w:rsid w:val="00056908"/>
    <w:rsid w:val="00056C92"/>
    <w:rsid w:val="00060263"/>
    <w:rsid w:val="00060958"/>
    <w:rsid w:val="00060B02"/>
    <w:rsid w:val="00061D94"/>
    <w:rsid w:val="0006282E"/>
    <w:rsid w:val="000638BE"/>
    <w:rsid w:val="00063FC3"/>
    <w:rsid w:val="000650DF"/>
    <w:rsid w:val="00065B4A"/>
    <w:rsid w:val="00065F26"/>
    <w:rsid w:val="000671AF"/>
    <w:rsid w:val="00067962"/>
    <w:rsid w:val="0007086D"/>
    <w:rsid w:val="00070CBD"/>
    <w:rsid w:val="00071494"/>
    <w:rsid w:val="00073092"/>
    <w:rsid w:val="000751D9"/>
    <w:rsid w:val="000800F5"/>
    <w:rsid w:val="00080B02"/>
    <w:rsid w:val="000813D1"/>
    <w:rsid w:val="00081E5B"/>
    <w:rsid w:val="00083C02"/>
    <w:rsid w:val="00083E1C"/>
    <w:rsid w:val="00085C84"/>
    <w:rsid w:val="0008636B"/>
    <w:rsid w:val="00086FFA"/>
    <w:rsid w:val="000879FA"/>
    <w:rsid w:val="00087B69"/>
    <w:rsid w:val="00087CD3"/>
    <w:rsid w:val="00090EC7"/>
    <w:rsid w:val="000916F7"/>
    <w:rsid w:val="0009174B"/>
    <w:rsid w:val="000917EC"/>
    <w:rsid w:val="00093F4B"/>
    <w:rsid w:val="00094E76"/>
    <w:rsid w:val="00095BA5"/>
    <w:rsid w:val="00096F8D"/>
    <w:rsid w:val="000973B9"/>
    <w:rsid w:val="00097EFD"/>
    <w:rsid w:val="000A052D"/>
    <w:rsid w:val="000A08F1"/>
    <w:rsid w:val="000A0BF0"/>
    <w:rsid w:val="000A154C"/>
    <w:rsid w:val="000A3408"/>
    <w:rsid w:val="000A3D59"/>
    <w:rsid w:val="000A4028"/>
    <w:rsid w:val="000A5385"/>
    <w:rsid w:val="000A5BB2"/>
    <w:rsid w:val="000A6A12"/>
    <w:rsid w:val="000A6E4D"/>
    <w:rsid w:val="000A7E28"/>
    <w:rsid w:val="000B0BA0"/>
    <w:rsid w:val="000B1C72"/>
    <w:rsid w:val="000B1DB7"/>
    <w:rsid w:val="000B2BEB"/>
    <w:rsid w:val="000B3441"/>
    <w:rsid w:val="000B3454"/>
    <w:rsid w:val="000B3B9F"/>
    <w:rsid w:val="000B45AC"/>
    <w:rsid w:val="000B4AD4"/>
    <w:rsid w:val="000B517D"/>
    <w:rsid w:val="000B56FB"/>
    <w:rsid w:val="000B5B0E"/>
    <w:rsid w:val="000B5F54"/>
    <w:rsid w:val="000B639A"/>
    <w:rsid w:val="000B720B"/>
    <w:rsid w:val="000C070E"/>
    <w:rsid w:val="000C13B2"/>
    <w:rsid w:val="000C1923"/>
    <w:rsid w:val="000C23C6"/>
    <w:rsid w:val="000C2498"/>
    <w:rsid w:val="000C3F48"/>
    <w:rsid w:val="000C406B"/>
    <w:rsid w:val="000C431F"/>
    <w:rsid w:val="000C4995"/>
    <w:rsid w:val="000C6C00"/>
    <w:rsid w:val="000C6CDA"/>
    <w:rsid w:val="000C7A76"/>
    <w:rsid w:val="000D0B75"/>
    <w:rsid w:val="000D18C5"/>
    <w:rsid w:val="000D42FB"/>
    <w:rsid w:val="000D44E1"/>
    <w:rsid w:val="000D474C"/>
    <w:rsid w:val="000D4F0C"/>
    <w:rsid w:val="000D5442"/>
    <w:rsid w:val="000D5BDF"/>
    <w:rsid w:val="000D6C70"/>
    <w:rsid w:val="000D7E8B"/>
    <w:rsid w:val="000E06DB"/>
    <w:rsid w:val="000E076F"/>
    <w:rsid w:val="000E154E"/>
    <w:rsid w:val="000E19C5"/>
    <w:rsid w:val="000E1EA9"/>
    <w:rsid w:val="000E34D7"/>
    <w:rsid w:val="000E387E"/>
    <w:rsid w:val="000E5A4C"/>
    <w:rsid w:val="000E6B95"/>
    <w:rsid w:val="000E6BA9"/>
    <w:rsid w:val="000F05F2"/>
    <w:rsid w:val="000F0D8B"/>
    <w:rsid w:val="000F1325"/>
    <w:rsid w:val="000F2FEC"/>
    <w:rsid w:val="000F34B0"/>
    <w:rsid w:val="000F37DE"/>
    <w:rsid w:val="000F3CD1"/>
    <w:rsid w:val="000F4403"/>
    <w:rsid w:val="000F52E0"/>
    <w:rsid w:val="000F788F"/>
    <w:rsid w:val="000F7F7F"/>
    <w:rsid w:val="001005A7"/>
    <w:rsid w:val="00102D04"/>
    <w:rsid w:val="001040CF"/>
    <w:rsid w:val="001051E8"/>
    <w:rsid w:val="00111643"/>
    <w:rsid w:val="00111DDA"/>
    <w:rsid w:val="00112FA9"/>
    <w:rsid w:val="00113059"/>
    <w:rsid w:val="00113498"/>
    <w:rsid w:val="001141A5"/>
    <w:rsid w:val="00114ED4"/>
    <w:rsid w:val="0011526F"/>
    <w:rsid w:val="001172D0"/>
    <w:rsid w:val="00120E2B"/>
    <w:rsid w:val="00122DB5"/>
    <w:rsid w:val="00123295"/>
    <w:rsid w:val="00123E94"/>
    <w:rsid w:val="0012437C"/>
    <w:rsid w:val="001245D1"/>
    <w:rsid w:val="00125A13"/>
    <w:rsid w:val="00125B4A"/>
    <w:rsid w:val="00126573"/>
    <w:rsid w:val="001265B8"/>
    <w:rsid w:val="001267BF"/>
    <w:rsid w:val="00127151"/>
    <w:rsid w:val="0012767B"/>
    <w:rsid w:val="001278AE"/>
    <w:rsid w:val="00130652"/>
    <w:rsid w:val="0013179E"/>
    <w:rsid w:val="00131F21"/>
    <w:rsid w:val="00132620"/>
    <w:rsid w:val="00132694"/>
    <w:rsid w:val="00133421"/>
    <w:rsid w:val="00133B90"/>
    <w:rsid w:val="00133D5D"/>
    <w:rsid w:val="0013587A"/>
    <w:rsid w:val="001409C4"/>
    <w:rsid w:val="00140BF7"/>
    <w:rsid w:val="0014223C"/>
    <w:rsid w:val="00142666"/>
    <w:rsid w:val="001429B9"/>
    <w:rsid w:val="00143852"/>
    <w:rsid w:val="00143E58"/>
    <w:rsid w:val="00144E9E"/>
    <w:rsid w:val="001453E1"/>
    <w:rsid w:val="001464EC"/>
    <w:rsid w:val="00150131"/>
    <w:rsid w:val="001504B8"/>
    <w:rsid w:val="00151AEE"/>
    <w:rsid w:val="00151BEB"/>
    <w:rsid w:val="001523BE"/>
    <w:rsid w:val="00152567"/>
    <w:rsid w:val="001525AC"/>
    <w:rsid w:val="00153AB9"/>
    <w:rsid w:val="00155B36"/>
    <w:rsid w:val="00155D67"/>
    <w:rsid w:val="00157454"/>
    <w:rsid w:val="00157936"/>
    <w:rsid w:val="001600A7"/>
    <w:rsid w:val="001600CB"/>
    <w:rsid w:val="00161763"/>
    <w:rsid w:val="00161806"/>
    <w:rsid w:val="00161EBA"/>
    <w:rsid w:val="00164DB3"/>
    <w:rsid w:val="00165B7E"/>
    <w:rsid w:val="001661C1"/>
    <w:rsid w:val="00166FA6"/>
    <w:rsid w:val="001671DE"/>
    <w:rsid w:val="001677FC"/>
    <w:rsid w:val="00170A5F"/>
    <w:rsid w:val="0017447E"/>
    <w:rsid w:val="00174CC0"/>
    <w:rsid w:val="00175A22"/>
    <w:rsid w:val="00175DF7"/>
    <w:rsid w:val="00177938"/>
    <w:rsid w:val="0018018E"/>
    <w:rsid w:val="001805FB"/>
    <w:rsid w:val="001806E6"/>
    <w:rsid w:val="0018323E"/>
    <w:rsid w:val="00184E17"/>
    <w:rsid w:val="001859D7"/>
    <w:rsid w:val="001862D3"/>
    <w:rsid w:val="00186313"/>
    <w:rsid w:val="00191A6D"/>
    <w:rsid w:val="001921CD"/>
    <w:rsid w:val="001923EE"/>
    <w:rsid w:val="00192A4E"/>
    <w:rsid w:val="001930C1"/>
    <w:rsid w:val="001933D0"/>
    <w:rsid w:val="00194DD8"/>
    <w:rsid w:val="00194FF9"/>
    <w:rsid w:val="0019743C"/>
    <w:rsid w:val="00197DB6"/>
    <w:rsid w:val="001A07B1"/>
    <w:rsid w:val="001A22B3"/>
    <w:rsid w:val="001A29F5"/>
    <w:rsid w:val="001A3940"/>
    <w:rsid w:val="001A3FFE"/>
    <w:rsid w:val="001A4C6D"/>
    <w:rsid w:val="001A5F39"/>
    <w:rsid w:val="001A6078"/>
    <w:rsid w:val="001B09DD"/>
    <w:rsid w:val="001B2248"/>
    <w:rsid w:val="001B26F5"/>
    <w:rsid w:val="001B3630"/>
    <w:rsid w:val="001B5B35"/>
    <w:rsid w:val="001B619A"/>
    <w:rsid w:val="001B7B9B"/>
    <w:rsid w:val="001B7F1B"/>
    <w:rsid w:val="001C16DD"/>
    <w:rsid w:val="001C210D"/>
    <w:rsid w:val="001C2673"/>
    <w:rsid w:val="001C2FDA"/>
    <w:rsid w:val="001C423C"/>
    <w:rsid w:val="001C45AF"/>
    <w:rsid w:val="001C5CD5"/>
    <w:rsid w:val="001D1FD1"/>
    <w:rsid w:val="001D477A"/>
    <w:rsid w:val="001D59F3"/>
    <w:rsid w:val="001D5A82"/>
    <w:rsid w:val="001D5C5E"/>
    <w:rsid w:val="001E0AC2"/>
    <w:rsid w:val="001E1B97"/>
    <w:rsid w:val="001E267A"/>
    <w:rsid w:val="001E3777"/>
    <w:rsid w:val="001E384F"/>
    <w:rsid w:val="001E3F01"/>
    <w:rsid w:val="001E48D0"/>
    <w:rsid w:val="001E4A5F"/>
    <w:rsid w:val="001E500E"/>
    <w:rsid w:val="001E5D19"/>
    <w:rsid w:val="001E78F3"/>
    <w:rsid w:val="001E7CF5"/>
    <w:rsid w:val="001F04B3"/>
    <w:rsid w:val="001F0A81"/>
    <w:rsid w:val="001F0ED8"/>
    <w:rsid w:val="001F11E7"/>
    <w:rsid w:val="001F157D"/>
    <w:rsid w:val="001F1C5B"/>
    <w:rsid w:val="001F1E8C"/>
    <w:rsid w:val="001F2933"/>
    <w:rsid w:val="001F2B1E"/>
    <w:rsid w:val="001F2E0B"/>
    <w:rsid w:val="001F515E"/>
    <w:rsid w:val="001F56F6"/>
    <w:rsid w:val="001F5B52"/>
    <w:rsid w:val="001F5B86"/>
    <w:rsid w:val="001F624B"/>
    <w:rsid w:val="001F6F7B"/>
    <w:rsid w:val="00200C42"/>
    <w:rsid w:val="00200C80"/>
    <w:rsid w:val="002019FA"/>
    <w:rsid w:val="00201FE2"/>
    <w:rsid w:val="00204FAB"/>
    <w:rsid w:val="0020566A"/>
    <w:rsid w:val="00207FBA"/>
    <w:rsid w:val="002113A3"/>
    <w:rsid w:val="0021307A"/>
    <w:rsid w:val="002131C5"/>
    <w:rsid w:val="00213BE5"/>
    <w:rsid w:val="002146CA"/>
    <w:rsid w:val="002157DF"/>
    <w:rsid w:val="00215950"/>
    <w:rsid w:val="00216EFB"/>
    <w:rsid w:val="002205BA"/>
    <w:rsid w:val="00221994"/>
    <w:rsid w:val="0022323C"/>
    <w:rsid w:val="002237F5"/>
    <w:rsid w:val="0022520D"/>
    <w:rsid w:val="00226AA2"/>
    <w:rsid w:val="0022788C"/>
    <w:rsid w:val="00230DF5"/>
    <w:rsid w:val="00231534"/>
    <w:rsid w:val="00231C3D"/>
    <w:rsid w:val="0023276C"/>
    <w:rsid w:val="00233D70"/>
    <w:rsid w:val="00233FBD"/>
    <w:rsid w:val="00235064"/>
    <w:rsid w:val="00242494"/>
    <w:rsid w:val="0024372A"/>
    <w:rsid w:val="0024434F"/>
    <w:rsid w:val="00250275"/>
    <w:rsid w:val="00251AF4"/>
    <w:rsid w:val="0025238C"/>
    <w:rsid w:val="0025293F"/>
    <w:rsid w:val="00252E3D"/>
    <w:rsid w:val="00253738"/>
    <w:rsid w:val="00253C31"/>
    <w:rsid w:val="00254964"/>
    <w:rsid w:val="00254E5E"/>
    <w:rsid w:val="00255A74"/>
    <w:rsid w:val="00255AD3"/>
    <w:rsid w:val="0025675D"/>
    <w:rsid w:val="0025754A"/>
    <w:rsid w:val="0026019E"/>
    <w:rsid w:val="00262F8E"/>
    <w:rsid w:val="00263C97"/>
    <w:rsid w:val="00264AC7"/>
    <w:rsid w:val="00265522"/>
    <w:rsid w:val="00266234"/>
    <w:rsid w:val="002663AA"/>
    <w:rsid w:val="00266D2F"/>
    <w:rsid w:val="00266DC9"/>
    <w:rsid w:val="00270BE9"/>
    <w:rsid w:val="002715FB"/>
    <w:rsid w:val="00271E40"/>
    <w:rsid w:val="002724B2"/>
    <w:rsid w:val="00272993"/>
    <w:rsid w:val="00272F80"/>
    <w:rsid w:val="0027320F"/>
    <w:rsid w:val="0027368F"/>
    <w:rsid w:val="00274BD8"/>
    <w:rsid w:val="00274D38"/>
    <w:rsid w:val="00277C94"/>
    <w:rsid w:val="00280204"/>
    <w:rsid w:val="002810A2"/>
    <w:rsid w:val="00281400"/>
    <w:rsid w:val="00281CDF"/>
    <w:rsid w:val="00282999"/>
    <w:rsid w:val="00282E5B"/>
    <w:rsid w:val="00283871"/>
    <w:rsid w:val="00283924"/>
    <w:rsid w:val="00285715"/>
    <w:rsid w:val="00285FCF"/>
    <w:rsid w:val="002910CB"/>
    <w:rsid w:val="00291D94"/>
    <w:rsid w:val="002925F9"/>
    <w:rsid w:val="0029288C"/>
    <w:rsid w:val="002929B2"/>
    <w:rsid w:val="00294578"/>
    <w:rsid w:val="00294A62"/>
    <w:rsid w:val="0029541E"/>
    <w:rsid w:val="00295716"/>
    <w:rsid w:val="00295D06"/>
    <w:rsid w:val="0029654B"/>
    <w:rsid w:val="002968ED"/>
    <w:rsid w:val="002A13CD"/>
    <w:rsid w:val="002A2289"/>
    <w:rsid w:val="002A34C4"/>
    <w:rsid w:val="002A3555"/>
    <w:rsid w:val="002A41F7"/>
    <w:rsid w:val="002A495B"/>
    <w:rsid w:val="002A4E0C"/>
    <w:rsid w:val="002A540D"/>
    <w:rsid w:val="002A5F6F"/>
    <w:rsid w:val="002A679A"/>
    <w:rsid w:val="002A7A08"/>
    <w:rsid w:val="002A7A0A"/>
    <w:rsid w:val="002B0B3A"/>
    <w:rsid w:val="002B38BC"/>
    <w:rsid w:val="002B548C"/>
    <w:rsid w:val="002B733D"/>
    <w:rsid w:val="002C0F8B"/>
    <w:rsid w:val="002C1418"/>
    <w:rsid w:val="002C1740"/>
    <w:rsid w:val="002C206D"/>
    <w:rsid w:val="002C2A54"/>
    <w:rsid w:val="002C3CC0"/>
    <w:rsid w:val="002C4AE2"/>
    <w:rsid w:val="002C57B9"/>
    <w:rsid w:val="002D02D1"/>
    <w:rsid w:val="002D1B9E"/>
    <w:rsid w:val="002D1DCA"/>
    <w:rsid w:val="002D2047"/>
    <w:rsid w:val="002D2740"/>
    <w:rsid w:val="002D4973"/>
    <w:rsid w:val="002D49E4"/>
    <w:rsid w:val="002D4A69"/>
    <w:rsid w:val="002D4EEB"/>
    <w:rsid w:val="002D62D0"/>
    <w:rsid w:val="002D6FB2"/>
    <w:rsid w:val="002D7A69"/>
    <w:rsid w:val="002D7CBA"/>
    <w:rsid w:val="002E0C1C"/>
    <w:rsid w:val="002E0CC1"/>
    <w:rsid w:val="002E1B4C"/>
    <w:rsid w:val="002E346E"/>
    <w:rsid w:val="002E39A3"/>
    <w:rsid w:val="002E4F85"/>
    <w:rsid w:val="002E5BE8"/>
    <w:rsid w:val="002F01F2"/>
    <w:rsid w:val="002F0321"/>
    <w:rsid w:val="002F24EE"/>
    <w:rsid w:val="002F25CA"/>
    <w:rsid w:val="002F469F"/>
    <w:rsid w:val="002F4EDC"/>
    <w:rsid w:val="002F5CC9"/>
    <w:rsid w:val="002F6DF0"/>
    <w:rsid w:val="003005D7"/>
    <w:rsid w:val="0030202A"/>
    <w:rsid w:val="003022CD"/>
    <w:rsid w:val="00302D37"/>
    <w:rsid w:val="00303E82"/>
    <w:rsid w:val="003046E4"/>
    <w:rsid w:val="00304C36"/>
    <w:rsid w:val="003069D2"/>
    <w:rsid w:val="00306ADE"/>
    <w:rsid w:val="00307998"/>
    <w:rsid w:val="003105E4"/>
    <w:rsid w:val="00311396"/>
    <w:rsid w:val="003175C4"/>
    <w:rsid w:val="00317E03"/>
    <w:rsid w:val="00322B22"/>
    <w:rsid w:val="00324A62"/>
    <w:rsid w:val="003250FC"/>
    <w:rsid w:val="00325D8E"/>
    <w:rsid w:val="00326100"/>
    <w:rsid w:val="003302EB"/>
    <w:rsid w:val="003311B4"/>
    <w:rsid w:val="00332B75"/>
    <w:rsid w:val="003334C6"/>
    <w:rsid w:val="003335F9"/>
    <w:rsid w:val="003350CB"/>
    <w:rsid w:val="003355B0"/>
    <w:rsid w:val="0033588F"/>
    <w:rsid w:val="00336381"/>
    <w:rsid w:val="0033659A"/>
    <w:rsid w:val="00336F45"/>
    <w:rsid w:val="003379BB"/>
    <w:rsid w:val="00337F6D"/>
    <w:rsid w:val="00341428"/>
    <w:rsid w:val="00341548"/>
    <w:rsid w:val="0034350E"/>
    <w:rsid w:val="00343CA6"/>
    <w:rsid w:val="003444E2"/>
    <w:rsid w:val="0034506F"/>
    <w:rsid w:val="003463FD"/>
    <w:rsid w:val="00347670"/>
    <w:rsid w:val="003477FA"/>
    <w:rsid w:val="00350E91"/>
    <w:rsid w:val="00350EEE"/>
    <w:rsid w:val="00351BB1"/>
    <w:rsid w:val="00353EBC"/>
    <w:rsid w:val="0035438F"/>
    <w:rsid w:val="0035598A"/>
    <w:rsid w:val="003562EC"/>
    <w:rsid w:val="0035692A"/>
    <w:rsid w:val="00357074"/>
    <w:rsid w:val="0035751A"/>
    <w:rsid w:val="00357C08"/>
    <w:rsid w:val="0036063B"/>
    <w:rsid w:val="00360E52"/>
    <w:rsid w:val="00362BDB"/>
    <w:rsid w:val="0036332E"/>
    <w:rsid w:val="00364271"/>
    <w:rsid w:val="003657DC"/>
    <w:rsid w:val="003672E9"/>
    <w:rsid w:val="00367830"/>
    <w:rsid w:val="003679FC"/>
    <w:rsid w:val="00370181"/>
    <w:rsid w:val="00370D08"/>
    <w:rsid w:val="00371DA2"/>
    <w:rsid w:val="00374561"/>
    <w:rsid w:val="003746EC"/>
    <w:rsid w:val="00374A61"/>
    <w:rsid w:val="003778DE"/>
    <w:rsid w:val="00377B97"/>
    <w:rsid w:val="00380430"/>
    <w:rsid w:val="00380D05"/>
    <w:rsid w:val="00380D63"/>
    <w:rsid w:val="00382D0E"/>
    <w:rsid w:val="00383322"/>
    <w:rsid w:val="00383CF7"/>
    <w:rsid w:val="00384B57"/>
    <w:rsid w:val="00384EA2"/>
    <w:rsid w:val="00387149"/>
    <w:rsid w:val="00390C59"/>
    <w:rsid w:val="003918CF"/>
    <w:rsid w:val="003922F3"/>
    <w:rsid w:val="00392735"/>
    <w:rsid w:val="00392E2D"/>
    <w:rsid w:val="003933B3"/>
    <w:rsid w:val="00396833"/>
    <w:rsid w:val="00396A55"/>
    <w:rsid w:val="00397765"/>
    <w:rsid w:val="003A1C2B"/>
    <w:rsid w:val="003A2BC2"/>
    <w:rsid w:val="003A40B8"/>
    <w:rsid w:val="003A45BC"/>
    <w:rsid w:val="003A4F3F"/>
    <w:rsid w:val="003A5130"/>
    <w:rsid w:val="003A5545"/>
    <w:rsid w:val="003A5D3F"/>
    <w:rsid w:val="003A612D"/>
    <w:rsid w:val="003A6C35"/>
    <w:rsid w:val="003A6E9D"/>
    <w:rsid w:val="003B235F"/>
    <w:rsid w:val="003B2E77"/>
    <w:rsid w:val="003B3BF8"/>
    <w:rsid w:val="003B5B08"/>
    <w:rsid w:val="003B627E"/>
    <w:rsid w:val="003C20E4"/>
    <w:rsid w:val="003C252B"/>
    <w:rsid w:val="003C289D"/>
    <w:rsid w:val="003C35C9"/>
    <w:rsid w:val="003C369C"/>
    <w:rsid w:val="003C3CBD"/>
    <w:rsid w:val="003C3E6B"/>
    <w:rsid w:val="003C4716"/>
    <w:rsid w:val="003C51AC"/>
    <w:rsid w:val="003C6048"/>
    <w:rsid w:val="003C7063"/>
    <w:rsid w:val="003C75E4"/>
    <w:rsid w:val="003C7E86"/>
    <w:rsid w:val="003D2838"/>
    <w:rsid w:val="003D3E61"/>
    <w:rsid w:val="003D41DE"/>
    <w:rsid w:val="003D6521"/>
    <w:rsid w:val="003D67C0"/>
    <w:rsid w:val="003D77ED"/>
    <w:rsid w:val="003D7A7B"/>
    <w:rsid w:val="003E045E"/>
    <w:rsid w:val="003E0730"/>
    <w:rsid w:val="003E0E83"/>
    <w:rsid w:val="003E217D"/>
    <w:rsid w:val="003E2246"/>
    <w:rsid w:val="003E3E6D"/>
    <w:rsid w:val="003E530B"/>
    <w:rsid w:val="003E73CC"/>
    <w:rsid w:val="003E7499"/>
    <w:rsid w:val="003F2F51"/>
    <w:rsid w:val="003F3275"/>
    <w:rsid w:val="003F42DF"/>
    <w:rsid w:val="003F4F22"/>
    <w:rsid w:val="003F56DF"/>
    <w:rsid w:val="003F7953"/>
    <w:rsid w:val="0040071C"/>
    <w:rsid w:val="00402492"/>
    <w:rsid w:val="00402F6D"/>
    <w:rsid w:val="0040345F"/>
    <w:rsid w:val="004044E4"/>
    <w:rsid w:val="00405365"/>
    <w:rsid w:val="00407A96"/>
    <w:rsid w:val="00410D51"/>
    <w:rsid w:val="00411ADF"/>
    <w:rsid w:val="00411FFF"/>
    <w:rsid w:val="00413F0F"/>
    <w:rsid w:val="00415679"/>
    <w:rsid w:val="0041576D"/>
    <w:rsid w:val="00416454"/>
    <w:rsid w:val="0041689A"/>
    <w:rsid w:val="00417797"/>
    <w:rsid w:val="00421489"/>
    <w:rsid w:val="00422D0D"/>
    <w:rsid w:val="00423F1F"/>
    <w:rsid w:val="00424A13"/>
    <w:rsid w:val="0042563A"/>
    <w:rsid w:val="00425CBC"/>
    <w:rsid w:val="0043072E"/>
    <w:rsid w:val="00430F0A"/>
    <w:rsid w:val="004317EF"/>
    <w:rsid w:val="004321CA"/>
    <w:rsid w:val="004330C1"/>
    <w:rsid w:val="0043423B"/>
    <w:rsid w:val="00435204"/>
    <w:rsid w:val="0043590C"/>
    <w:rsid w:val="00436C28"/>
    <w:rsid w:val="00436D62"/>
    <w:rsid w:val="00437164"/>
    <w:rsid w:val="004402FF"/>
    <w:rsid w:val="004412AD"/>
    <w:rsid w:val="004431CA"/>
    <w:rsid w:val="004437AF"/>
    <w:rsid w:val="00443BC1"/>
    <w:rsid w:val="00447438"/>
    <w:rsid w:val="00447DD4"/>
    <w:rsid w:val="004509D4"/>
    <w:rsid w:val="00450D3F"/>
    <w:rsid w:val="00452374"/>
    <w:rsid w:val="004529CA"/>
    <w:rsid w:val="00452B87"/>
    <w:rsid w:val="00454A2B"/>
    <w:rsid w:val="00454C20"/>
    <w:rsid w:val="004606D5"/>
    <w:rsid w:val="004611CD"/>
    <w:rsid w:val="00461547"/>
    <w:rsid w:val="00462BE9"/>
    <w:rsid w:val="004640CD"/>
    <w:rsid w:val="00464661"/>
    <w:rsid w:val="00465F59"/>
    <w:rsid w:val="00466DBD"/>
    <w:rsid w:val="00467CC1"/>
    <w:rsid w:val="00472A90"/>
    <w:rsid w:val="00473D97"/>
    <w:rsid w:val="004748AD"/>
    <w:rsid w:val="00474A18"/>
    <w:rsid w:val="00474D4A"/>
    <w:rsid w:val="00475870"/>
    <w:rsid w:val="00475F89"/>
    <w:rsid w:val="004772ED"/>
    <w:rsid w:val="004837B1"/>
    <w:rsid w:val="004852A0"/>
    <w:rsid w:val="004853BE"/>
    <w:rsid w:val="004857D6"/>
    <w:rsid w:val="00485E33"/>
    <w:rsid w:val="00487B42"/>
    <w:rsid w:val="00490EE9"/>
    <w:rsid w:val="0049168D"/>
    <w:rsid w:val="00491E1E"/>
    <w:rsid w:val="00493057"/>
    <w:rsid w:val="00493804"/>
    <w:rsid w:val="00494971"/>
    <w:rsid w:val="00497B14"/>
    <w:rsid w:val="00497D0B"/>
    <w:rsid w:val="00497FEB"/>
    <w:rsid w:val="004A0C8A"/>
    <w:rsid w:val="004A1DAA"/>
    <w:rsid w:val="004A29F2"/>
    <w:rsid w:val="004A2B37"/>
    <w:rsid w:val="004A4885"/>
    <w:rsid w:val="004A4FA5"/>
    <w:rsid w:val="004A56C9"/>
    <w:rsid w:val="004A60F7"/>
    <w:rsid w:val="004A6192"/>
    <w:rsid w:val="004A66C8"/>
    <w:rsid w:val="004A6DC4"/>
    <w:rsid w:val="004A7346"/>
    <w:rsid w:val="004B0421"/>
    <w:rsid w:val="004B046A"/>
    <w:rsid w:val="004B0EA2"/>
    <w:rsid w:val="004B1EB0"/>
    <w:rsid w:val="004B443C"/>
    <w:rsid w:val="004B4B9E"/>
    <w:rsid w:val="004B4DCB"/>
    <w:rsid w:val="004B51BA"/>
    <w:rsid w:val="004B577D"/>
    <w:rsid w:val="004B5C1C"/>
    <w:rsid w:val="004B5E95"/>
    <w:rsid w:val="004B6128"/>
    <w:rsid w:val="004B6634"/>
    <w:rsid w:val="004C16C8"/>
    <w:rsid w:val="004C1A98"/>
    <w:rsid w:val="004C3815"/>
    <w:rsid w:val="004C406B"/>
    <w:rsid w:val="004C4D02"/>
    <w:rsid w:val="004C4EB2"/>
    <w:rsid w:val="004C700E"/>
    <w:rsid w:val="004C72B1"/>
    <w:rsid w:val="004D0633"/>
    <w:rsid w:val="004D0DE1"/>
    <w:rsid w:val="004D0FEF"/>
    <w:rsid w:val="004D3FB1"/>
    <w:rsid w:val="004D5702"/>
    <w:rsid w:val="004D5BA5"/>
    <w:rsid w:val="004E177D"/>
    <w:rsid w:val="004E1847"/>
    <w:rsid w:val="004E1E7E"/>
    <w:rsid w:val="004E2141"/>
    <w:rsid w:val="004E295C"/>
    <w:rsid w:val="004E2FE2"/>
    <w:rsid w:val="004E5E2B"/>
    <w:rsid w:val="004E608E"/>
    <w:rsid w:val="004E6665"/>
    <w:rsid w:val="004E699D"/>
    <w:rsid w:val="004E69E8"/>
    <w:rsid w:val="004E6D70"/>
    <w:rsid w:val="004E7188"/>
    <w:rsid w:val="004E7BC3"/>
    <w:rsid w:val="004F1255"/>
    <w:rsid w:val="004F1311"/>
    <w:rsid w:val="004F4243"/>
    <w:rsid w:val="004F6E43"/>
    <w:rsid w:val="00500978"/>
    <w:rsid w:val="005012A9"/>
    <w:rsid w:val="00501DE9"/>
    <w:rsid w:val="00501EC7"/>
    <w:rsid w:val="005027AB"/>
    <w:rsid w:val="00503220"/>
    <w:rsid w:val="00504360"/>
    <w:rsid w:val="005050FB"/>
    <w:rsid w:val="005066A0"/>
    <w:rsid w:val="00506EA4"/>
    <w:rsid w:val="00510D76"/>
    <w:rsid w:val="0051192E"/>
    <w:rsid w:val="00513ABE"/>
    <w:rsid w:val="00514E47"/>
    <w:rsid w:val="00515280"/>
    <w:rsid w:val="00521B8B"/>
    <w:rsid w:val="00521D07"/>
    <w:rsid w:val="00521F8C"/>
    <w:rsid w:val="00522495"/>
    <w:rsid w:val="00523F2C"/>
    <w:rsid w:val="00524384"/>
    <w:rsid w:val="00525863"/>
    <w:rsid w:val="00526C9D"/>
    <w:rsid w:val="0052702E"/>
    <w:rsid w:val="00527F57"/>
    <w:rsid w:val="00530784"/>
    <w:rsid w:val="00533727"/>
    <w:rsid w:val="0053409F"/>
    <w:rsid w:val="00534C25"/>
    <w:rsid w:val="00535DE5"/>
    <w:rsid w:val="00536124"/>
    <w:rsid w:val="0053663D"/>
    <w:rsid w:val="00537867"/>
    <w:rsid w:val="005404F8"/>
    <w:rsid w:val="005418AF"/>
    <w:rsid w:val="005423B1"/>
    <w:rsid w:val="00543080"/>
    <w:rsid w:val="005435A6"/>
    <w:rsid w:val="00545B8F"/>
    <w:rsid w:val="005477F0"/>
    <w:rsid w:val="00547BDF"/>
    <w:rsid w:val="00550673"/>
    <w:rsid w:val="00551FD8"/>
    <w:rsid w:val="00552E31"/>
    <w:rsid w:val="00553B2F"/>
    <w:rsid w:val="00554C01"/>
    <w:rsid w:val="00554DF9"/>
    <w:rsid w:val="005562E3"/>
    <w:rsid w:val="00557106"/>
    <w:rsid w:val="0056080D"/>
    <w:rsid w:val="005625CB"/>
    <w:rsid w:val="005644D9"/>
    <w:rsid w:val="00564DC7"/>
    <w:rsid w:val="005663F0"/>
    <w:rsid w:val="00567512"/>
    <w:rsid w:val="005676CB"/>
    <w:rsid w:val="005715F1"/>
    <w:rsid w:val="00572706"/>
    <w:rsid w:val="00572AA0"/>
    <w:rsid w:val="00574983"/>
    <w:rsid w:val="00576200"/>
    <w:rsid w:val="0057707C"/>
    <w:rsid w:val="005814B4"/>
    <w:rsid w:val="00581CF6"/>
    <w:rsid w:val="005821B9"/>
    <w:rsid w:val="00583D1C"/>
    <w:rsid w:val="005840A9"/>
    <w:rsid w:val="00584380"/>
    <w:rsid w:val="00584713"/>
    <w:rsid w:val="00584952"/>
    <w:rsid w:val="005849CC"/>
    <w:rsid w:val="00586A66"/>
    <w:rsid w:val="00586B39"/>
    <w:rsid w:val="005905C1"/>
    <w:rsid w:val="005910A1"/>
    <w:rsid w:val="005929CE"/>
    <w:rsid w:val="0059415E"/>
    <w:rsid w:val="00595233"/>
    <w:rsid w:val="0059539B"/>
    <w:rsid w:val="005960B4"/>
    <w:rsid w:val="0059651E"/>
    <w:rsid w:val="005976E2"/>
    <w:rsid w:val="005A09A5"/>
    <w:rsid w:val="005A0EBB"/>
    <w:rsid w:val="005A16C1"/>
    <w:rsid w:val="005A2984"/>
    <w:rsid w:val="005A38AC"/>
    <w:rsid w:val="005A3917"/>
    <w:rsid w:val="005A3A5C"/>
    <w:rsid w:val="005A3E2C"/>
    <w:rsid w:val="005A4280"/>
    <w:rsid w:val="005A5767"/>
    <w:rsid w:val="005A61F1"/>
    <w:rsid w:val="005A66B9"/>
    <w:rsid w:val="005A6BE0"/>
    <w:rsid w:val="005A6F25"/>
    <w:rsid w:val="005A7769"/>
    <w:rsid w:val="005A7F42"/>
    <w:rsid w:val="005B000A"/>
    <w:rsid w:val="005B041F"/>
    <w:rsid w:val="005B1899"/>
    <w:rsid w:val="005B1AB2"/>
    <w:rsid w:val="005B300C"/>
    <w:rsid w:val="005B3B7D"/>
    <w:rsid w:val="005B4BB4"/>
    <w:rsid w:val="005B4FD1"/>
    <w:rsid w:val="005B6FCD"/>
    <w:rsid w:val="005B7006"/>
    <w:rsid w:val="005C1250"/>
    <w:rsid w:val="005C164B"/>
    <w:rsid w:val="005C27EE"/>
    <w:rsid w:val="005C4B6A"/>
    <w:rsid w:val="005C5C0B"/>
    <w:rsid w:val="005C68F5"/>
    <w:rsid w:val="005C757E"/>
    <w:rsid w:val="005C7EB9"/>
    <w:rsid w:val="005D00B9"/>
    <w:rsid w:val="005D44F2"/>
    <w:rsid w:val="005D541F"/>
    <w:rsid w:val="005D6760"/>
    <w:rsid w:val="005D6916"/>
    <w:rsid w:val="005D6B82"/>
    <w:rsid w:val="005E0093"/>
    <w:rsid w:val="005E15BD"/>
    <w:rsid w:val="005E1ADD"/>
    <w:rsid w:val="005E3419"/>
    <w:rsid w:val="005E4109"/>
    <w:rsid w:val="005E4553"/>
    <w:rsid w:val="005E4855"/>
    <w:rsid w:val="005E4A43"/>
    <w:rsid w:val="005E4C48"/>
    <w:rsid w:val="005E4CD9"/>
    <w:rsid w:val="005E5535"/>
    <w:rsid w:val="005E5606"/>
    <w:rsid w:val="005E5861"/>
    <w:rsid w:val="005E73F1"/>
    <w:rsid w:val="005E7E58"/>
    <w:rsid w:val="005F0015"/>
    <w:rsid w:val="005F235B"/>
    <w:rsid w:val="005F2B01"/>
    <w:rsid w:val="005F37D7"/>
    <w:rsid w:val="005F4B1E"/>
    <w:rsid w:val="005F4D0B"/>
    <w:rsid w:val="005F5910"/>
    <w:rsid w:val="005F74FA"/>
    <w:rsid w:val="005F7D54"/>
    <w:rsid w:val="005F7DCE"/>
    <w:rsid w:val="00600104"/>
    <w:rsid w:val="006007DD"/>
    <w:rsid w:val="0060341F"/>
    <w:rsid w:val="0060392B"/>
    <w:rsid w:val="00603A40"/>
    <w:rsid w:val="00604405"/>
    <w:rsid w:val="006046B1"/>
    <w:rsid w:val="00605B85"/>
    <w:rsid w:val="00606B89"/>
    <w:rsid w:val="0060735D"/>
    <w:rsid w:val="006073D8"/>
    <w:rsid w:val="00607B5F"/>
    <w:rsid w:val="006111CD"/>
    <w:rsid w:val="00611C3F"/>
    <w:rsid w:val="006124FC"/>
    <w:rsid w:val="00613FCF"/>
    <w:rsid w:val="00614E9E"/>
    <w:rsid w:val="00614FA7"/>
    <w:rsid w:val="0061596F"/>
    <w:rsid w:val="006209B8"/>
    <w:rsid w:val="00620D06"/>
    <w:rsid w:val="00621E22"/>
    <w:rsid w:val="00621EAF"/>
    <w:rsid w:val="00622FE2"/>
    <w:rsid w:val="00623212"/>
    <w:rsid w:val="00624C46"/>
    <w:rsid w:val="00624E0B"/>
    <w:rsid w:val="00625067"/>
    <w:rsid w:val="006251A5"/>
    <w:rsid w:val="006261A8"/>
    <w:rsid w:val="00630D00"/>
    <w:rsid w:val="00631786"/>
    <w:rsid w:val="00631E61"/>
    <w:rsid w:val="00632627"/>
    <w:rsid w:val="00633795"/>
    <w:rsid w:val="00633EC9"/>
    <w:rsid w:val="00634528"/>
    <w:rsid w:val="00634AE0"/>
    <w:rsid w:val="006350C1"/>
    <w:rsid w:val="006359CC"/>
    <w:rsid w:val="00635EFA"/>
    <w:rsid w:val="00636D32"/>
    <w:rsid w:val="00636DB8"/>
    <w:rsid w:val="0064053E"/>
    <w:rsid w:val="00640B20"/>
    <w:rsid w:val="00641F6A"/>
    <w:rsid w:val="00646218"/>
    <w:rsid w:val="00646F06"/>
    <w:rsid w:val="00647453"/>
    <w:rsid w:val="00650C41"/>
    <w:rsid w:val="00650F70"/>
    <w:rsid w:val="0065137A"/>
    <w:rsid w:val="0065147F"/>
    <w:rsid w:val="00652C45"/>
    <w:rsid w:val="00653E0A"/>
    <w:rsid w:val="006544A7"/>
    <w:rsid w:val="00654D1D"/>
    <w:rsid w:val="00655067"/>
    <w:rsid w:val="00657476"/>
    <w:rsid w:val="00657D9D"/>
    <w:rsid w:val="0066044A"/>
    <w:rsid w:val="00660F79"/>
    <w:rsid w:val="006610BD"/>
    <w:rsid w:val="00661674"/>
    <w:rsid w:val="00662405"/>
    <w:rsid w:val="00662CA9"/>
    <w:rsid w:val="00663172"/>
    <w:rsid w:val="00664D32"/>
    <w:rsid w:val="006662CD"/>
    <w:rsid w:val="00666D2A"/>
    <w:rsid w:val="00671ADC"/>
    <w:rsid w:val="006721EB"/>
    <w:rsid w:val="00672D25"/>
    <w:rsid w:val="00672D98"/>
    <w:rsid w:val="00672DD1"/>
    <w:rsid w:val="00674FD6"/>
    <w:rsid w:val="0067766D"/>
    <w:rsid w:val="006801F0"/>
    <w:rsid w:val="00680A25"/>
    <w:rsid w:val="00680F08"/>
    <w:rsid w:val="00681A64"/>
    <w:rsid w:val="00682448"/>
    <w:rsid w:val="006832B1"/>
    <w:rsid w:val="0068336B"/>
    <w:rsid w:val="006839BB"/>
    <w:rsid w:val="00683ACD"/>
    <w:rsid w:val="00687A7F"/>
    <w:rsid w:val="00690186"/>
    <w:rsid w:val="0069211C"/>
    <w:rsid w:val="00692367"/>
    <w:rsid w:val="00692982"/>
    <w:rsid w:val="00692E89"/>
    <w:rsid w:val="006968C0"/>
    <w:rsid w:val="00696963"/>
    <w:rsid w:val="006A0F65"/>
    <w:rsid w:val="006A1FFC"/>
    <w:rsid w:val="006A29E6"/>
    <w:rsid w:val="006A2B5F"/>
    <w:rsid w:val="006A2E2B"/>
    <w:rsid w:val="006A4286"/>
    <w:rsid w:val="006A4A94"/>
    <w:rsid w:val="006A641C"/>
    <w:rsid w:val="006A6F5B"/>
    <w:rsid w:val="006A70C3"/>
    <w:rsid w:val="006B197B"/>
    <w:rsid w:val="006B377A"/>
    <w:rsid w:val="006B5581"/>
    <w:rsid w:val="006B572D"/>
    <w:rsid w:val="006B6166"/>
    <w:rsid w:val="006B6432"/>
    <w:rsid w:val="006B6C08"/>
    <w:rsid w:val="006B6F93"/>
    <w:rsid w:val="006B7311"/>
    <w:rsid w:val="006B7F5F"/>
    <w:rsid w:val="006C129F"/>
    <w:rsid w:val="006C1479"/>
    <w:rsid w:val="006C1588"/>
    <w:rsid w:val="006C2884"/>
    <w:rsid w:val="006C3A54"/>
    <w:rsid w:val="006C4603"/>
    <w:rsid w:val="006C5F7E"/>
    <w:rsid w:val="006C779A"/>
    <w:rsid w:val="006D0900"/>
    <w:rsid w:val="006D2B12"/>
    <w:rsid w:val="006D2D67"/>
    <w:rsid w:val="006D2EF0"/>
    <w:rsid w:val="006D3107"/>
    <w:rsid w:val="006D34A4"/>
    <w:rsid w:val="006D3781"/>
    <w:rsid w:val="006D3862"/>
    <w:rsid w:val="006D5DB6"/>
    <w:rsid w:val="006D63E2"/>
    <w:rsid w:val="006E094A"/>
    <w:rsid w:val="006E15DF"/>
    <w:rsid w:val="006E18F7"/>
    <w:rsid w:val="006E2552"/>
    <w:rsid w:val="006E27A5"/>
    <w:rsid w:val="006E2E4B"/>
    <w:rsid w:val="006E32DB"/>
    <w:rsid w:val="006E362E"/>
    <w:rsid w:val="006E4F68"/>
    <w:rsid w:val="006E5081"/>
    <w:rsid w:val="006E555C"/>
    <w:rsid w:val="006E6C41"/>
    <w:rsid w:val="006E7638"/>
    <w:rsid w:val="006F0E6A"/>
    <w:rsid w:val="006F1BDC"/>
    <w:rsid w:val="006F2B1B"/>
    <w:rsid w:val="006F47CE"/>
    <w:rsid w:val="006F541C"/>
    <w:rsid w:val="006F68D4"/>
    <w:rsid w:val="006F6F42"/>
    <w:rsid w:val="006F7B38"/>
    <w:rsid w:val="007004DC"/>
    <w:rsid w:val="00700C7C"/>
    <w:rsid w:val="007016E7"/>
    <w:rsid w:val="00701823"/>
    <w:rsid w:val="00701847"/>
    <w:rsid w:val="0070193A"/>
    <w:rsid w:val="00703085"/>
    <w:rsid w:val="0070404D"/>
    <w:rsid w:val="007051B8"/>
    <w:rsid w:val="00705A17"/>
    <w:rsid w:val="0070619F"/>
    <w:rsid w:val="00707121"/>
    <w:rsid w:val="00710921"/>
    <w:rsid w:val="00710EC3"/>
    <w:rsid w:val="00712653"/>
    <w:rsid w:val="00712FF3"/>
    <w:rsid w:val="007158FD"/>
    <w:rsid w:val="00715B32"/>
    <w:rsid w:val="00716A90"/>
    <w:rsid w:val="00720A49"/>
    <w:rsid w:val="007216EF"/>
    <w:rsid w:val="00722044"/>
    <w:rsid w:val="0072273B"/>
    <w:rsid w:val="00723ECC"/>
    <w:rsid w:val="0072701B"/>
    <w:rsid w:val="00727E80"/>
    <w:rsid w:val="00730D0A"/>
    <w:rsid w:val="007311F9"/>
    <w:rsid w:val="00731F6B"/>
    <w:rsid w:val="00733458"/>
    <w:rsid w:val="007334E1"/>
    <w:rsid w:val="007336B4"/>
    <w:rsid w:val="00734AE7"/>
    <w:rsid w:val="00734B8A"/>
    <w:rsid w:val="00734D85"/>
    <w:rsid w:val="00735A4D"/>
    <w:rsid w:val="00735FA0"/>
    <w:rsid w:val="00740D2E"/>
    <w:rsid w:val="00742DCB"/>
    <w:rsid w:val="00743D2A"/>
    <w:rsid w:val="00744225"/>
    <w:rsid w:val="0074521F"/>
    <w:rsid w:val="0074767B"/>
    <w:rsid w:val="00747B80"/>
    <w:rsid w:val="00747BF6"/>
    <w:rsid w:val="00747F87"/>
    <w:rsid w:val="007507AE"/>
    <w:rsid w:val="0075113C"/>
    <w:rsid w:val="00751AD1"/>
    <w:rsid w:val="00752068"/>
    <w:rsid w:val="007522BA"/>
    <w:rsid w:val="00754993"/>
    <w:rsid w:val="007553D1"/>
    <w:rsid w:val="007555C6"/>
    <w:rsid w:val="007556D5"/>
    <w:rsid w:val="007563D4"/>
    <w:rsid w:val="00756D9C"/>
    <w:rsid w:val="00760BB2"/>
    <w:rsid w:val="00761636"/>
    <w:rsid w:val="007618E3"/>
    <w:rsid w:val="00761955"/>
    <w:rsid w:val="007633BD"/>
    <w:rsid w:val="0076628D"/>
    <w:rsid w:val="00766643"/>
    <w:rsid w:val="0077063B"/>
    <w:rsid w:val="00771743"/>
    <w:rsid w:val="00771820"/>
    <w:rsid w:val="00772E24"/>
    <w:rsid w:val="00773195"/>
    <w:rsid w:val="00774516"/>
    <w:rsid w:val="007755BC"/>
    <w:rsid w:val="00776003"/>
    <w:rsid w:val="00780209"/>
    <w:rsid w:val="007819A6"/>
    <w:rsid w:val="0078231A"/>
    <w:rsid w:val="007837D9"/>
    <w:rsid w:val="0078463E"/>
    <w:rsid w:val="00785102"/>
    <w:rsid w:val="007860A9"/>
    <w:rsid w:val="00786614"/>
    <w:rsid w:val="00787016"/>
    <w:rsid w:val="0078706B"/>
    <w:rsid w:val="00787721"/>
    <w:rsid w:val="00787AE7"/>
    <w:rsid w:val="00787C42"/>
    <w:rsid w:val="00791F0A"/>
    <w:rsid w:val="00792D33"/>
    <w:rsid w:val="00793455"/>
    <w:rsid w:val="007935BD"/>
    <w:rsid w:val="00794630"/>
    <w:rsid w:val="00794D64"/>
    <w:rsid w:val="00795DC1"/>
    <w:rsid w:val="00797301"/>
    <w:rsid w:val="00797793"/>
    <w:rsid w:val="007A0E19"/>
    <w:rsid w:val="007A1B1F"/>
    <w:rsid w:val="007A27B7"/>
    <w:rsid w:val="007A2CDD"/>
    <w:rsid w:val="007A322D"/>
    <w:rsid w:val="007A36D5"/>
    <w:rsid w:val="007A37C8"/>
    <w:rsid w:val="007A42F9"/>
    <w:rsid w:val="007A4A5C"/>
    <w:rsid w:val="007A4AB0"/>
    <w:rsid w:val="007A4C67"/>
    <w:rsid w:val="007A5210"/>
    <w:rsid w:val="007A6513"/>
    <w:rsid w:val="007B0F4E"/>
    <w:rsid w:val="007B0FB1"/>
    <w:rsid w:val="007B244D"/>
    <w:rsid w:val="007B29F8"/>
    <w:rsid w:val="007B2E02"/>
    <w:rsid w:val="007B31BE"/>
    <w:rsid w:val="007B6303"/>
    <w:rsid w:val="007C1083"/>
    <w:rsid w:val="007C11FA"/>
    <w:rsid w:val="007C13B2"/>
    <w:rsid w:val="007C15CA"/>
    <w:rsid w:val="007C1634"/>
    <w:rsid w:val="007C2A1E"/>
    <w:rsid w:val="007C408C"/>
    <w:rsid w:val="007C4664"/>
    <w:rsid w:val="007C5736"/>
    <w:rsid w:val="007C6D52"/>
    <w:rsid w:val="007C7065"/>
    <w:rsid w:val="007C7575"/>
    <w:rsid w:val="007D01C3"/>
    <w:rsid w:val="007D0D1C"/>
    <w:rsid w:val="007D14D9"/>
    <w:rsid w:val="007D16FC"/>
    <w:rsid w:val="007D2757"/>
    <w:rsid w:val="007D2F8F"/>
    <w:rsid w:val="007D57EA"/>
    <w:rsid w:val="007D7DBE"/>
    <w:rsid w:val="007E07C4"/>
    <w:rsid w:val="007E1BC0"/>
    <w:rsid w:val="007E1E3A"/>
    <w:rsid w:val="007E301F"/>
    <w:rsid w:val="007E329C"/>
    <w:rsid w:val="007E39F7"/>
    <w:rsid w:val="007E3A56"/>
    <w:rsid w:val="007E3BED"/>
    <w:rsid w:val="007E6FE1"/>
    <w:rsid w:val="007E716A"/>
    <w:rsid w:val="007E7337"/>
    <w:rsid w:val="007F079B"/>
    <w:rsid w:val="007F1706"/>
    <w:rsid w:val="007F19AD"/>
    <w:rsid w:val="007F1EE9"/>
    <w:rsid w:val="007F24B9"/>
    <w:rsid w:val="007F29A9"/>
    <w:rsid w:val="007F3215"/>
    <w:rsid w:val="007F42D5"/>
    <w:rsid w:val="007F4D45"/>
    <w:rsid w:val="008026E3"/>
    <w:rsid w:val="008048D7"/>
    <w:rsid w:val="008113C1"/>
    <w:rsid w:val="00812314"/>
    <w:rsid w:val="00812906"/>
    <w:rsid w:val="00812F08"/>
    <w:rsid w:val="0081360C"/>
    <w:rsid w:val="00813691"/>
    <w:rsid w:val="0081394B"/>
    <w:rsid w:val="0081585F"/>
    <w:rsid w:val="008169D7"/>
    <w:rsid w:val="00817B60"/>
    <w:rsid w:val="00820081"/>
    <w:rsid w:val="00820653"/>
    <w:rsid w:val="00820D95"/>
    <w:rsid w:val="00822516"/>
    <w:rsid w:val="00822C16"/>
    <w:rsid w:val="00822E47"/>
    <w:rsid w:val="00824074"/>
    <w:rsid w:val="00827657"/>
    <w:rsid w:val="008279CF"/>
    <w:rsid w:val="008302C9"/>
    <w:rsid w:val="00830BB4"/>
    <w:rsid w:val="00832C28"/>
    <w:rsid w:val="00833A79"/>
    <w:rsid w:val="00833C83"/>
    <w:rsid w:val="00834257"/>
    <w:rsid w:val="00834371"/>
    <w:rsid w:val="00835BC1"/>
    <w:rsid w:val="00835F18"/>
    <w:rsid w:val="008369FE"/>
    <w:rsid w:val="00836C33"/>
    <w:rsid w:val="008372F2"/>
    <w:rsid w:val="00840ACB"/>
    <w:rsid w:val="00844128"/>
    <w:rsid w:val="00844849"/>
    <w:rsid w:val="008455C7"/>
    <w:rsid w:val="00846BCB"/>
    <w:rsid w:val="00846E39"/>
    <w:rsid w:val="00846EF9"/>
    <w:rsid w:val="00847BB4"/>
    <w:rsid w:val="0085032F"/>
    <w:rsid w:val="0085149C"/>
    <w:rsid w:val="008519BA"/>
    <w:rsid w:val="00852A45"/>
    <w:rsid w:val="00853827"/>
    <w:rsid w:val="0085409E"/>
    <w:rsid w:val="00855A65"/>
    <w:rsid w:val="008561E1"/>
    <w:rsid w:val="008564CC"/>
    <w:rsid w:val="00857092"/>
    <w:rsid w:val="008579EB"/>
    <w:rsid w:val="00857A96"/>
    <w:rsid w:val="00857EA3"/>
    <w:rsid w:val="00857EEC"/>
    <w:rsid w:val="00860684"/>
    <w:rsid w:val="00861682"/>
    <w:rsid w:val="008617A3"/>
    <w:rsid w:val="00862F47"/>
    <w:rsid w:val="0086328B"/>
    <w:rsid w:val="008646C2"/>
    <w:rsid w:val="0087084F"/>
    <w:rsid w:val="00870A98"/>
    <w:rsid w:val="00871093"/>
    <w:rsid w:val="008749FB"/>
    <w:rsid w:val="00875858"/>
    <w:rsid w:val="00875F4D"/>
    <w:rsid w:val="0087625E"/>
    <w:rsid w:val="008765BD"/>
    <w:rsid w:val="00876A28"/>
    <w:rsid w:val="00877661"/>
    <w:rsid w:val="00877E30"/>
    <w:rsid w:val="008800ED"/>
    <w:rsid w:val="00880221"/>
    <w:rsid w:val="008811E0"/>
    <w:rsid w:val="00881CFE"/>
    <w:rsid w:val="00881DA4"/>
    <w:rsid w:val="00882C34"/>
    <w:rsid w:val="00882F95"/>
    <w:rsid w:val="008832FB"/>
    <w:rsid w:val="00883859"/>
    <w:rsid w:val="008841D8"/>
    <w:rsid w:val="00887497"/>
    <w:rsid w:val="008874A8"/>
    <w:rsid w:val="00887C06"/>
    <w:rsid w:val="0089039F"/>
    <w:rsid w:val="00890674"/>
    <w:rsid w:val="00891060"/>
    <w:rsid w:val="00891488"/>
    <w:rsid w:val="008915B3"/>
    <w:rsid w:val="00895ADC"/>
    <w:rsid w:val="00896D1C"/>
    <w:rsid w:val="00896EC7"/>
    <w:rsid w:val="00896FAC"/>
    <w:rsid w:val="008973D3"/>
    <w:rsid w:val="008975C2"/>
    <w:rsid w:val="00897DEC"/>
    <w:rsid w:val="008A2883"/>
    <w:rsid w:val="008A2CC8"/>
    <w:rsid w:val="008A3073"/>
    <w:rsid w:val="008A4793"/>
    <w:rsid w:val="008A541C"/>
    <w:rsid w:val="008A5AEB"/>
    <w:rsid w:val="008A5D8F"/>
    <w:rsid w:val="008A6D5C"/>
    <w:rsid w:val="008B0D1A"/>
    <w:rsid w:val="008B172C"/>
    <w:rsid w:val="008B228B"/>
    <w:rsid w:val="008B25D8"/>
    <w:rsid w:val="008B26A6"/>
    <w:rsid w:val="008B41C2"/>
    <w:rsid w:val="008B4C29"/>
    <w:rsid w:val="008B587C"/>
    <w:rsid w:val="008B60FF"/>
    <w:rsid w:val="008B6E2A"/>
    <w:rsid w:val="008C02B4"/>
    <w:rsid w:val="008C03E4"/>
    <w:rsid w:val="008C0572"/>
    <w:rsid w:val="008C059D"/>
    <w:rsid w:val="008C179F"/>
    <w:rsid w:val="008C3778"/>
    <w:rsid w:val="008C59F8"/>
    <w:rsid w:val="008C5E94"/>
    <w:rsid w:val="008C6C8D"/>
    <w:rsid w:val="008D20A1"/>
    <w:rsid w:val="008D3212"/>
    <w:rsid w:val="008D3B06"/>
    <w:rsid w:val="008D5ABC"/>
    <w:rsid w:val="008D5F14"/>
    <w:rsid w:val="008D6313"/>
    <w:rsid w:val="008D6D48"/>
    <w:rsid w:val="008D6E51"/>
    <w:rsid w:val="008D7A24"/>
    <w:rsid w:val="008E187D"/>
    <w:rsid w:val="008E1EF9"/>
    <w:rsid w:val="008E26E2"/>
    <w:rsid w:val="008E39A6"/>
    <w:rsid w:val="008E4FDE"/>
    <w:rsid w:val="008E5215"/>
    <w:rsid w:val="008E5AB6"/>
    <w:rsid w:val="008E5D04"/>
    <w:rsid w:val="008F03D8"/>
    <w:rsid w:val="008F0DC5"/>
    <w:rsid w:val="008F0E90"/>
    <w:rsid w:val="008F2519"/>
    <w:rsid w:val="008F2651"/>
    <w:rsid w:val="008F40D9"/>
    <w:rsid w:val="008F4D36"/>
    <w:rsid w:val="008F69B5"/>
    <w:rsid w:val="008F6CA5"/>
    <w:rsid w:val="009010B1"/>
    <w:rsid w:val="00901D4C"/>
    <w:rsid w:val="0090272D"/>
    <w:rsid w:val="0090461F"/>
    <w:rsid w:val="00904931"/>
    <w:rsid w:val="00904997"/>
    <w:rsid w:val="00906DB9"/>
    <w:rsid w:val="00906E30"/>
    <w:rsid w:val="00907CB3"/>
    <w:rsid w:val="009118C7"/>
    <w:rsid w:val="00911AC5"/>
    <w:rsid w:val="0091321F"/>
    <w:rsid w:val="0091394F"/>
    <w:rsid w:val="00916559"/>
    <w:rsid w:val="00916805"/>
    <w:rsid w:val="0091773D"/>
    <w:rsid w:val="0091798E"/>
    <w:rsid w:val="009179FC"/>
    <w:rsid w:val="009201C8"/>
    <w:rsid w:val="00920CA0"/>
    <w:rsid w:val="00921C99"/>
    <w:rsid w:val="00923131"/>
    <w:rsid w:val="00924617"/>
    <w:rsid w:val="0092462B"/>
    <w:rsid w:val="00926062"/>
    <w:rsid w:val="00926D77"/>
    <w:rsid w:val="0092714E"/>
    <w:rsid w:val="00931EFD"/>
    <w:rsid w:val="009335D4"/>
    <w:rsid w:val="00934006"/>
    <w:rsid w:val="0093409D"/>
    <w:rsid w:val="009343D5"/>
    <w:rsid w:val="0093532F"/>
    <w:rsid w:val="00936217"/>
    <w:rsid w:val="009370E4"/>
    <w:rsid w:val="0093715F"/>
    <w:rsid w:val="009434C0"/>
    <w:rsid w:val="00943545"/>
    <w:rsid w:val="0094516E"/>
    <w:rsid w:val="009468B0"/>
    <w:rsid w:val="00947C15"/>
    <w:rsid w:val="009509B0"/>
    <w:rsid w:val="00952542"/>
    <w:rsid w:val="00952BD3"/>
    <w:rsid w:val="00953227"/>
    <w:rsid w:val="009539B4"/>
    <w:rsid w:val="0095423E"/>
    <w:rsid w:val="00954952"/>
    <w:rsid w:val="00955187"/>
    <w:rsid w:val="00955AD5"/>
    <w:rsid w:val="00955D41"/>
    <w:rsid w:val="00956818"/>
    <w:rsid w:val="00957020"/>
    <w:rsid w:val="009572B9"/>
    <w:rsid w:val="009578B9"/>
    <w:rsid w:val="0096000C"/>
    <w:rsid w:val="00960193"/>
    <w:rsid w:val="009601F8"/>
    <w:rsid w:val="00962986"/>
    <w:rsid w:val="00963CB7"/>
    <w:rsid w:val="00963F36"/>
    <w:rsid w:val="00964F38"/>
    <w:rsid w:val="00967AFE"/>
    <w:rsid w:val="009726E1"/>
    <w:rsid w:val="00972729"/>
    <w:rsid w:val="0097451A"/>
    <w:rsid w:val="0097656B"/>
    <w:rsid w:val="00976D6B"/>
    <w:rsid w:val="00977A0D"/>
    <w:rsid w:val="00977B35"/>
    <w:rsid w:val="00977B59"/>
    <w:rsid w:val="009806B9"/>
    <w:rsid w:val="009810DC"/>
    <w:rsid w:val="009815A7"/>
    <w:rsid w:val="0098182B"/>
    <w:rsid w:val="00982777"/>
    <w:rsid w:val="00982C57"/>
    <w:rsid w:val="009849E5"/>
    <w:rsid w:val="009857F9"/>
    <w:rsid w:val="0099095D"/>
    <w:rsid w:val="00991ED6"/>
    <w:rsid w:val="0099248A"/>
    <w:rsid w:val="00992541"/>
    <w:rsid w:val="00994155"/>
    <w:rsid w:val="00994350"/>
    <w:rsid w:val="00995723"/>
    <w:rsid w:val="0099652A"/>
    <w:rsid w:val="009A12AC"/>
    <w:rsid w:val="009A1E22"/>
    <w:rsid w:val="009A2238"/>
    <w:rsid w:val="009A6E66"/>
    <w:rsid w:val="009A7832"/>
    <w:rsid w:val="009B0537"/>
    <w:rsid w:val="009B146B"/>
    <w:rsid w:val="009B1560"/>
    <w:rsid w:val="009B2638"/>
    <w:rsid w:val="009B3992"/>
    <w:rsid w:val="009B3D4D"/>
    <w:rsid w:val="009B5095"/>
    <w:rsid w:val="009C13CD"/>
    <w:rsid w:val="009C1A25"/>
    <w:rsid w:val="009C291B"/>
    <w:rsid w:val="009C2D93"/>
    <w:rsid w:val="009C37E0"/>
    <w:rsid w:val="009C5900"/>
    <w:rsid w:val="009C60E0"/>
    <w:rsid w:val="009C61FF"/>
    <w:rsid w:val="009C6DAB"/>
    <w:rsid w:val="009C708B"/>
    <w:rsid w:val="009C7F3C"/>
    <w:rsid w:val="009D0128"/>
    <w:rsid w:val="009D2010"/>
    <w:rsid w:val="009D2374"/>
    <w:rsid w:val="009D4253"/>
    <w:rsid w:val="009D45E7"/>
    <w:rsid w:val="009E0A0B"/>
    <w:rsid w:val="009E108E"/>
    <w:rsid w:val="009E154E"/>
    <w:rsid w:val="009E22FA"/>
    <w:rsid w:val="009E2CA1"/>
    <w:rsid w:val="009E3AD8"/>
    <w:rsid w:val="009E3D5E"/>
    <w:rsid w:val="009E5B72"/>
    <w:rsid w:val="009E73C0"/>
    <w:rsid w:val="009E7DEA"/>
    <w:rsid w:val="009F106D"/>
    <w:rsid w:val="009F1FEA"/>
    <w:rsid w:val="009F3425"/>
    <w:rsid w:val="009F3C70"/>
    <w:rsid w:val="009F48F0"/>
    <w:rsid w:val="009F4C5C"/>
    <w:rsid w:val="009F5B5D"/>
    <w:rsid w:val="009F78D2"/>
    <w:rsid w:val="00A01152"/>
    <w:rsid w:val="00A016BA"/>
    <w:rsid w:val="00A0188B"/>
    <w:rsid w:val="00A01972"/>
    <w:rsid w:val="00A05036"/>
    <w:rsid w:val="00A059AF"/>
    <w:rsid w:val="00A05F24"/>
    <w:rsid w:val="00A067AF"/>
    <w:rsid w:val="00A068F6"/>
    <w:rsid w:val="00A1136F"/>
    <w:rsid w:val="00A11DB4"/>
    <w:rsid w:val="00A122BB"/>
    <w:rsid w:val="00A14016"/>
    <w:rsid w:val="00A14C6F"/>
    <w:rsid w:val="00A16DAA"/>
    <w:rsid w:val="00A22C47"/>
    <w:rsid w:val="00A23843"/>
    <w:rsid w:val="00A30125"/>
    <w:rsid w:val="00A3047F"/>
    <w:rsid w:val="00A30879"/>
    <w:rsid w:val="00A30C70"/>
    <w:rsid w:val="00A31749"/>
    <w:rsid w:val="00A33DCC"/>
    <w:rsid w:val="00A3558D"/>
    <w:rsid w:val="00A35EF2"/>
    <w:rsid w:val="00A3618C"/>
    <w:rsid w:val="00A40F58"/>
    <w:rsid w:val="00A41195"/>
    <w:rsid w:val="00A41D24"/>
    <w:rsid w:val="00A43441"/>
    <w:rsid w:val="00A43A8C"/>
    <w:rsid w:val="00A465A0"/>
    <w:rsid w:val="00A51754"/>
    <w:rsid w:val="00A517ED"/>
    <w:rsid w:val="00A52FAE"/>
    <w:rsid w:val="00A537AD"/>
    <w:rsid w:val="00A53B50"/>
    <w:rsid w:val="00A54DA9"/>
    <w:rsid w:val="00A5615E"/>
    <w:rsid w:val="00A60527"/>
    <w:rsid w:val="00A61DD6"/>
    <w:rsid w:val="00A62131"/>
    <w:rsid w:val="00A6273F"/>
    <w:rsid w:val="00A62D1A"/>
    <w:rsid w:val="00A64646"/>
    <w:rsid w:val="00A64F9C"/>
    <w:rsid w:val="00A64FDD"/>
    <w:rsid w:val="00A65D9D"/>
    <w:rsid w:val="00A66AD8"/>
    <w:rsid w:val="00A66C9A"/>
    <w:rsid w:val="00A66FA0"/>
    <w:rsid w:val="00A70011"/>
    <w:rsid w:val="00A70CF5"/>
    <w:rsid w:val="00A72AD0"/>
    <w:rsid w:val="00A72D00"/>
    <w:rsid w:val="00A7403B"/>
    <w:rsid w:val="00A741A5"/>
    <w:rsid w:val="00A7497E"/>
    <w:rsid w:val="00A76481"/>
    <w:rsid w:val="00A81508"/>
    <w:rsid w:val="00A824B6"/>
    <w:rsid w:val="00A8330C"/>
    <w:rsid w:val="00A84BE2"/>
    <w:rsid w:val="00A86EC4"/>
    <w:rsid w:val="00A90345"/>
    <w:rsid w:val="00A90502"/>
    <w:rsid w:val="00A91944"/>
    <w:rsid w:val="00A926FA"/>
    <w:rsid w:val="00A944DA"/>
    <w:rsid w:val="00A94C30"/>
    <w:rsid w:val="00A94DB0"/>
    <w:rsid w:val="00A9654C"/>
    <w:rsid w:val="00A97D25"/>
    <w:rsid w:val="00AA0999"/>
    <w:rsid w:val="00AA223F"/>
    <w:rsid w:val="00AA27EF"/>
    <w:rsid w:val="00AA3DA1"/>
    <w:rsid w:val="00AA4335"/>
    <w:rsid w:val="00AA47EC"/>
    <w:rsid w:val="00AA58A5"/>
    <w:rsid w:val="00AA5C4A"/>
    <w:rsid w:val="00AA5D8A"/>
    <w:rsid w:val="00AB06FF"/>
    <w:rsid w:val="00AB194B"/>
    <w:rsid w:val="00AB1987"/>
    <w:rsid w:val="00AB1CDE"/>
    <w:rsid w:val="00AB4BE5"/>
    <w:rsid w:val="00AB5649"/>
    <w:rsid w:val="00AC13F5"/>
    <w:rsid w:val="00AC2448"/>
    <w:rsid w:val="00AC2D56"/>
    <w:rsid w:val="00AC3F5A"/>
    <w:rsid w:val="00AC4353"/>
    <w:rsid w:val="00AC503E"/>
    <w:rsid w:val="00AC564F"/>
    <w:rsid w:val="00AC6A03"/>
    <w:rsid w:val="00AC6ACC"/>
    <w:rsid w:val="00AC6CF3"/>
    <w:rsid w:val="00AC6ECD"/>
    <w:rsid w:val="00AD0C0F"/>
    <w:rsid w:val="00AD1817"/>
    <w:rsid w:val="00AD1906"/>
    <w:rsid w:val="00AD33DB"/>
    <w:rsid w:val="00AD614C"/>
    <w:rsid w:val="00AD6AFD"/>
    <w:rsid w:val="00AE0656"/>
    <w:rsid w:val="00AE09BF"/>
    <w:rsid w:val="00AE0A39"/>
    <w:rsid w:val="00AE17B8"/>
    <w:rsid w:val="00AE2FAC"/>
    <w:rsid w:val="00AE3009"/>
    <w:rsid w:val="00AE3CD2"/>
    <w:rsid w:val="00AE4B2B"/>
    <w:rsid w:val="00AE5CBA"/>
    <w:rsid w:val="00AE667C"/>
    <w:rsid w:val="00AE70C1"/>
    <w:rsid w:val="00AF0B7F"/>
    <w:rsid w:val="00AF131E"/>
    <w:rsid w:val="00AF3072"/>
    <w:rsid w:val="00AF445A"/>
    <w:rsid w:val="00AF4512"/>
    <w:rsid w:val="00AF4FBA"/>
    <w:rsid w:val="00AF564A"/>
    <w:rsid w:val="00B00003"/>
    <w:rsid w:val="00B00086"/>
    <w:rsid w:val="00B00821"/>
    <w:rsid w:val="00B00F5F"/>
    <w:rsid w:val="00B050F5"/>
    <w:rsid w:val="00B06DBB"/>
    <w:rsid w:val="00B108BA"/>
    <w:rsid w:val="00B10A94"/>
    <w:rsid w:val="00B11022"/>
    <w:rsid w:val="00B11E7E"/>
    <w:rsid w:val="00B11F29"/>
    <w:rsid w:val="00B11FD4"/>
    <w:rsid w:val="00B1247D"/>
    <w:rsid w:val="00B14DF2"/>
    <w:rsid w:val="00B1514A"/>
    <w:rsid w:val="00B15CE7"/>
    <w:rsid w:val="00B16CA8"/>
    <w:rsid w:val="00B16E63"/>
    <w:rsid w:val="00B20AD5"/>
    <w:rsid w:val="00B2212C"/>
    <w:rsid w:val="00B2289A"/>
    <w:rsid w:val="00B23003"/>
    <w:rsid w:val="00B2450C"/>
    <w:rsid w:val="00B269F6"/>
    <w:rsid w:val="00B27D21"/>
    <w:rsid w:val="00B30BCF"/>
    <w:rsid w:val="00B30E79"/>
    <w:rsid w:val="00B32947"/>
    <w:rsid w:val="00B32AA8"/>
    <w:rsid w:val="00B330FD"/>
    <w:rsid w:val="00B34455"/>
    <w:rsid w:val="00B34FE6"/>
    <w:rsid w:val="00B37280"/>
    <w:rsid w:val="00B40B06"/>
    <w:rsid w:val="00B40BDA"/>
    <w:rsid w:val="00B41651"/>
    <w:rsid w:val="00B443D6"/>
    <w:rsid w:val="00B46928"/>
    <w:rsid w:val="00B4724A"/>
    <w:rsid w:val="00B4744E"/>
    <w:rsid w:val="00B50E0B"/>
    <w:rsid w:val="00B54788"/>
    <w:rsid w:val="00B56176"/>
    <w:rsid w:val="00B56B7F"/>
    <w:rsid w:val="00B56D1F"/>
    <w:rsid w:val="00B574EC"/>
    <w:rsid w:val="00B57704"/>
    <w:rsid w:val="00B608DF"/>
    <w:rsid w:val="00B60E96"/>
    <w:rsid w:val="00B618E9"/>
    <w:rsid w:val="00B62418"/>
    <w:rsid w:val="00B63266"/>
    <w:rsid w:val="00B657D5"/>
    <w:rsid w:val="00B65A08"/>
    <w:rsid w:val="00B65C6C"/>
    <w:rsid w:val="00B66A54"/>
    <w:rsid w:val="00B66A72"/>
    <w:rsid w:val="00B66F68"/>
    <w:rsid w:val="00B703D1"/>
    <w:rsid w:val="00B7114B"/>
    <w:rsid w:val="00B7298C"/>
    <w:rsid w:val="00B732F8"/>
    <w:rsid w:val="00B7362B"/>
    <w:rsid w:val="00B74275"/>
    <w:rsid w:val="00B74A7D"/>
    <w:rsid w:val="00B750E6"/>
    <w:rsid w:val="00B75C1F"/>
    <w:rsid w:val="00B77143"/>
    <w:rsid w:val="00B773B3"/>
    <w:rsid w:val="00B777A9"/>
    <w:rsid w:val="00B80E7B"/>
    <w:rsid w:val="00B8120A"/>
    <w:rsid w:val="00B8312D"/>
    <w:rsid w:val="00B831A8"/>
    <w:rsid w:val="00B8373E"/>
    <w:rsid w:val="00B83ECD"/>
    <w:rsid w:val="00B85F29"/>
    <w:rsid w:val="00B87EDB"/>
    <w:rsid w:val="00B91392"/>
    <w:rsid w:val="00B91B25"/>
    <w:rsid w:val="00B9260E"/>
    <w:rsid w:val="00B9369E"/>
    <w:rsid w:val="00B95416"/>
    <w:rsid w:val="00B958AE"/>
    <w:rsid w:val="00B96717"/>
    <w:rsid w:val="00B96E3B"/>
    <w:rsid w:val="00B97C6A"/>
    <w:rsid w:val="00BA0251"/>
    <w:rsid w:val="00BA04BE"/>
    <w:rsid w:val="00BA1F0B"/>
    <w:rsid w:val="00BA2280"/>
    <w:rsid w:val="00BA2337"/>
    <w:rsid w:val="00BA24D7"/>
    <w:rsid w:val="00BA36C0"/>
    <w:rsid w:val="00BA3EA7"/>
    <w:rsid w:val="00BA427E"/>
    <w:rsid w:val="00BA4B7D"/>
    <w:rsid w:val="00BA57A5"/>
    <w:rsid w:val="00BB243C"/>
    <w:rsid w:val="00BB323E"/>
    <w:rsid w:val="00BB4EED"/>
    <w:rsid w:val="00BB5DFF"/>
    <w:rsid w:val="00BB658B"/>
    <w:rsid w:val="00BB65E5"/>
    <w:rsid w:val="00BB688E"/>
    <w:rsid w:val="00BB6938"/>
    <w:rsid w:val="00BB77A7"/>
    <w:rsid w:val="00BC103D"/>
    <w:rsid w:val="00BC1E82"/>
    <w:rsid w:val="00BC1F2C"/>
    <w:rsid w:val="00BC28E0"/>
    <w:rsid w:val="00BC2C8E"/>
    <w:rsid w:val="00BC4668"/>
    <w:rsid w:val="00BC47D8"/>
    <w:rsid w:val="00BC556C"/>
    <w:rsid w:val="00BC5C16"/>
    <w:rsid w:val="00BC5D01"/>
    <w:rsid w:val="00BC6FD1"/>
    <w:rsid w:val="00BD0B90"/>
    <w:rsid w:val="00BD1C0E"/>
    <w:rsid w:val="00BD2180"/>
    <w:rsid w:val="00BD2983"/>
    <w:rsid w:val="00BD34E9"/>
    <w:rsid w:val="00BD3643"/>
    <w:rsid w:val="00BD4524"/>
    <w:rsid w:val="00BD4F08"/>
    <w:rsid w:val="00BD4F66"/>
    <w:rsid w:val="00BD5217"/>
    <w:rsid w:val="00BE2845"/>
    <w:rsid w:val="00BE3130"/>
    <w:rsid w:val="00BE5042"/>
    <w:rsid w:val="00BE5B40"/>
    <w:rsid w:val="00BE6307"/>
    <w:rsid w:val="00BE6FF5"/>
    <w:rsid w:val="00BE7540"/>
    <w:rsid w:val="00BF0332"/>
    <w:rsid w:val="00BF0420"/>
    <w:rsid w:val="00BF0C53"/>
    <w:rsid w:val="00BF117D"/>
    <w:rsid w:val="00BF1A6B"/>
    <w:rsid w:val="00BF2301"/>
    <w:rsid w:val="00BF2537"/>
    <w:rsid w:val="00BF32DB"/>
    <w:rsid w:val="00BF4463"/>
    <w:rsid w:val="00BF468A"/>
    <w:rsid w:val="00BF5273"/>
    <w:rsid w:val="00BF6D1B"/>
    <w:rsid w:val="00BF72F4"/>
    <w:rsid w:val="00BF7854"/>
    <w:rsid w:val="00BF7BE6"/>
    <w:rsid w:val="00C00103"/>
    <w:rsid w:val="00C014CF"/>
    <w:rsid w:val="00C02503"/>
    <w:rsid w:val="00C0437F"/>
    <w:rsid w:val="00C0543C"/>
    <w:rsid w:val="00C057EF"/>
    <w:rsid w:val="00C06491"/>
    <w:rsid w:val="00C10BE7"/>
    <w:rsid w:val="00C128F3"/>
    <w:rsid w:val="00C15142"/>
    <w:rsid w:val="00C1680E"/>
    <w:rsid w:val="00C17DD2"/>
    <w:rsid w:val="00C203CB"/>
    <w:rsid w:val="00C20432"/>
    <w:rsid w:val="00C22ADB"/>
    <w:rsid w:val="00C24DB3"/>
    <w:rsid w:val="00C251F6"/>
    <w:rsid w:val="00C254B7"/>
    <w:rsid w:val="00C25AA4"/>
    <w:rsid w:val="00C25EF5"/>
    <w:rsid w:val="00C300EF"/>
    <w:rsid w:val="00C30339"/>
    <w:rsid w:val="00C311A3"/>
    <w:rsid w:val="00C3163F"/>
    <w:rsid w:val="00C322D8"/>
    <w:rsid w:val="00C32B7C"/>
    <w:rsid w:val="00C34078"/>
    <w:rsid w:val="00C3476D"/>
    <w:rsid w:val="00C36995"/>
    <w:rsid w:val="00C36A8A"/>
    <w:rsid w:val="00C40655"/>
    <w:rsid w:val="00C40808"/>
    <w:rsid w:val="00C40C03"/>
    <w:rsid w:val="00C411D3"/>
    <w:rsid w:val="00C41A59"/>
    <w:rsid w:val="00C41C70"/>
    <w:rsid w:val="00C43AF7"/>
    <w:rsid w:val="00C448A7"/>
    <w:rsid w:val="00C44FDB"/>
    <w:rsid w:val="00C45943"/>
    <w:rsid w:val="00C45E2C"/>
    <w:rsid w:val="00C460C7"/>
    <w:rsid w:val="00C4692F"/>
    <w:rsid w:val="00C47030"/>
    <w:rsid w:val="00C4743E"/>
    <w:rsid w:val="00C50015"/>
    <w:rsid w:val="00C500BF"/>
    <w:rsid w:val="00C53E4C"/>
    <w:rsid w:val="00C55176"/>
    <w:rsid w:val="00C5527F"/>
    <w:rsid w:val="00C55610"/>
    <w:rsid w:val="00C557AC"/>
    <w:rsid w:val="00C57479"/>
    <w:rsid w:val="00C576E0"/>
    <w:rsid w:val="00C57EE5"/>
    <w:rsid w:val="00C603B4"/>
    <w:rsid w:val="00C60CCD"/>
    <w:rsid w:val="00C61CF5"/>
    <w:rsid w:val="00C631CE"/>
    <w:rsid w:val="00C6368D"/>
    <w:rsid w:val="00C637B4"/>
    <w:rsid w:val="00C638A4"/>
    <w:rsid w:val="00C643F2"/>
    <w:rsid w:val="00C6572B"/>
    <w:rsid w:val="00C66D48"/>
    <w:rsid w:val="00C673C3"/>
    <w:rsid w:val="00C675CD"/>
    <w:rsid w:val="00C6765B"/>
    <w:rsid w:val="00C67A4B"/>
    <w:rsid w:val="00C70BE2"/>
    <w:rsid w:val="00C70EA6"/>
    <w:rsid w:val="00C71D9D"/>
    <w:rsid w:val="00C72546"/>
    <w:rsid w:val="00C731D1"/>
    <w:rsid w:val="00C734CC"/>
    <w:rsid w:val="00C74DFB"/>
    <w:rsid w:val="00C754BA"/>
    <w:rsid w:val="00C75860"/>
    <w:rsid w:val="00C75D53"/>
    <w:rsid w:val="00C76C55"/>
    <w:rsid w:val="00C777C2"/>
    <w:rsid w:val="00C778DD"/>
    <w:rsid w:val="00C80609"/>
    <w:rsid w:val="00C81DAB"/>
    <w:rsid w:val="00C81EA3"/>
    <w:rsid w:val="00C83937"/>
    <w:rsid w:val="00C83ACC"/>
    <w:rsid w:val="00C864EA"/>
    <w:rsid w:val="00C868A6"/>
    <w:rsid w:val="00C871F5"/>
    <w:rsid w:val="00C87439"/>
    <w:rsid w:val="00C879FB"/>
    <w:rsid w:val="00C906D2"/>
    <w:rsid w:val="00C909D9"/>
    <w:rsid w:val="00C9116F"/>
    <w:rsid w:val="00C931D2"/>
    <w:rsid w:val="00C93F8B"/>
    <w:rsid w:val="00C940A5"/>
    <w:rsid w:val="00C961D1"/>
    <w:rsid w:val="00C970D4"/>
    <w:rsid w:val="00C976D3"/>
    <w:rsid w:val="00CA0129"/>
    <w:rsid w:val="00CA1DA5"/>
    <w:rsid w:val="00CA26D7"/>
    <w:rsid w:val="00CA299A"/>
    <w:rsid w:val="00CA3BF9"/>
    <w:rsid w:val="00CA5B7B"/>
    <w:rsid w:val="00CA6C88"/>
    <w:rsid w:val="00CA7BF9"/>
    <w:rsid w:val="00CB016E"/>
    <w:rsid w:val="00CB0974"/>
    <w:rsid w:val="00CB1177"/>
    <w:rsid w:val="00CB1C80"/>
    <w:rsid w:val="00CB2882"/>
    <w:rsid w:val="00CB2F43"/>
    <w:rsid w:val="00CB314C"/>
    <w:rsid w:val="00CB32D2"/>
    <w:rsid w:val="00CB3F9B"/>
    <w:rsid w:val="00CB5310"/>
    <w:rsid w:val="00CB5605"/>
    <w:rsid w:val="00CB56D1"/>
    <w:rsid w:val="00CB6137"/>
    <w:rsid w:val="00CB6821"/>
    <w:rsid w:val="00CC53BA"/>
    <w:rsid w:val="00CC6AC9"/>
    <w:rsid w:val="00CC7AE7"/>
    <w:rsid w:val="00CD1F8C"/>
    <w:rsid w:val="00CD2859"/>
    <w:rsid w:val="00CD2FDC"/>
    <w:rsid w:val="00CD3034"/>
    <w:rsid w:val="00CD31B1"/>
    <w:rsid w:val="00CD4D95"/>
    <w:rsid w:val="00CD5AD1"/>
    <w:rsid w:val="00CD6551"/>
    <w:rsid w:val="00CE087D"/>
    <w:rsid w:val="00CE1FDC"/>
    <w:rsid w:val="00CE2DEB"/>
    <w:rsid w:val="00CE4E13"/>
    <w:rsid w:val="00CE4F7D"/>
    <w:rsid w:val="00CF0D23"/>
    <w:rsid w:val="00CF2B03"/>
    <w:rsid w:val="00CF2EFE"/>
    <w:rsid w:val="00CF3DF5"/>
    <w:rsid w:val="00CF5777"/>
    <w:rsid w:val="00CF63B8"/>
    <w:rsid w:val="00CF64ED"/>
    <w:rsid w:val="00CF66B6"/>
    <w:rsid w:val="00D02947"/>
    <w:rsid w:val="00D02B72"/>
    <w:rsid w:val="00D0475A"/>
    <w:rsid w:val="00D0483B"/>
    <w:rsid w:val="00D04DEC"/>
    <w:rsid w:val="00D06358"/>
    <w:rsid w:val="00D07975"/>
    <w:rsid w:val="00D11B19"/>
    <w:rsid w:val="00D11ED5"/>
    <w:rsid w:val="00D132B2"/>
    <w:rsid w:val="00D140D7"/>
    <w:rsid w:val="00D158D6"/>
    <w:rsid w:val="00D1644A"/>
    <w:rsid w:val="00D16702"/>
    <w:rsid w:val="00D16E05"/>
    <w:rsid w:val="00D213FA"/>
    <w:rsid w:val="00D218FE"/>
    <w:rsid w:val="00D22146"/>
    <w:rsid w:val="00D228A3"/>
    <w:rsid w:val="00D23919"/>
    <w:rsid w:val="00D24A1E"/>
    <w:rsid w:val="00D24B4A"/>
    <w:rsid w:val="00D25A0E"/>
    <w:rsid w:val="00D25E5F"/>
    <w:rsid w:val="00D26211"/>
    <w:rsid w:val="00D2677E"/>
    <w:rsid w:val="00D26DE1"/>
    <w:rsid w:val="00D27949"/>
    <w:rsid w:val="00D313B7"/>
    <w:rsid w:val="00D32B57"/>
    <w:rsid w:val="00D33CF3"/>
    <w:rsid w:val="00D3410C"/>
    <w:rsid w:val="00D345F7"/>
    <w:rsid w:val="00D34917"/>
    <w:rsid w:val="00D3497A"/>
    <w:rsid w:val="00D36432"/>
    <w:rsid w:val="00D36835"/>
    <w:rsid w:val="00D40084"/>
    <w:rsid w:val="00D40F2A"/>
    <w:rsid w:val="00D4185D"/>
    <w:rsid w:val="00D41F68"/>
    <w:rsid w:val="00D420AF"/>
    <w:rsid w:val="00D44BC1"/>
    <w:rsid w:val="00D450BC"/>
    <w:rsid w:val="00D454FD"/>
    <w:rsid w:val="00D461A4"/>
    <w:rsid w:val="00D46675"/>
    <w:rsid w:val="00D47B27"/>
    <w:rsid w:val="00D50F6E"/>
    <w:rsid w:val="00D51346"/>
    <w:rsid w:val="00D5160C"/>
    <w:rsid w:val="00D51FFD"/>
    <w:rsid w:val="00D531FC"/>
    <w:rsid w:val="00D53628"/>
    <w:rsid w:val="00D55689"/>
    <w:rsid w:val="00D56174"/>
    <w:rsid w:val="00D572F9"/>
    <w:rsid w:val="00D60054"/>
    <w:rsid w:val="00D60A94"/>
    <w:rsid w:val="00D64BB5"/>
    <w:rsid w:val="00D66D4A"/>
    <w:rsid w:val="00D73A3D"/>
    <w:rsid w:val="00D74092"/>
    <w:rsid w:val="00D7412D"/>
    <w:rsid w:val="00D75D51"/>
    <w:rsid w:val="00D76993"/>
    <w:rsid w:val="00D82FAD"/>
    <w:rsid w:val="00D83076"/>
    <w:rsid w:val="00D83BD9"/>
    <w:rsid w:val="00D841BF"/>
    <w:rsid w:val="00D847B2"/>
    <w:rsid w:val="00D84ADE"/>
    <w:rsid w:val="00D856CF"/>
    <w:rsid w:val="00D86FE2"/>
    <w:rsid w:val="00D919F7"/>
    <w:rsid w:val="00D91DE6"/>
    <w:rsid w:val="00D92856"/>
    <w:rsid w:val="00D92B05"/>
    <w:rsid w:val="00D92C14"/>
    <w:rsid w:val="00D93D5E"/>
    <w:rsid w:val="00D94BE0"/>
    <w:rsid w:val="00D95587"/>
    <w:rsid w:val="00D96209"/>
    <w:rsid w:val="00D972B8"/>
    <w:rsid w:val="00D97EA6"/>
    <w:rsid w:val="00DA0111"/>
    <w:rsid w:val="00DA05E1"/>
    <w:rsid w:val="00DA0E34"/>
    <w:rsid w:val="00DA1AD7"/>
    <w:rsid w:val="00DA1C17"/>
    <w:rsid w:val="00DA1E74"/>
    <w:rsid w:val="00DA245A"/>
    <w:rsid w:val="00DA3665"/>
    <w:rsid w:val="00DA7284"/>
    <w:rsid w:val="00DA7E7C"/>
    <w:rsid w:val="00DB07D0"/>
    <w:rsid w:val="00DB168C"/>
    <w:rsid w:val="00DB1B17"/>
    <w:rsid w:val="00DB2FAE"/>
    <w:rsid w:val="00DB40AF"/>
    <w:rsid w:val="00DB442D"/>
    <w:rsid w:val="00DB44E7"/>
    <w:rsid w:val="00DB4F51"/>
    <w:rsid w:val="00DB5238"/>
    <w:rsid w:val="00DB54BB"/>
    <w:rsid w:val="00DB54F3"/>
    <w:rsid w:val="00DB78B1"/>
    <w:rsid w:val="00DC07C1"/>
    <w:rsid w:val="00DC09B3"/>
    <w:rsid w:val="00DC463F"/>
    <w:rsid w:val="00DC4D8A"/>
    <w:rsid w:val="00DC647C"/>
    <w:rsid w:val="00DD1A94"/>
    <w:rsid w:val="00DD42E2"/>
    <w:rsid w:val="00DD4BB8"/>
    <w:rsid w:val="00DD587D"/>
    <w:rsid w:val="00DD595C"/>
    <w:rsid w:val="00DD5EFB"/>
    <w:rsid w:val="00DD6087"/>
    <w:rsid w:val="00DD6D60"/>
    <w:rsid w:val="00DD735D"/>
    <w:rsid w:val="00DE0769"/>
    <w:rsid w:val="00DE0E9C"/>
    <w:rsid w:val="00DE1DE6"/>
    <w:rsid w:val="00DE1E1D"/>
    <w:rsid w:val="00DE251F"/>
    <w:rsid w:val="00DE28E3"/>
    <w:rsid w:val="00DE2B96"/>
    <w:rsid w:val="00DE4DB2"/>
    <w:rsid w:val="00DE576B"/>
    <w:rsid w:val="00DF0668"/>
    <w:rsid w:val="00DF21E0"/>
    <w:rsid w:val="00DF2558"/>
    <w:rsid w:val="00DF3BD3"/>
    <w:rsid w:val="00DF3EE7"/>
    <w:rsid w:val="00DF44D3"/>
    <w:rsid w:val="00DF5A18"/>
    <w:rsid w:val="00DF5DF3"/>
    <w:rsid w:val="00DF74D3"/>
    <w:rsid w:val="00E000EF"/>
    <w:rsid w:val="00E00FF6"/>
    <w:rsid w:val="00E01752"/>
    <w:rsid w:val="00E01AB9"/>
    <w:rsid w:val="00E02855"/>
    <w:rsid w:val="00E034B5"/>
    <w:rsid w:val="00E03764"/>
    <w:rsid w:val="00E04AB9"/>
    <w:rsid w:val="00E0693B"/>
    <w:rsid w:val="00E0697B"/>
    <w:rsid w:val="00E06EDD"/>
    <w:rsid w:val="00E07CC2"/>
    <w:rsid w:val="00E1054D"/>
    <w:rsid w:val="00E10735"/>
    <w:rsid w:val="00E110FD"/>
    <w:rsid w:val="00E11976"/>
    <w:rsid w:val="00E13D51"/>
    <w:rsid w:val="00E14168"/>
    <w:rsid w:val="00E14894"/>
    <w:rsid w:val="00E149CE"/>
    <w:rsid w:val="00E15204"/>
    <w:rsid w:val="00E15E93"/>
    <w:rsid w:val="00E164F7"/>
    <w:rsid w:val="00E172B4"/>
    <w:rsid w:val="00E20E3E"/>
    <w:rsid w:val="00E2145C"/>
    <w:rsid w:val="00E21AD8"/>
    <w:rsid w:val="00E22689"/>
    <w:rsid w:val="00E22997"/>
    <w:rsid w:val="00E22BE3"/>
    <w:rsid w:val="00E2333F"/>
    <w:rsid w:val="00E23582"/>
    <w:rsid w:val="00E242DA"/>
    <w:rsid w:val="00E24508"/>
    <w:rsid w:val="00E2457C"/>
    <w:rsid w:val="00E257AF"/>
    <w:rsid w:val="00E27593"/>
    <w:rsid w:val="00E32612"/>
    <w:rsid w:val="00E336C1"/>
    <w:rsid w:val="00E351A6"/>
    <w:rsid w:val="00E36834"/>
    <w:rsid w:val="00E36991"/>
    <w:rsid w:val="00E372E7"/>
    <w:rsid w:val="00E3751B"/>
    <w:rsid w:val="00E41012"/>
    <w:rsid w:val="00E41F5F"/>
    <w:rsid w:val="00E4222B"/>
    <w:rsid w:val="00E42FC4"/>
    <w:rsid w:val="00E44059"/>
    <w:rsid w:val="00E440D1"/>
    <w:rsid w:val="00E45833"/>
    <w:rsid w:val="00E45A66"/>
    <w:rsid w:val="00E47E71"/>
    <w:rsid w:val="00E5124B"/>
    <w:rsid w:val="00E5183C"/>
    <w:rsid w:val="00E51AFD"/>
    <w:rsid w:val="00E52D31"/>
    <w:rsid w:val="00E540C8"/>
    <w:rsid w:val="00E551D2"/>
    <w:rsid w:val="00E557E3"/>
    <w:rsid w:val="00E57C59"/>
    <w:rsid w:val="00E62136"/>
    <w:rsid w:val="00E62F82"/>
    <w:rsid w:val="00E64510"/>
    <w:rsid w:val="00E646C6"/>
    <w:rsid w:val="00E673BE"/>
    <w:rsid w:val="00E6797E"/>
    <w:rsid w:val="00E708BB"/>
    <w:rsid w:val="00E70C59"/>
    <w:rsid w:val="00E7102F"/>
    <w:rsid w:val="00E7326C"/>
    <w:rsid w:val="00E73F48"/>
    <w:rsid w:val="00E75402"/>
    <w:rsid w:val="00E764CC"/>
    <w:rsid w:val="00E766F0"/>
    <w:rsid w:val="00E7682E"/>
    <w:rsid w:val="00E77C84"/>
    <w:rsid w:val="00E81D72"/>
    <w:rsid w:val="00E8278D"/>
    <w:rsid w:val="00E833EB"/>
    <w:rsid w:val="00E83ADE"/>
    <w:rsid w:val="00E84B3F"/>
    <w:rsid w:val="00E84FF0"/>
    <w:rsid w:val="00E8535C"/>
    <w:rsid w:val="00E85382"/>
    <w:rsid w:val="00E86F7F"/>
    <w:rsid w:val="00E8704E"/>
    <w:rsid w:val="00E907E9"/>
    <w:rsid w:val="00E90F32"/>
    <w:rsid w:val="00E9407C"/>
    <w:rsid w:val="00E94094"/>
    <w:rsid w:val="00E943C1"/>
    <w:rsid w:val="00E94BA3"/>
    <w:rsid w:val="00E95F73"/>
    <w:rsid w:val="00E96A52"/>
    <w:rsid w:val="00E97084"/>
    <w:rsid w:val="00E9729A"/>
    <w:rsid w:val="00E97CAE"/>
    <w:rsid w:val="00EA0549"/>
    <w:rsid w:val="00EA0916"/>
    <w:rsid w:val="00EA3458"/>
    <w:rsid w:val="00EA3836"/>
    <w:rsid w:val="00EA393A"/>
    <w:rsid w:val="00EA3B29"/>
    <w:rsid w:val="00EA412E"/>
    <w:rsid w:val="00EA4A35"/>
    <w:rsid w:val="00EA544A"/>
    <w:rsid w:val="00EA578F"/>
    <w:rsid w:val="00EA59D9"/>
    <w:rsid w:val="00EA5DAE"/>
    <w:rsid w:val="00EA5F27"/>
    <w:rsid w:val="00EA706C"/>
    <w:rsid w:val="00EA7C5A"/>
    <w:rsid w:val="00EA7C68"/>
    <w:rsid w:val="00EB0149"/>
    <w:rsid w:val="00EB0756"/>
    <w:rsid w:val="00EB143C"/>
    <w:rsid w:val="00EB19A8"/>
    <w:rsid w:val="00EB298D"/>
    <w:rsid w:val="00EB315C"/>
    <w:rsid w:val="00EB358A"/>
    <w:rsid w:val="00EB47E6"/>
    <w:rsid w:val="00EB7A2C"/>
    <w:rsid w:val="00EB7AAC"/>
    <w:rsid w:val="00EC0C6B"/>
    <w:rsid w:val="00EC1936"/>
    <w:rsid w:val="00EC2581"/>
    <w:rsid w:val="00EC2B03"/>
    <w:rsid w:val="00EC4352"/>
    <w:rsid w:val="00EC4721"/>
    <w:rsid w:val="00EC4D87"/>
    <w:rsid w:val="00EC544B"/>
    <w:rsid w:val="00EC5F86"/>
    <w:rsid w:val="00EC638D"/>
    <w:rsid w:val="00EC6B7B"/>
    <w:rsid w:val="00EC7AD0"/>
    <w:rsid w:val="00EC7EDE"/>
    <w:rsid w:val="00ED0343"/>
    <w:rsid w:val="00ED0CAF"/>
    <w:rsid w:val="00ED1524"/>
    <w:rsid w:val="00ED1C0B"/>
    <w:rsid w:val="00ED2B0E"/>
    <w:rsid w:val="00ED32FA"/>
    <w:rsid w:val="00ED5B94"/>
    <w:rsid w:val="00ED7658"/>
    <w:rsid w:val="00ED7FC4"/>
    <w:rsid w:val="00EE0223"/>
    <w:rsid w:val="00EE0A1F"/>
    <w:rsid w:val="00EE1061"/>
    <w:rsid w:val="00EE1C4D"/>
    <w:rsid w:val="00EE466D"/>
    <w:rsid w:val="00EE5677"/>
    <w:rsid w:val="00EE6984"/>
    <w:rsid w:val="00EE6C3E"/>
    <w:rsid w:val="00EE6F09"/>
    <w:rsid w:val="00EF0EBC"/>
    <w:rsid w:val="00EF22E6"/>
    <w:rsid w:val="00EF3A01"/>
    <w:rsid w:val="00EF5BBD"/>
    <w:rsid w:val="00EF7360"/>
    <w:rsid w:val="00F0131A"/>
    <w:rsid w:val="00F031E5"/>
    <w:rsid w:val="00F03F34"/>
    <w:rsid w:val="00F05597"/>
    <w:rsid w:val="00F059A3"/>
    <w:rsid w:val="00F05A56"/>
    <w:rsid w:val="00F07065"/>
    <w:rsid w:val="00F10C01"/>
    <w:rsid w:val="00F122B0"/>
    <w:rsid w:val="00F13093"/>
    <w:rsid w:val="00F14651"/>
    <w:rsid w:val="00F15E23"/>
    <w:rsid w:val="00F15F16"/>
    <w:rsid w:val="00F16322"/>
    <w:rsid w:val="00F16EB1"/>
    <w:rsid w:val="00F16EB8"/>
    <w:rsid w:val="00F17280"/>
    <w:rsid w:val="00F210F7"/>
    <w:rsid w:val="00F2135A"/>
    <w:rsid w:val="00F21479"/>
    <w:rsid w:val="00F2176C"/>
    <w:rsid w:val="00F220DE"/>
    <w:rsid w:val="00F22250"/>
    <w:rsid w:val="00F22B35"/>
    <w:rsid w:val="00F2303F"/>
    <w:rsid w:val="00F2309E"/>
    <w:rsid w:val="00F23652"/>
    <w:rsid w:val="00F24907"/>
    <w:rsid w:val="00F3144C"/>
    <w:rsid w:val="00F31B67"/>
    <w:rsid w:val="00F3399F"/>
    <w:rsid w:val="00F34902"/>
    <w:rsid w:val="00F3540F"/>
    <w:rsid w:val="00F3580D"/>
    <w:rsid w:val="00F40648"/>
    <w:rsid w:val="00F40E84"/>
    <w:rsid w:val="00F41759"/>
    <w:rsid w:val="00F41ABF"/>
    <w:rsid w:val="00F429E0"/>
    <w:rsid w:val="00F42DC0"/>
    <w:rsid w:val="00F4396F"/>
    <w:rsid w:val="00F43A38"/>
    <w:rsid w:val="00F44871"/>
    <w:rsid w:val="00F4495D"/>
    <w:rsid w:val="00F44E9A"/>
    <w:rsid w:val="00F451D5"/>
    <w:rsid w:val="00F50362"/>
    <w:rsid w:val="00F506B5"/>
    <w:rsid w:val="00F50FCF"/>
    <w:rsid w:val="00F518BC"/>
    <w:rsid w:val="00F51AAC"/>
    <w:rsid w:val="00F51F22"/>
    <w:rsid w:val="00F520A6"/>
    <w:rsid w:val="00F52687"/>
    <w:rsid w:val="00F530FF"/>
    <w:rsid w:val="00F537E2"/>
    <w:rsid w:val="00F54037"/>
    <w:rsid w:val="00F540C3"/>
    <w:rsid w:val="00F54F87"/>
    <w:rsid w:val="00F56A0A"/>
    <w:rsid w:val="00F57F2F"/>
    <w:rsid w:val="00F60E8E"/>
    <w:rsid w:val="00F61A4B"/>
    <w:rsid w:val="00F61FF5"/>
    <w:rsid w:val="00F62259"/>
    <w:rsid w:val="00F62ECA"/>
    <w:rsid w:val="00F63BAE"/>
    <w:rsid w:val="00F64CCB"/>
    <w:rsid w:val="00F65180"/>
    <w:rsid w:val="00F652E7"/>
    <w:rsid w:val="00F65BC6"/>
    <w:rsid w:val="00F65D27"/>
    <w:rsid w:val="00F6712F"/>
    <w:rsid w:val="00F67DB3"/>
    <w:rsid w:val="00F7106C"/>
    <w:rsid w:val="00F71182"/>
    <w:rsid w:val="00F71667"/>
    <w:rsid w:val="00F7167B"/>
    <w:rsid w:val="00F72621"/>
    <w:rsid w:val="00F728AD"/>
    <w:rsid w:val="00F729AA"/>
    <w:rsid w:val="00F72DE9"/>
    <w:rsid w:val="00F72F2C"/>
    <w:rsid w:val="00F72F7D"/>
    <w:rsid w:val="00F731ED"/>
    <w:rsid w:val="00F7338B"/>
    <w:rsid w:val="00F73D09"/>
    <w:rsid w:val="00F7462C"/>
    <w:rsid w:val="00F74BE7"/>
    <w:rsid w:val="00F75DE3"/>
    <w:rsid w:val="00F771A6"/>
    <w:rsid w:val="00F77552"/>
    <w:rsid w:val="00F775BC"/>
    <w:rsid w:val="00F775C2"/>
    <w:rsid w:val="00F77690"/>
    <w:rsid w:val="00F7778E"/>
    <w:rsid w:val="00F77C13"/>
    <w:rsid w:val="00F80017"/>
    <w:rsid w:val="00F80217"/>
    <w:rsid w:val="00F80376"/>
    <w:rsid w:val="00F818C6"/>
    <w:rsid w:val="00F822C2"/>
    <w:rsid w:val="00F82D9B"/>
    <w:rsid w:val="00F83069"/>
    <w:rsid w:val="00F835E6"/>
    <w:rsid w:val="00F84829"/>
    <w:rsid w:val="00F859C4"/>
    <w:rsid w:val="00F8687F"/>
    <w:rsid w:val="00F86AE9"/>
    <w:rsid w:val="00F86DB3"/>
    <w:rsid w:val="00F87B4A"/>
    <w:rsid w:val="00F91446"/>
    <w:rsid w:val="00F919C4"/>
    <w:rsid w:val="00F92B82"/>
    <w:rsid w:val="00F92E28"/>
    <w:rsid w:val="00F950DA"/>
    <w:rsid w:val="00F95196"/>
    <w:rsid w:val="00F97328"/>
    <w:rsid w:val="00F97AF3"/>
    <w:rsid w:val="00FA03C8"/>
    <w:rsid w:val="00FA0702"/>
    <w:rsid w:val="00FA1743"/>
    <w:rsid w:val="00FA219D"/>
    <w:rsid w:val="00FA3FC2"/>
    <w:rsid w:val="00FA4B4B"/>
    <w:rsid w:val="00FA5889"/>
    <w:rsid w:val="00FA79B2"/>
    <w:rsid w:val="00FB04D7"/>
    <w:rsid w:val="00FB114C"/>
    <w:rsid w:val="00FB147C"/>
    <w:rsid w:val="00FB1CDB"/>
    <w:rsid w:val="00FB220B"/>
    <w:rsid w:val="00FB2B9C"/>
    <w:rsid w:val="00FB35A8"/>
    <w:rsid w:val="00FB35BB"/>
    <w:rsid w:val="00FB3E34"/>
    <w:rsid w:val="00FB43B3"/>
    <w:rsid w:val="00FB4643"/>
    <w:rsid w:val="00FB5F46"/>
    <w:rsid w:val="00FB63B2"/>
    <w:rsid w:val="00FB666C"/>
    <w:rsid w:val="00FB7555"/>
    <w:rsid w:val="00FB7D64"/>
    <w:rsid w:val="00FC1B71"/>
    <w:rsid w:val="00FC5BDC"/>
    <w:rsid w:val="00FC5EB6"/>
    <w:rsid w:val="00FC684D"/>
    <w:rsid w:val="00FC6EDC"/>
    <w:rsid w:val="00FD0536"/>
    <w:rsid w:val="00FD1C86"/>
    <w:rsid w:val="00FD3A22"/>
    <w:rsid w:val="00FD3B8D"/>
    <w:rsid w:val="00FD4D93"/>
    <w:rsid w:val="00FD52ED"/>
    <w:rsid w:val="00FD595D"/>
    <w:rsid w:val="00FD6353"/>
    <w:rsid w:val="00FD6793"/>
    <w:rsid w:val="00FE0901"/>
    <w:rsid w:val="00FE2F89"/>
    <w:rsid w:val="00FE30B0"/>
    <w:rsid w:val="00FE32DF"/>
    <w:rsid w:val="00FE36B3"/>
    <w:rsid w:val="00FE544B"/>
    <w:rsid w:val="00FE7C68"/>
    <w:rsid w:val="00FF004E"/>
    <w:rsid w:val="00FF0147"/>
    <w:rsid w:val="00FF0FBE"/>
    <w:rsid w:val="00FF1034"/>
    <w:rsid w:val="00FF12EC"/>
    <w:rsid w:val="00FF1862"/>
    <w:rsid w:val="00FF2C58"/>
    <w:rsid w:val="00FF44F9"/>
    <w:rsid w:val="00FF4A5E"/>
    <w:rsid w:val="00FF531A"/>
    <w:rsid w:val="00FF70D5"/>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C41822"/>
  <w15:docId w15:val="{2AE10EB0-5723-4C23-A915-3C771F35B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149"/>
    <w:pPr>
      <w:spacing w:after="0" w:line="240" w:lineRule="auto"/>
    </w:pPr>
    <w:rPr>
      <w:rFonts w:ascii="Arial" w:eastAsia="Times New Roman" w:hAnsi="Arial" w:cs="Times New Roman"/>
      <w:sz w:val="28"/>
      <w:szCs w:val="20"/>
    </w:rPr>
  </w:style>
  <w:style w:type="paragraph" w:styleId="Heading1">
    <w:name w:val="heading 1"/>
    <w:basedOn w:val="Normal"/>
    <w:next w:val="Normal"/>
    <w:link w:val="Heading1Char"/>
    <w:uiPriority w:val="9"/>
    <w:qFormat/>
    <w:rsid w:val="000B3441"/>
    <w:pPr>
      <w:keepNext/>
      <w:keepLines/>
      <w:spacing w:before="240" w:after="240" w:line="276" w:lineRule="auto"/>
      <w:ind w:firstLine="851"/>
      <w:jc w:val="center"/>
      <w:outlineLvl w:val="0"/>
    </w:pPr>
    <w:rPr>
      <w:rFonts w:asciiTheme="minorHAnsi" w:eastAsiaTheme="majorEastAsia" w:hAnsiTheme="minorHAnsi" w:cstheme="majorBidi"/>
      <w:b/>
      <w:color w:val="000000" w:themeColor="text1"/>
      <w:szCs w:val="32"/>
    </w:rPr>
  </w:style>
  <w:style w:type="paragraph" w:styleId="Heading2">
    <w:name w:val="heading 2"/>
    <w:basedOn w:val="Normal"/>
    <w:next w:val="Normal"/>
    <w:link w:val="Heading2Char"/>
    <w:uiPriority w:val="9"/>
    <w:unhideWhenUsed/>
    <w:qFormat/>
    <w:rsid w:val="008C059D"/>
    <w:pPr>
      <w:keepNext/>
      <w:keepLines/>
      <w:spacing w:before="120" w:after="120" w:line="276" w:lineRule="auto"/>
      <w:ind w:firstLine="709"/>
      <w:outlineLvl w:val="1"/>
    </w:pPr>
    <w:rPr>
      <w:rFonts w:asciiTheme="minorHAnsi" w:eastAsiaTheme="majorEastAsia" w:hAnsiTheme="minorHAnsi" w:cstheme="majorBidi"/>
      <w:b/>
      <w:color w:val="000000" w:themeColor="text1"/>
      <w:sz w:val="26"/>
      <w:szCs w:val="26"/>
      <w:lang w:val="en-US"/>
    </w:rPr>
  </w:style>
  <w:style w:type="paragraph" w:styleId="Heading3">
    <w:name w:val="heading 3"/>
    <w:basedOn w:val="Normal"/>
    <w:next w:val="Normal"/>
    <w:link w:val="Heading3Char"/>
    <w:unhideWhenUsed/>
    <w:qFormat/>
    <w:rsid w:val="008C059D"/>
    <w:pPr>
      <w:keepNext/>
      <w:keepLines/>
      <w:spacing w:before="120" w:after="120" w:line="276" w:lineRule="auto"/>
      <w:ind w:firstLine="709"/>
      <w:outlineLvl w:val="2"/>
    </w:pPr>
    <w:rPr>
      <w:rFonts w:asciiTheme="minorHAnsi" w:eastAsiaTheme="majorEastAsia" w:hAnsiTheme="minorHAnsi" w:cstheme="majorBidi"/>
      <w:b/>
      <w:color w:val="000000" w:themeColor="text1"/>
      <w:sz w:val="26"/>
      <w:szCs w:val="24"/>
    </w:rPr>
  </w:style>
  <w:style w:type="paragraph" w:styleId="Heading5">
    <w:name w:val="heading 5"/>
    <w:basedOn w:val="Normal"/>
    <w:next w:val="Normal"/>
    <w:link w:val="Heading5Char"/>
    <w:qFormat/>
    <w:rsid w:val="003F4F22"/>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4E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 bullet 2,Forth level,List Paragraph1,List1,Bullet list,1st level - Bullet List Paragraph,Lettre d'introduction,Paragrafo elenco,List Paragraph11,Normal bullet 21,List Paragraph111,Bullet list1,Bullet Points,Liste Paragraf,Paragraph"/>
    <w:basedOn w:val="Normal"/>
    <w:link w:val="ListParagraphChar"/>
    <w:uiPriority w:val="34"/>
    <w:qFormat/>
    <w:rsid w:val="0041576D"/>
    <w:pPr>
      <w:ind w:left="720"/>
      <w:contextualSpacing/>
    </w:pPr>
  </w:style>
  <w:style w:type="paragraph" w:styleId="BalloonText">
    <w:name w:val="Balloon Text"/>
    <w:basedOn w:val="Normal"/>
    <w:link w:val="BalloonTextChar"/>
    <w:uiPriority w:val="99"/>
    <w:semiHidden/>
    <w:unhideWhenUsed/>
    <w:rsid w:val="005D00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00B9"/>
    <w:rPr>
      <w:rFonts w:ascii="Segoe UI" w:eastAsia="Times New Roman" w:hAnsi="Segoe UI" w:cs="Segoe UI"/>
      <w:sz w:val="18"/>
      <w:szCs w:val="18"/>
      <w:lang w:val="en-US"/>
    </w:rPr>
  </w:style>
  <w:style w:type="paragraph" w:styleId="Header">
    <w:name w:val="header"/>
    <w:basedOn w:val="Normal"/>
    <w:link w:val="HeaderChar"/>
    <w:rsid w:val="00B958AE"/>
    <w:pPr>
      <w:tabs>
        <w:tab w:val="center" w:pos="4320"/>
        <w:tab w:val="right" w:pos="8640"/>
      </w:tabs>
    </w:pPr>
  </w:style>
  <w:style w:type="character" w:customStyle="1" w:styleId="HeaderChar">
    <w:name w:val="Header Char"/>
    <w:basedOn w:val="DefaultParagraphFont"/>
    <w:link w:val="Header"/>
    <w:rsid w:val="00B958AE"/>
    <w:rPr>
      <w:rFonts w:ascii="Arial" w:eastAsia="Times New Roman" w:hAnsi="Arial" w:cs="Times New Roman"/>
      <w:sz w:val="28"/>
      <w:szCs w:val="20"/>
      <w:lang w:val="en-US"/>
    </w:rPr>
  </w:style>
  <w:style w:type="character" w:styleId="Hyperlink">
    <w:name w:val="Hyperlink"/>
    <w:uiPriority w:val="99"/>
    <w:unhideWhenUsed/>
    <w:rsid w:val="00550673"/>
    <w:rPr>
      <w:color w:val="0000FF"/>
      <w:u w:val="single"/>
    </w:rPr>
  </w:style>
  <w:style w:type="paragraph" w:styleId="Footer">
    <w:name w:val="footer"/>
    <w:basedOn w:val="Normal"/>
    <w:link w:val="FooterChar"/>
    <w:uiPriority w:val="99"/>
    <w:unhideWhenUsed/>
    <w:rsid w:val="003C4716"/>
    <w:pPr>
      <w:tabs>
        <w:tab w:val="center" w:pos="4513"/>
        <w:tab w:val="right" w:pos="9026"/>
      </w:tabs>
    </w:pPr>
  </w:style>
  <w:style w:type="character" w:customStyle="1" w:styleId="FooterChar">
    <w:name w:val="Footer Char"/>
    <w:basedOn w:val="DefaultParagraphFont"/>
    <w:link w:val="Footer"/>
    <w:uiPriority w:val="99"/>
    <w:rsid w:val="003C4716"/>
    <w:rPr>
      <w:rFonts w:ascii="Arial" w:eastAsia="Times New Roman" w:hAnsi="Arial" w:cs="Times New Roman"/>
      <w:sz w:val="28"/>
      <w:szCs w:val="20"/>
      <w:lang w:val="en-US"/>
    </w:rPr>
  </w:style>
  <w:style w:type="character" w:customStyle="1" w:styleId="UnresolvedMention1">
    <w:name w:val="Unresolved Mention1"/>
    <w:basedOn w:val="DefaultParagraphFont"/>
    <w:uiPriority w:val="99"/>
    <w:semiHidden/>
    <w:unhideWhenUsed/>
    <w:rsid w:val="00D24B4A"/>
    <w:rPr>
      <w:color w:val="605E5C"/>
      <w:shd w:val="clear" w:color="auto" w:fill="E1DFDD"/>
    </w:rPr>
  </w:style>
  <w:style w:type="character" w:customStyle="1" w:styleId="Heading5Char">
    <w:name w:val="Heading 5 Char"/>
    <w:basedOn w:val="DefaultParagraphFont"/>
    <w:link w:val="Heading5"/>
    <w:rsid w:val="003F4F22"/>
    <w:rPr>
      <w:rFonts w:ascii="Arial" w:eastAsia="Times New Roman" w:hAnsi="Arial" w:cs="Times New Roman"/>
      <w:b/>
      <w:bCs/>
      <w:i/>
      <w:iCs/>
      <w:sz w:val="26"/>
      <w:szCs w:val="26"/>
    </w:rPr>
  </w:style>
  <w:style w:type="paragraph" w:styleId="NoSpacing">
    <w:name w:val="No Spacing"/>
    <w:link w:val="NoSpacingChar"/>
    <w:qFormat/>
    <w:rsid w:val="006C1588"/>
    <w:pPr>
      <w:spacing w:after="0" w:line="240" w:lineRule="auto"/>
    </w:pPr>
    <w:rPr>
      <w:rFonts w:ascii="Arial" w:eastAsia="Times New Roman" w:hAnsi="Arial" w:cs="Times New Roman"/>
      <w:sz w:val="28"/>
      <w:szCs w:val="20"/>
      <w:lang w:val="en-US"/>
    </w:rPr>
  </w:style>
  <w:style w:type="character" w:customStyle="1" w:styleId="Heading1Char">
    <w:name w:val="Heading 1 Char"/>
    <w:basedOn w:val="DefaultParagraphFont"/>
    <w:link w:val="Heading1"/>
    <w:uiPriority w:val="9"/>
    <w:rsid w:val="000B3441"/>
    <w:rPr>
      <w:rFonts w:eastAsiaTheme="majorEastAsia" w:cstheme="majorBidi"/>
      <w:b/>
      <w:color w:val="000000" w:themeColor="text1"/>
      <w:sz w:val="28"/>
      <w:szCs w:val="32"/>
    </w:rPr>
  </w:style>
  <w:style w:type="paragraph" w:styleId="TOCHeading">
    <w:name w:val="TOC Heading"/>
    <w:basedOn w:val="Heading1"/>
    <w:next w:val="Normal"/>
    <w:uiPriority w:val="39"/>
    <w:unhideWhenUsed/>
    <w:qFormat/>
    <w:rsid w:val="00712FF3"/>
    <w:pPr>
      <w:spacing w:line="259" w:lineRule="auto"/>
      <w:outlineLvl w:val="9"/>
    </w:pPr>
    <w:rPr>
      <w:lang w:val="en-US"/>
    </w:rPr>
  </w:style>
  <w:style w:type="paragraph" w:styleId="TOC1">
    <w:name w:val="toc 1"/>
    <w:basedOn w:val="Normal"/>
    <w:next w:val="Normal"/>
    <w:autoRedefine/>
    <w:uiPriority w:val="39"/>
    <w:unhideWhenUsed/>
    <w:rsid w:val="003C75E4"/>
    <w:pPr>
      <w:tabs>
        <w:tab w:val="right" w:leader="dot" w:pos="10194"/>
      </w:tabs>
      <w:spacing w:after="100"/>
    </w:pPr>
    <w:rPr>
      <w:rFonts w:asciiTheme="majorHAnsi" w:hAnsiTheme="majorHAnsi"/>
      <w:b/>
      <w:sz w:val="26"/>
    </w:rPr>
  </w:style>
  <w:style w:type="paragraph" w:styleId="TOC2">
    <w:name w:val="toc 2"/>
    <w:basedOn w:val="Normal"/>
    <w:next w:val="Normal"/>
    <w:autoRedefine/>
    <w:uiPriority w:val="39"/>
    <w:unhideWhenUsed/>
    <w:rsid w:val="008F2519"/>
    <w:pPr>
      <w:spacing w:after="100"/>
      <w:ind w:left="280"/>
    </w:pPr>
    <w:rPr>
      <w:rFonts w:asciiTheme="majorHAnsi" w:hAnsiTheme="majorHAnsi"/>
      <w:sz w:val="26"/>
    </w:rPr>
  </w:style>
  <w:style w:type="paragraph" w:styleId="TOC3">
    <w:name w:val="toc 3"/>
    <w:basedOn w:val="Normal"/>
    <w:next w:val="Normal"/>
    <w:autoRedefine/>
    <w:uiPriority w:val="39"/>
    <w:unhideWhenUsed/>
    <w:rsid w:val="008F2519"/>
    <w:pPr>
      <w:spacing w:after="100"/>
      <w:ind w:left="560"/>
    </w:pPr>
    <w:rPr>
      <w:rFonts w:asciiTheme="majorHAnsi" w:hAnsiTheme="majorHAnsi"/>
      <w:sz w:val="26"/>
    </w:rPr>
  </w:style>
  <w:style w:type="character" w:customStyle="1" w:styleId="Heading2Char">
    <w:name w:val="Heading 2 Char"/>
    <w:basedOn w:val="DefaultParagraphFont"/>
    <w:link w:val="Heading2"/>
    <w:uiPriority w:val="9"/>
    <w:rsid w:val="008C059D"/>
    <w:rPr>
      <w:rFonts w:eastAsiaTheme="majorEastAsia" w:cstheme="majorBidi"/>
      <w:b/>
      <w:color w:val="000000" w:themeColor="text1"/>
      <w:sz w:val="26"/>
      <w:szCs w:val="26"/>
      <w:lang w:val="en-US"/>
    </w:rPr>
  </w:style>
  <w:style w:type="paragraph" w:customStyle="1" w:styleId="AddParagraf">
    <w:name w:val="AddParagraf"/>
    <w:basedOn w:val="Normal"/>
    <w:link w:val="AddParagrafCaracter"/>
    <w:qFormat/>
    <w:rsid w:val="00621E22"/>
    <w:pPr>
      <w:numPr>
        <w:ilvl w:val="1"/>
      </w:numPr>
      <w:spacing w:after="180"/>
      <w:ind w:right="48" w:firstLine="709"/>
      <w:jc w:val="both"/>
    </w:pPr>
    <w:rPr>
      <w:rFonts w:ascii="Calibri" w:hAnsi="Calibri" w:cs="Arial"/>
      <w:sz w:val="24"/>
      <w:szCs w:val="24"/>
    </w:rPr>
  </w:style>
  <w:style w:type="character" w:customStyle="1" w:styleId="AddParagrafCaracter">
    <w:name w:val="AddParagraf Caracter"/>
    <w:link w:val="AddParagraf"/>
    <w:qFormat/>
    <w:locked/>
    <w:rsid w:val="00621E22"/>
    <w:rPr>
      <w:rFonts w:ascii="Calibri" w:eastAsia="Times New Roman" w:hAnsi="Calibri" w:cs="Arial"/>
      <w:sz w:val="24"/>
      <w:szCs w:val="24"/>
    </w:rPr>
  </w:style>
  <w:style w:type="paragraph" w:customStyle="1" w:styleId="Default">
    <w:name w:val="Default"/>
    <w:rsid w:val="00621E22"/>
    <w:pPr>
      <w:autoSpaceDE w:val="0"/>
      <w:autoSpaceDN w:val="0"/>
      <w:adjustRightInd w:val="0"/>
      <w:spacing w:after="0" w:line="240" w:lineRule="auto"/>
    </w:pPr>
    <w:rPr>
      <w:rFonts w:ascii="Times New Roman" w:eastAsia="Times New Roman" w:hAnsi="Times New Roman" w:cs="Times New Roman"/>
      <w:color w:val="000000"/>
      <w:sz w:val="24"/>
      <w:szCs w:val="24"/>
      <w:lang w:eastAsia="ro-RO"/>
    </w:rPr>
  </w:style>
  <w:style w:type="character" w:customStyle="1" w:styleId="ListParagraphChar">
    <w:name w:val="List Paragraph Char"/>
    <w:aliases w:val="Normal bullet 2 Char,Forth level Char,List Paragraph1 Char,List1 Char,Bullet list Char,1st level - Bullet List Paragraph Char,Lettre d'introduction Char,Paragrafo elenco Char,List Paragraph11 Char,Normal bullet 21 Char,Paragraph Char"/>
    <w:link w:val="ListParagraph"/>
    <w:uiPriority w:val="34"/>
    <w:qFormat/>
    <w:rsid w:val="00621E22"/>
    <w:rPr>
      <w:rFonts w:ascii="Arial" w:eastAsia="Times New Roman" w:hAnsi="Arial" w:cs="Times New Roman"/>
      <w:sz w:val="28"/>
      <w:szCs w:val="20"/>
    </w:rPr>
  </w:style>
  <w:style w:type="character" w:customStyle="1" w:styleId="Heading3Char">
    <w:name w:val="Heading 3 Char"/>
    <w:basedOn w:val="DefaultParagraphFont"/>
    <w:link w:val="Heading3"/>
    <w:rsid w:val="008C059D"/>
    <w:rPr>
      <w:rFonts w:eastAsiaTheme="majorEastAsia" w:cstheme="majorBidi"/>
      <w:b/>
      <w:color w:val="000000" w:themeColor="text1"/>
      <w:sz w:val="26"/>
      <w:szCs w:val="24"/>
    </w:rPr>
  </w:style>
  <w:style w:type="character" w:styleId="Strong">
    <w:name w:val="Strong"/>
    <w:uiPriority w:val="22"/>
    <w:qFormat/>
    <w:rsid w:val="003A2BC2"/>
    <w:rPr>
      <w:b/>
      <w:bCs/>
    </w:rPr>
  </w:style>
  <w:style w:type="paragraph" w:styleId="NormalWeb">
    <w:name w:val="Normal (Web)"/>
    <w:basedOn w:val="Normal"/>
    <w:link w:val="NormalWebChar"/>
    <w:uiPriority w:val="99"/>
    <w:unhideWhenUsed/>
    <w:rsid w:val="003A2BC2"/>
    <w:pPr>
      <w:spacing w:before="100" w:beforeAutospacing="1" w:after="100" w:afterAutospacing="1"/>
    </w:pPr>
    <w:rPr>
      <w:rFonts w:ascii="Times New Roman" w:hAnsi="Times New Roman"/>
      <w:sz w:val="24"/>
      <w:szCs w:val="24"/>
      <w:lang w:eastAsia="ro-RO"/>
    </w:rPr>
  </w:style>
  <w:style w:type="character" w:customStyle="1" w:styleId="rvts5">
    <w:name w:val="rvts5"/>
    <w:rsid w:val="003A2BC2"/>
  </w:style>
  <w:style w:type="character" w:customStyle="1" w:styleId="NormalWebChar">
    <w:name w:val="Normal (Web) Char"/>
    <w:link w:val="NormalWeb"/>
    <w:locked/>
    <w:rsid w:val="003A2BC2"/>
    <w:rPr>
      <w:rFonts w:ascii="Times New Roman" w:eastAsia="Times New Roman" w:hAnsi="Times New Roman" w:cs="Times New Roman"/>
      <w:sz w:val="24"/>
      <w:szCs w:val="24"/>
      <w:lang w:eastAsia="ro-RO"/>
    </w:rPr>
  </w:style>
  <w:style w:type="character" w:customStyle="1" w:styleId="NoSpacingChar">
    <w:name w:val="No Spacing Char"/>
    <w:link w:val="NoSpacing"/>
    <w:rsid w:val="00683ACD"/>
    <w:rPr>
      <w:rFonts w:ascii="Arial" w:eastAsia="Times New Roman" w:hAnsi="Arial" w:cs="Times New Roman"/>
      <w:sz w:val="28"/>
      <w:szCs w:val="20"/>
      <w:lang w:val="en-US"/>
    </w:rPr>
  </w:style>
  <w:style w:type="character" w:customStyle="1" w:styleId="markedcontent">
    <w:name w:val="markedcontent"/>
    <w:basedOn w:val="DefaultParagraphFont"/>
    <w:rsid w:val="00AA0999"/>
  </w:style>
  <w:style w:type="character" w:customStyle="1" w:styleId="Bodytext2">
    <w:name w:val="Body text (2)_"/>
    <w:basedOn w:val="DefaultParagraphFont"/>
    <w:link w:val="Bodytext20"/>
    <w:rsid w:val="00AA0999"/>
    <w:rPr>
      <w:rFonts w:ascii="Trebuchet MS" w:eastAsia="Trebuchet MS" w:hAnsi="Trebuchet MS" w:cs="Trebuchet MS"/>
      <w:shd w:val="clear" w:color="auto" w:fill="FFFFFF"/>
    </w:rPr>
  </w:style>
  <w:style w:type="paragraph" w:customStyle="1" w:styleId="Bodytext20">
    <w:name w:val="Body text (2)"/>
    <w:basedOn w:val="Normal"/>
    <w:link w:val="Bodytext2"/>
    <w:rsid w:val="00AA0999"/>
    <w:pPr>
      <w:widowControl w:val="0"/>
      <w:shd w:val="clear" w:color="auto" w:fill="FFFFFF"/>
      <w:spacing w:line="0" w:lineRule="atLeast"/>
    </w:pPr>
    <w:rPr>
      <w:rFonts w:ascii="Trebuchet MS" w:eastAsia="Trebuchet MS" w:hAnsi="Trebuchet MS" w:cs="Trebuchet MS"/>
      <w:sz w:val="22"/>
      <w:szCs w:val="22"/>
    </w:rPr>
  </w:style>
  <w:style w:type="character" w:customStyle="1" w:styleId="Bodytext2Italic">
    <w:name w:val="Body text (2) + Italic"/>
    <w:basedOn w:val="Bodytext2"/>
    <w:rsid w:val="00AA0999"/>
    <w:rPr>
      <w:rFonts w:ascii="Trebuchet MS" w:eastAsia="Trebuchet MS" w:hAnsi="Trebuchet MS" w:cs="Trebuchet MS"/>
      <w:b w:val="0"/>
      <w:bCs w:val="0"/>
      <w:i/>
      <w:iCs/>
      <w:smallCaps w:val="0"/>
      <w:strike w:val="0"/>
      <w:color w:val="000000"/>
      <w:spacing w:val="0"/>
      <w:w w:val="100"/>
      <w:position w:val="0"/>
      <w:sz w:val="22"/>
      <w:szCs w:val="22"/>
      <w:u w:val="none"/>
      <w:shd w:val="clear" w:color="auto" w:fill="FFFFFF"/>
      <w:lang w:val="ro-RO" w:eastAsia="ro-RO" w:bidi="ro-RO"/>
    </w:rPr>
  </w:style>
  <w:style w:type="paragraph" w:customStyle="1" w:styleId="rvps1">
    <w:name w:val="rvps1"/>
    <w:basedOn w:val="Normal"/>
    <w:rsid w:val="00E2457C"/>
    <w:pPr>
      <w:jc w:val="center"/>
    </w:pPr>
    <w:rPr>
      <w:rFonts w:ascii="Times New Roman" w:hAnsi="Times New Roman"/>
      <w:sz w:val="24"/>
      <w:szCs w:val="24"/>
      <w:lang w:val="en-US"/>
    </w:rPr>
  </w:style>
  <w:style w:type="character" w:customStyle="1" w:styleId="Bodytext1">
    <w:name w:val="Body text|1_"/>
    <w:basedOn w:val="DefaultParagraphFont"/>
    <w:link w:val="Bodytext10"/>
    <w:rsid w:val="00A944DA"/>
    <w:rPr>
      <w:rFonts w:ascii="Calibri" w:eastAsia="Calibri" w:hAnsi="Calibri" w:cs="Calibri"/>
    </w:rPr>
  </w:style>
  <w:style w:type="paragraph" w:customStyle="1" w:styleId="Bodytext10">
    <w:name w:val="Body text|1"/>
    <w:basedOn w:val="Normal"/>
    <w:link w:val="Bodytext1"/>
    <w:rsid w:val="00A944DA"/>
    <w:pPr>
      <w:widowControl w:val="0"/>
    </w:pPr>
    <w:rPr>
      <w:rFonts w:ascii="Calibri" w:eastAsia="Calibri" w:hAnsi="Calibri" w:cs="Calibri"/>
      <w:sz w:val="22"/>
      <w:szCs w:val="22"/>
    </w:rPr>
  </w:style>
  <w:style w:type="character" w:customStyle="1" w:styleId="Heading11">
    <w:name w:val="Heading #1|1_"/>
    <w:basedOn w:val="DefaultParagraphFont"/>
    <w:link w:val="Heading110"/>
    <w:rsid w:val="00A944DA"/>
    <w:rPr>
      <w:rFonts w:ascii="Arial" w:eastAsia="Arial" w:hAnsi="Arial" w:cs="Arial"/>
      <w:b/>
      <w:sz w:val="28"/>
    </w:rPr>
  </w:style>
  <w:style w:type="paragraph" w:customStyle="1" w:styleId="Heading110">
    <w:name w:val="Heading #1|1"/>
    <w:basedOn w:val="Normal"/>
    <w:link w:val="Heading11"/>
    <w:rsid w:val="00A944DA"/>
    <w:pPr>
      <w:widowControl w:val="0"/>
      <w:spacing w:after="200"/>
      <w:outlineLvl w:val="0"/>
    </w:pPr>
    <w:rPr>
      <w:rFonts w:eastAsia="Arial" w:cs="Arial"/>
      <w:b/>
      <w:szCs w:val="22"/>
    </w:rPr>
  </w:style>
  <w:style w:type="table" w:customStyle="1" w:styleId="TableGrid1">
    <w:name w:val="Table Grid1"/>
    <w:basedOn w:val="TableNormal"/>
    <w:next w:val="TableGrid"/>
    <w:rsid w:val="006D090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7">
    <w:name w:val="rvts7"/>
    <w:rsid w:val="00030AEB"/>
  </w:style>
  <w:style w:type="character" w:customStyle="1" w:styleId="apple-converted-space">
    <w:name w:val="apple-converted-space"/>
    <w:rsid w:val="00600104"/>
  </w:style>
  <w:style w:type="character" w:customStyle="1" w:styleId="preformatatted">
    <w:name w:val="preformatatted"/>
    <w:basedOn w:val="DefaultParagraphFont"/>
    <w:rsid w:val="00B83ECD"/>
  </w:style>
  <w:style w:type="character" w:styleId="Emphasis">
    <w:name w:val="Emphasis"/>
    <w:basedOn w:val="DefaultParagraphFont"/>
    <w:uiPriority w:val="20"/>
    <w:qFormat/>
    <w:rsid w:val="007935BD"/>
    <w:rPr>
      <w:i/>
      <w:iCs/>
    </w:rPr>
  </w:style>
  <w:style w:type="paragraph" w:styleId="FootnoteText">
    <w:name w:val="footnote text"/>
    <w:basedOn w:val="Normal"/>
    <w:link w:val="FootnoteTextChar"/>
    <w:uiPriority w:val="99"/>
    <w:unhideWhenUsed/>
    <w:rsid w:val="003F56DF"/>
    <w:rPr>
      <w:rFonts w:asciiTheme="minorHAnsi" w:eastAsiaTheme="minorHAnsi" w:hAnsiTheme="minorHAnsi" w:cstheme="minorBidi"/>
      <w:sz w:val="20"/>
      <w:lang w:val="en-GB"/>
    </w:rPr>
  </w:style>
  <w:style w:type="character" w:customStyle="1" w:styleId="FootnoteTextChar">
    <w:name w:val="Footnote Text Char"/>
    <w:basedOn w:val="DefaultParagraphFont"/>
    <w:link w:val="FootnoteText"/>
    <w:uiPriority w:val="99"/>
    <w:rsid w:val="003F56DF"/>
    <w:rPr>
      <w:sz w:val="20"/>
      <w:szCs w:val="20"/>
      <w:lang w:val="en-GB"/>
    </w:rPr>
  </w:style>
  <w:style w:type="character" w:styleId="FootnoteReference">
    <w:name w:val="footnote reference"/>
    <w:basedOn w:val="DefaultParagraphFont"/>
    <w:uiPriority w:val="99"/>
    <w:unhideWhenUsed/>
    <w:rsid w:val="003F56DF"/>
    <w:rPr>
      <w:vertAlign w:val="superscript"/>
    </w:rPr>
  </w:style>
  <w:style w:type="paragraph" w:styleId="Revision">
    <w:name w:val="Revision"/>
    <w:hidden/>
    <w:uiPriority w:val="99"/>
    <w:semiHidden/>
    <w:rsid w:val="00F61A4B"/>
    <w:pPr>
      <w:spacing w:after="0" w:line="240" w:lineRule="auto"/>
    </w:pPr>
    <w:rPr>
      <w:rFonts w:ascii="Arial" w:eastAsia="Times New Roman" w:hAnsi="Arial" w:cs="Times New Roman"/>
      <w:sz w:val="28"/>
      <w:szCs w:val="20"/>
    </w:rPr>
  </w:style>
  <w:style w:type="character" w:styleId="UnresolvedMention">
    <w:name w:val="Unresolved Mention"/>
    <w:basedOn w:val="DefaultParagraphFont"/>
    <w:uiPriority w:val="99"/>
    <w:semiHidden/>
    <w:unhideWhenUsed/>
    <w:rsid w:val="00D450BC"/>
    <w:rPr>
      <w:color w:val="605E5C"/>
      <w:shd w:val="clear" w:color="auto" w:fill="E1DFDD"/>
    </w:rPr>
  </w:style>
  <w:style w:type="character" w:customStyle="1" w:styleId="Fontdeparagrafimplicit1">
    <w:name w:val="Font de paragraf implicit1"/>
    <w:rsid w:val="00EC0C6B"/>
  </w:style>
  <w:style w:type="character" w:customStyle="1" w:styleId="contentpasted0">
    <w:name w:val="contentpasted0"/>
    <w:basedOn w:val="DefaultParagraphFont"/>
    <w:rsid w:val="00CF0D23"/>
  </w:style>
  <w:style w:type="character" w:customStyle="1" w:styleId="normaltextrun">
    <w:name w:val="normaltextrun"/>
    <w:basedOn w:val="DefaultParagraphFont"/>
    <w:rsid w:val="00AC2D56"/>
  </w:style>
  <w:style w:type="character" w:customStyle="1" w:styleId="rvts11">
    <w:name w:val="rvts11"/>
    <w:rsid w:val="00150131"/>
  </w:style>
  <w:style w:type="character" w:customStyle="1" w:styleId="rvts4">
    <w:name w:val="rvts4"/>
    <w:basedOn w:val="DefaultParagraphFont"/>
    <w:rsid w:val="00150131"/>
  </w:style>
  <w:style w:type="paragraph" w:styleId="PlainText">
    <w:name w:val="Plain Text"/>
    <w:basedOn w:val="Normal"/>
    <w:link w:val="PlainTextChar"/>
    <w:uiPriority w:val="99"/>
    <w:semiHidden/>
    <w:unhideWhenUsed/>
    <w:rsid w:val="0034506F"/>
    <w:rPr>
      <w:rFonts w:ascii="Calibri" w:eastAsiaTheme="minorHAnsi" w:hAnsi="Calibri" w:cs="Calibri"/>
      <w:sz w:val="22"/>
      <w:szCs w:val="22"/>
      <w:lang w:val="en-US"/>
      <w14:ligatures w14:val="standardContextual"/>
    </w:rPr>
  </w:style>
  <w:style w:type="character" w:customStyle="1" w:styleId="PlainTextChar">
    <w:name w:val="Plain Text Char"/>
    <w:basedOn w:val="DefaultParagraphFont"/>
    <w:link w:val="PlainText"/>
    <w:uiPriority w:val="99"/>
    <w:semiHidden/>
    <w:rsid w:val="0034506F"/>
    <w:rPr>
      <w:rFonts w:ascii="Calibri" w:hAnsi="Calibri" w:cs="Calibri"/>
      <w:lang w:val="en-US"/>
      <w14:ligatures w14:val="standardContextual"/>
    </w:rPr>
  </w:style>
  <w:style w:type="character" w:styleId="CommentReference">
    <w:name w:val="annotation reference"/>
    <w:basedOn w:val="DefaultParagraphFont"/>
    <w:uiPriority w:val="99"/>
    <w:semiHidden/>
    <w:unhideWhenUsed/>
    <w:rsid w:val="007E7337"/>
    <w:rPr>
      <w:sz w:val="16"/>
      <w:szCs w:val="16"/>
    </w:rPr>
  </w:style>
  <w:style w:type="paragraph" w:styleId="CommentText">
    <w:name w:val="annotation text"/>
    <w:basedOn w:val="Normal"/>
    <w:link w:val="CommentTextChar"/>
    <w:uiPriority w:val="99"/>
    <w:semiHidden/>
    <w:unhideWhenUsed/>
    <w:rsid w:val="007E7337"/>
    <w:rPr>
      <w:sz w:val="20"/>
    </w:rPr>
  </w:style>
  <w:style w:type="character" w:customStyle="1" w:styleId="CommentTextChar">
    <w:name w:val="Comment Text Char"/>
    <w:basedOn w:val="DefaultParagraphFont"/>
    <w:link w:val="CommentText"/>
    <w:uiPriority w:val="99"/>
    <w:semiHidden/>
    <w:rsid w:val="007E7337"/>
    <w:rPr>
      <w:rFonts w:ascii="Arial" w:eastAsia="Times New Roman" w:hAnsi="Arial" w:cs="Times New Roman"/>
      <w:sz w:val="20"/>
      <w:szCs w:val="20"/>
    </w:rPr>
  </w:style>
  <w:style w:type="character" w:styleId="FollowedHyperlink">
    <w:name w:val="FollowedHyperlink"/>
    <w:basedOn w:val="DefaultParagraphFont"/>
    <w:uiPriority w:val="99"/>
    <w:semiHidden/>
    <w:unhideWhenUsed/>
    <w:rsid w:val="00500978"/>
    <w:rPr>
      <w:color w:val="954F72" w:themeColor="followedHyperlink"/>
      <w:u w:val="single"/>
    </w:rPr>
  </w:style>
  <w:style w:type="paragraph" w:customStyle="1" w:styleId="msonormal0">
    <w:name w:val="msonormal"/>
    <w:basedOn w:val="Normal"/>
    <w:rsid w:val="002C206D"/>
    <w:pPr>
      <w:spacing w:before="100" w:beforeAutospacing="1" w:after="100" w:afterAutospacing="1"/>
    </w:pPr>
    <w:rPr>
      <w:rFonts w:ascii="Times New Roman" w:hAnsi="Times New Roman"/>
      <w:sz w:val="24"/>
      <w:szCs w:val="24"/>
      <w:lang w:eastAsia="ro-RO"/>
    </w:rPr>
  </w:style>
  <w:style w:type="paragraph" w:customStyle="1" w:styleId="Textnotdesubsol1">
    <w:name w:val="Text notă de subsol1"/>
    <w:basedOn w:val="Normal"/>
    <w:next w:val="FootnoteText"/>
    <w:uiPriority w:val="99"/>
    <w:unhideWhenUsed/>
    <w:rsid w:val="003657DC"/>
    <w:rPr>
      <w:rFonts w:asciiTheme="minorHAnsi" w:eastAsiaTheme="minorHAnsi" w:hAnsiTheme="minorHAnsi" w:cstheme="minorBidi"/>
      <w:noProof/>
      <w:sz w:val="20"/>
      <w:lang w:val="en-GB"/>
    </w:rPr>
  </w:style>
  <w:style w:type="character" w:customStyle="1" w:styleId="Fontdeparagrafimplicit2">
    <w:name w:val="Font de paragraf implicit2"/>
    <w:rsid w:val="004330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6423">
      <w:bodyDiv w:val="1"/>
      <w:marLeft w:val="0"/>
      <w:marRight w:val="0"/>
      <w:marTop w:val="0"/>
      <w:marBottom w:val="0"/>
      <w:divBdr>
        <w:top w:val="none" w:sz="0" w:space="0" w:color="auto"/>
        <w:left w:val="none" w:sz="0" w:space="0" w:color="auto"/>
        <w:bottom w:val="none" w:sz="0" w:space="0" w:color="auto"/>
        <w:right w:val="none" w:sz="0" w:space="0" w:color="auto"/>
      </w:divBdr>
    </w:div>
    <w:div w:id="38018028">
      <w:bodyDiv w:val="1"/>
      <w:marLeft w:val="0"/>
      <w:marRight w:val="0"/>
      <w:marTop w:val="0"/>
      <w:marBottom w:val="0"/>
      <w:divBdr>
        <w:top w:val="none" w:sz="0" w:space="0" w:color="auto"/>
        <w:left w:val="none" w:sz="0" w:space="0" w:color="auto"/>
        <w:bottom w:val="none" w:sz="0" w:space="0" w:color="auto"/>
        <w:right w:val="none" w:sz="0" w:space="0" w:color="auto"/>
      </w:divBdr>
    </w:div>
    <w:div w:id="43334978">
      <w:bodyDiv w:val="1"/>
      <w:marLeft w:val="0"/>
      <w:marRight w:val="0"/>
      <w:marTop w:val="0"/>
      <w:marBottom w:val="0"/>
      <w:divBdr>
        <w:top w:val="none" w:sz="0" w:space="0" w:color="auto"/>
        <w:left w:val="none" w:sz="0" w:space="0" w:color="auto"/>
        <w:bottom w:val="none" w:sz="0" w:space="0" w:color="auto"/>
        <w:right w:val="none" w:sz="0" w:space="0" w:color="auto"/>
      </w:divBdr>
    </w:div>
    <w:div w:id="51079125">
      <w:bodyDiv w:val="1"/>
      <w:marLeft w:val="0"/>
      <w:marRight w:val="0"/>
      <w:marTop w:val="0"/>
      <w:marBottom w:val="0"/>
      <w:divBdr>
        <w:top w:val="none" w:sz="0" w:space="0" w:color="auto"/>
        <w:left w:val="none" w:sz="0" w:space="0" w:color="auto"/>
        <w:bottom w:val="none" w:sz="0" w:space="0" w:color="auto"/>
        <w:right w:val="none" w:sz="0" w:space="0" w:color="auto"/>
      </w:divBdr>
    </w:div>
    <w:div w:id="88082451">
      <w:bodyDiv w:val="1"/>
      <w:marLeft w:val="0"/>
      <w:marRight w:val="0"/>
      <w:marTop w:val="0"/>
      <w:marBottom w:val="0"/>
      <w:divBdr>
        <w:top w:val="none" w:sz="0" w:space="0" w:color="auto"/>
        <w:left w:val="none" w:sz="0" w:space="0" w:color="auto"/>
        <w:bottom w:val="none" w:sz="0" w:space="0" w:color="auto"/>
        <w:right w:val="none" w:sz="0" w:space="0" w:color="auto"/>
      </w:divBdr>
    </w:div>
    <w:div w:id="116876046">
      <w:bodyDiv w:val="1"/>
      <w:marLeft w:val="0"/>
      <w:marRight w:val="0"/>
      <w:marTop w:val="0"/>
      <w:marBottom w:val="0"/>
      <w:divBdr>
        <w:top w:val="none" w:sz="0" w:space="0" w:color="auto"/>
        <w:left w:val="none" w:sz="0" w:space="0" w:color="auto"/>
        <w:bottom w:val="none" w:sz="0" w:space="0" w:color="auto"/>
        <w:right w:val="none" w:sz="0" w:space="0" w:color="auto"/>
      </w:divBdr>
    </w:div>
    <w:div w:id="126243939">
      <w:bodyDiv w:val="1"/>
      <w:marLeft w:val="0"/>
      <w:marRight w:val="0"/>
      <w:marTop w:val="0"/>
      <w:marBottom w:val="0"/>
      <w:divBdr>
        <w:top w:val="none" w:sz="0" w:space="0" w:color="auto"/>
        <w:left w:val="none" w:sz="0" w:space="0" w:color="auto"/>
        <w:bottom w:val="none" w:sz="0" w:space="0" w:color="auto"/>
        <w:right w:val="none" w:sz="0" w:space="0" w:color="auto"/>
      </w:divBdr>
    </w:div>
    <w:div w:id="138815687">
      <w:bodyDiv w:val="1"/>
      <w:marLeft w:val="0"/>
      <w:marRight w:val="0"/>
      <w:marTop w:val="0"/>
      <w:marBottom w:val="0"/>
      <w:divBdr>
        <w:top w:val="none" w:sz="0" w:space="0" w:color="auto"/>
        <w:left w:val="none" w:sz="0" w:space="0" w:color="auto"/>
        <w:bottom w:val="none" w:sz="0" w:space="0" w:color="auto"/>
        <w:right w:val="none" w:sz="0" w:space="0" w:color="auto"/>
      </w:divBdr>
    </w:div>
    <w:div w:id="171071054">
      <w:bodyDiv w:val="1"/>
      <w:marLeft w:val="0"/>
      <w:marRight w:val="0"/>
      <w:marTop w:val="0"/>
      <w:marBottom w:val="0"/>
      <w:divBdr>
        <w:top w:val="none" w:sz="0" w:space="0" w:color="auto"/>
        <w:left w:val="none" w:sz="0" w:space="0" w:color="auto"/>
        <w:bottom w:val="none" w:sz="0" w:space="0" w:color="auto"/>
        <w:right w:val="none" w:sz="0" w:space="0" w:color="auto"/>
      </w:divBdr>
    </w:div>
    <w:div w:id="200358933">
      <w:bodyDiv w:val="1"/>
      <w:marLeft w:val="0"/>
      <w:marRight w:val="0"/>
      <w:marTop w:val="0"/>
      <w:marBottom w:val="0"/>
      <w:divBdr>
        <w:top w:val="none" w:sz="0" w:space="0" w:color="auto"/>
        <w:left w:val="none" w:sz="0" w:space="0" w:color="auto"/>
        <w:bottom w:val="none" w:sz="0" w:space="0" w:color="auto"/>
        <w:right w:val="none" w:sz="0" w:space="0" w:color="auto"/>
      </w:divBdr>
    </w:div>
    <w:div w:id="246429999">
      <w:bodyDiv w:val="1"/>
      <w:marLeft w:val="0"/>
      <w:marRight w:val="0"/>
      <w:marTop w:val="0"/>
      <w:marBottom w:val="0"/>
      <w:divBdr>
        <w:top w:val="none" w:sz="0" w:space="0" w:color="auto"/>
        <w:left w:val="none" w:sz="0" w:space="0" w:color="auto"/>
        <w:bottom w:val="none" w:sz="0" w:space="0" w:color="auto"/>
        <w:right w:val="none" w:sz="0" w:space="0" w:color="auto"/>
      </w:divBdr>
    </w:div>
    <w:div w:id="300382165">
      <w:bodyDiv w:val="1"/>
      <w:marLeft w:val="0"/>
      <w:marRight w:val="0"/>
      <w:marTop w:val="0"/>
      <w:marBottom w:val="0"/>
      <w:divBdr>
        <w:top w:val="none" w:sz="0" w:space="0" w:color="auto"/>
        <w:left w:val="none" w:sz="0" w:space="0" w:color="auto"/>
        <w:bottom w:val="none" w:sz="0" w:space="0" w:color="auto"/>
        <w:right w:val="none" w:sz="0" w:space="0" w:color="auto"/>
      </w:divBdr>
    </w:div>
    <w:div w:id="304357934">
      <w:bodyDiv w:val="1"/>
      <w:marLeft w:val="0"/>
      <w:marRight w:val="0"/>
      <w:marTop w:val="0"/>
      <w:marBottom w:val="0"/>
      <w:divBdr>
        <w:top w:val="none" w:sz="0" w:space="0" w:color="auto"/>
        <w:left w:val="none" w:sz="0" w:space="0" w:color="auto"/>
        <w:bottom w:val="none" w:sz="0" w:space="0" w:color="auto"/>
        <w:right w:val="none" w:sz="0" w:space="0" w:color="auto"/>
      </w:divBdr>
    </w:div>
    <w:div w:id="356004987">
      <w:bodyDiv w:val="1"/>
      <w:marLeft w:val="0"/>
      <w:marRight w:val="0"/>
      <w:marTop w:val="0"/>
      <w:marBottom w:val="0"/>
      <w:divBdr>
        <w:top w:val="none" w:sz="0" w:space="0" w:color="auto"/>
        <w:left w:val="none" w:sz="0" w:space="0" w:color="auto"/>
        <w:bottom w:val="none" w:sz="0" w:space="0" w:color="auto"/>
        <w:right w:val="none" w:sz="0" w:space="0" w:color="auto"/>
      </w:divBdr>
    </w:div>
    <w:div w:id="356781486">
      <w:bodyDiv w:val="1"/>
      <w:marLeft w:val="0"/>
      <w:marRight w:val="0"/>
      <w:marTop w:val="0"/>
      <w:marBottom w:val="0"/>
      <w:divBdr>
        <w:top w:val="none" w:sz="0" w:space="0" w:color="auto"/>
        <w:left w:val="none" w:sz="0" w:space="0" w:color="auto"/>
        <w:bottom w:val="none" w:sz="0" w:space="0" w:color="auto"/>
        <w:right w:val="none" w:sz="0" w:space="0" w:color="auto"/>
      </w:divBdr>
    </w:div>
    <w:div w:id="372777067">
      <w:bodyDiv w:val="1"/>
      <w:marLeft w:val="0"/>
      <w:marRight w:val="0"/>
      <w:marTop w:val="0"/>
      <w:marBottom w:val="0"/>
      <w:divBdr>
        <w:top w:val="none" w:sz="0" w:space="0" w:color="auto"/>
        <w:left w:val="none" w:sz="0" w:space="0" w:color="auto"/>
        <w:bottom w:val="none" w:sz="0" w:space="0" w:color="auto"/>
        <w:right w:val="none" w:sz="0" w:space="0" w:color="auto"/>
      </w:divBdr>
    </w:div>
    <w:div w:id="373039976">
      <w:bodyDiv w:val="1"/>
      <w:marLeft w:val="0"/>
      <w:marRight w:val="0"/>
      <w:marTop w:val="0"/>
      <w:marBottom w:val="0"/>
      <w:divBdr>
        <w:top w:val="none" w:sz="0" w:space="0" w:color="auto"/>
        <w:left w:val="none" w:sz="0" w:space="0" w:color="auto"/>
        <w:bottom w:val="none" w:sz="0" w:space="0" w:color="auto"/>
        <w:right w:val="none" w:sz="0" w:space="0" w:color="auto"/>
      </w:divBdr>
    </w:div>
    <w:div w:id="381559743">
      <w:bodyDiv w:val="1"/>
      <w:marLeft w:val="0"/>
      <w:marRight w:val="0"/>
      <w:marTop w:val="0"/>
      <w:marBottom w:val="0"/>
      <w:divBdr>
        <w:top w:val="none" w:sz="0" w:space="0" w:color="auto"/>
        <w:left w:val="none" w:sz="0" w:space="0" w:color="auto"/>
        <w:bottom w:val="none" w:sz="0" w:space="0" w:color="auto"/>
        <w:right w:val="none" w:sz="0" w:space="0" w:color="auto"/>
      </w:divBdr>
    </w:div>
    <w:div w:id="398208392">
      <w:bodyDiv w:val="1"/>
      <w:marLeft w:val="0"/>
      <w:marRight w:val="0"/>
      <w:marTop w:val="0"/>
      <w:marBottom w:val="0"/>
      <w:divBdr>
        <w:top w:val="none" w:sz="0" w:space="0" w:color="auto"/>
        <w:left w:val="none" w:sz="0" w:space="0" w:color="auto"/>
        <w:bottom w:val="none" w:sz="0" w:space="0" w:color="auto"/>
        <w:right w:val="none" w:sz="0" w:space="0" w:color="auto"/>
      </w:divBdr>
    </w:div>
    <w:div w:id="399015419">
      <w:bodyDiv w:val="1"/>
      <w:marLeft w:val="0"/>
      <w:marRight w:val="0"/>
      <w:marTop w:val="0"/>
      <w:marBottom w:val="0"/>
      <w:divBdr>
        <w:top w:val="none" w:sz="0" w:space="0" w:color="auto"/>
        <w:left w:val="none" w:sz="0" w:space="0" w:color="auto"/>
        <w:bottom w:val="none" w:sz="0" w:space="0" w:color="auto"/>
        <w:right w:val="none" w:sz="0" w:space="0" w:color="auto"/>
      </w:divBdr>
    </w:div>
    <w:div w:id="407730346">
      <w:bodyDiv w:val="1"/>
      <w:marLeft w:val="0"/>
      <w:marRight w:val="0"/>
      <w:marTop w:val="0"/>
      <w:marBottom w:val="0"/>
      <w:divBdr>
        <w:top w:val="none" w:sz="0" w:space="0" w:color="auto"/>
        <w:left w:val="none" w:sz="0" w:space="0" w:color="auto"/>
        <w:bottom w:val="none" w:sz="0" w:space="0" w:color="auto"/>
        <w:right w:val="none" w:sz="0" w:space="0" w:color="auto"/>
      </w:divBdr>
    </w:div>
    <w:div w:id="433478156">
      <w:bodyDiv w:val="1"/>
      <w:marLeft w:val="0"/>
      <w:marRight w:val="0"/>
      <w:marTop w:val="0"/>
      <w:marBottom w:val="0"/>
      <w:divBdr>
        <w:top w:val="none" w:sz="0" w:space="0" w:color="auto"/>
        <w:left w:val="none" w:sz="0" w:space="0" w:color="auto"/>
        <w:bottom w:val="none" w:sz="0" w:space="0" w:color="auto"/>
        <w:right w:val="none" w:sz="0" w:space="0" w:color="auto"/>
      </w:divBdr>
    </w:div>
    <w:div w:id="498276274">
      <w:bodyDiv w:val="1"/>
      <w:marLeft w:val="0"/>
      <w:marRight w:val="0"/>
      <w:marTop w:val="0"/>
      <w:marBottom w:val="0"/>
      <w:divBdr>
        <w:top w:val="none" w:sz="0" w:space="0" w:color="auto"/>
        <w:left w:val="none" w:sz="0" w:space="0" w:color="auto"/>
        <w:bottom w:val="none" w:sz="0" w:space="0" w:color="auto"/>
        <w:right w:val="none" w:sz="0" w:space="0" w:color="auto"/>
      </w:divBdr>
    </w:div>
    <w:div w:id="510069949">
      <w:bodyDiv w:val="1"/>
      <w:marLeft w:val="0"/>
      <w:marRight w:val="0"/>
      <w:marTop w:val="0"/>
      <w:marBottom w:val="0"/>
      <w:divBdr>
        <w:top w:val="none" w:sz="0" w:space="0" w:color="auto"/>
        <w:left w:val="none" w:sz="0" w:space="0" w:color="auto"/>
        <w:bottom w:val="none" w:sz="0" w:space="0" w:color="auto"/>
        <w:right w:val="none" w:sz="0" w:space="0" w:color="auto"/>
      </w:divBdr>
    </w:div>
    <w:div w:id="542135535">
      <w:bodyDiv w:val="1"/>
      <w:marLeft w:val="0"/>
      <w:marRight w:val="0"/>
      <w:marTop w:val="0"/>
      <w:marBottom w:val="0"/>
      <w:divBdr>
        <w:top w:val="none" w:sz="0" w:space="0" w:color="auto"/>
        <w:left w:val="none" w:sz="0" w:space="0" w:color="auto"/>
        <w:bottom w:val="none" w:sz="0" w:space="0" w:color="auto"/>
        <w:right w:val="none" w:sz="0" w:space="0" w:color="auto"/>
      </w:divBdr>
    </w:div>
    <w:div w:id="627860326">
      <w:bodyDiv w:val="1"/>
      <w:marLeft w:val="0"/>
      <w:marRight w:val="0"/>
      <w:marTop w:val="0"/>
      <w:marBottom w:val="0"/>
      <w:divBdr>
        <w:top w:val="none" w:sz="0" w:space="0" w:color="auto"/>
        <w:left w:val="none" w:sz="0" w:space="0" w:color="auto"/>
        <w:bottom w:val="none" w:sz="0" w:space="0" w:color="auto"/>
        <w:right w:val="none" w:sz="0" w:space="0" w:color="auto"/>
      </w:divBdr>
    </w:div>
    <w:div w:id="658004603">
      <w:bodyDiv w:val="1"/>
      <w:marLeft w:val="0"/>
      <w:marRight w:val="0"/>
      <w:marTop w:val="0"/>
      <w:marBottom w:val="0"/>
      <w:divBdr>
        <w:top w:val="none" w:sz="0" w:space="0" w:color="auto"/>
        <w:left w:val="none" w:sz="0" w:space="0" w:color="auto"/>
        <w:bottom w:val="none" w:sz="0" w:space="0" w:color="auto"/>
        <w:right w:val="none" w:sz="0" w:space="0" w:color="auto"/>
      </w:divBdr>
    </w:div>
    <w:div w:id="679771075">
      <w:bodyDiv w:val="1"/>
      <w:marLeft w:val="0"/>
      <w:marRight w:val="0"/>
      <w:marTop w:val="0"/>
      <w:marBottom w:val="0"/>
      <w:divBdr>
        <w:top w:val="none" w:sz="0" w:space="0" w:color="auto"/>
        <w:left w:val="none" w:sz="0" w:space="0" w:color="auto"/>
        <w:bottom w:val="none" w:sz="0" w:space="0" w:color="auto"/>
        <w:right w:val="none" w:sz="0" w:space="0" w:color="auto"/>
      </w:divBdr>
    </w:div>
    <w:div w:id="734594543">
      <w:bodyDiv w:val="1"/>
      <w:marLeft w:val="0"/>
      <w:marRight w:val="0"/>
      <w:marTop w:val="0"/>
      <w:marBottom w:val="0"/>
      <w:divBdr>
        <w:top w:val="none" w:sz="0" w:space="0" w:color="auto"/>
        <w:left w:val="none" w:sz="0" w:space="0" w:color="auto"/>
        <w:bottom w:val="none" w:sz="0" w:space="0" w:color="auto"/>
        <w:right w:val="none" w:sz="0" w:space="0" w:color="auto"/>
      </w:divBdr>
    </w:div>
    <w:div w:id="782071468">
      <w:bodyDiv w:val="1"/>
      <w:marLeft w:val="0"/>
      <w:marRight w:val="0"/>
      <w:marTop w:val="0"/>
      <w:marBottom w:val="0"/>
      <w:divBdr>
        <w:top w:val="none" w:sz="0" w:space="0" w:color="auto"/>
        <w:left w:val="none" w:sz="0" w:space="0" w:color="auto"/>
        <w:bottom w:val="none" w:sz="0" w:space="0" w:color="auto"/>
        <w:right w:val="none" w:sz="0" w:space="0" w:color="auto"/>
      </w:divBdr>
    </w:div>
    <w:div w:id="800654298">
      <w:bodyDiv w:val="1"/>
      <w:marLeft w:val="0"/>
      <w:marRight w:val="0"/>
      <w:marTop w:val="0"/>
      <w:marBottom w:val="0"/>
      <w:divBdr>
        <w:top w:val="none" w:sz="0" w:space="0" w:color="auto"/>
        <w:left w:val="none" w:sz="0" w:space="0" w:color="auto"/>
        <w:bottom w:val="none" w:sz="0" w:space="0" w:color="auto"/>
        <w:right w:val="none" w:sz="0" w:space="0" w:color="auto"/>
      </w:divBdr>
    </w:div>
    <w:div w:id="843400552">
      <w:bodyDiv w:val="1"/>
      <w:marLeft w:val="0"/>
      <w:marRight w:val="0"/>
      <w:marTop w:val="0"/>
      <w:marBottom w:val="0"/>
      <w:divBdr>
        <w:top w:val="none" w:sz="0" w:space="0" w:color="auto"/>
        <w:left w:val="none" w:sz="0" w:space="0" w:color="auto"/>
        <w:bottom w:val="none" w:sz="0" w:space="0" w:color="auto"/>
        <w:right w:val="none" w:sz="0" w:space="0" w:color="auto"/>
      </w:divBdr>
    </w:div>
    <w:div w:id="862282474">
      <w:bodyDiv w:val="1"/>
      <w:marLeft w:val="0"/>
      <w:marRight w:val="0"/>
      <w:marTop w:val="0"/>
      <w:marBottom w:val="0"/>
      <w:divBdr>
        <w:top w:val="none" w:sz="0" w:space="0" w:color="auto"/>
        <w:left w:val="none" w:sz="0" w:space="0" w:color="auto"/>
        <w:bottom w:val="none" w:sz="0" w:space="0" w:color="auto"/>
        <w:right w:val="none" w:sz="0" w:space="0" w:color="auto"/>
      </w:divBdr>
    </w:div>
    <w:div w:id="864710587">
      <w:bodyDiv w:val="1"/>
      <w:marLeft w:val="0"/>
      <w:marRight w:val="0"/>
      <w:marTop w:val="0"/>
      <w:marBottom w:val="0"/>
      <w:divBdr>
        <w:top w:val="none" w:sz="0" w:space="0" w:color="auto"/>
        <w:left w:val="none" w:sz="0" w:space="0" w:color="auto"/>
        <w:bottom w:val="none" w:sz="0" w:space="0" w:color="auto"/>
        <w:right w:val="none" w:sz="0" w:space="0" w:color="auto"/>
      </w:divBdr>
    </w:div>
    <w:div w:id="893739389">
      <w:bodyDiv w:val="1"/>
      <w:marLeft w:val="0"/>
      <w:marRight w:val="0"/>
      <w:marTop w:val="0"/>
      <w:marBottom w:val="0"/>
      <w:divBdr>
        <w:top w:val="none" w:sz="0" w:space="0" w:color="auto"/>
        <w:left w:val="none" w:sz="0" w:space="0" w:color="auto"/>
        <w:bottom w:val="none" w:sz="0" w:space="0" w:color="auto"/>
        <w:right w:val="none" w:sz="0" w:space="0" w:color="auto"/>
      </w:divBdr>
    </w:div>
    <w:div w:id="905452674">
      <w:bodyDiv w:val="1"/>
      <w:marLeft w:val="0"/>
      <w:marRight w:val="0"/>
      <w:marTop w:val="0"/>
      <w:marBottom w:val="0"/>
      <w:divBdr>
        <w:top w:val="none" w:sz="0" w:space="0" w:color="auto"/>
        <w:left w:val="none" w:sz="0" w:space="0" w:color="auto"/>
        <w:bottom w:val="none" w:sz="0" w:space="0" w:color="auto"/>
        <w:right w:val="none" w:sz="0" w:space="0" w:color="auto"/>
      </w:divBdr>
    </w:div>
    <w:div w:id="910117222">
      <w:bodyDiv w:val="1"/>
      <w:marLeft w:val="0"/>
      <w:marRight w:val="0"/>
      <w:marTop w:val="0"/>
      <w:marBottom w:val="0"/>
      <w:divBdr>
        <w:top w:val="none" w:sz="0" w:space="0" w:color="auto"/>
        <w:left w:val="none" w:sz="0" w:space="0" w:color="auto"/>
        <w:bottom w:val="none" w:sz="0" w:space="0" w:color="auto"/>
        <w:right w:val="none" w:sz="0" w:space="0" w:color="auto"/>
      </w:divBdr>
    </w:div>
    <w:div w:id="929772582">
      <w:bodyDiv w:val="1"/>
      <w:marLeft w:val="0"/>
      <w:marRight w:val="0"/>
      <w:marTop w:val="0"/>
      <w:marBottom w:val="0"/>
      <w:divBdr>
        <w:top w:val="none" w:sz="0" w:space="0" w:color="auto"/>
        <w:left w:val="none" w:sz="0" w:space="0" w:color="auto"/>
        <w:bottom w:val="none" w:sz="0" w:space="0" w:color="auto"/>
        <w:right w:val="none" w:sz="0" w:space="0" w:color="auto"/>
      </w:divBdr>
    </w:div>
    <w:div w:id="942761595">
      <w:bodyDiv w:val="1"/>
      <w:marLeft w:val="0"/>
      <w:marRight w:val="0"/>
      <w:marTop w:val="0"/>
      <w:marBottom w:val="0"/>
      <w:divBdr>
        <w:top w:val="none" w:sz="0" w:space="0" w:color="auto"/>
        <w:left w:val="none" w:sz="0" w:space="0" w:color="auto"/>
        <w:bottom w:val="none" w:sz="0" w:space="0" w:color="auto"/>
        <w:right w:val="none" w:sz="0" w:space="0" w:color="auto"/>
      </w:divBdr>
    </w:div>
    <w:div w:id="952439354">
      <w:bodyDiv w:val="1"/>
      <w:marLeft w:val="0"/>
      <w:marRight w:val="0"/>
      <w:marTop w:val="0"/>
      <w:marBottom w:val="0"/>
      <w:divBdr>
        <w:top w:val="none" w:sz="0" w:space="0" w:color="auto"/>
        <w:left w:val="none" w:sz="0" w:space="0" w:color="auto"/>
        <w:bottom w:val="none" w:sz="0" w:space="0" w:color="auto"/>
        <w:right w:val="none" w:sz="0" w:space="0" w:color="auto"/>
      </w:divBdr>
    </w:div>
    <w:div w:id="952593094">
      <w:bodyDiv w:val="1"/>
      <w:marLeft w:val="0"/>
      <w:marRight w:val="0"/>
      <w:marTop w:val="0"/>
      <w:marBottom w:val="0"/>
      <w:divBdr>
        <w:top w:val="none" w:sz="0" w:space="0" w:color="auto"/>
        <w:left w:val="none" w:sz="0" w:space="0" w:color="auto"/>
        <w:bottom w:val="none" w:sz="0" w:space="0" w:color="auto"/>
        <w:right w:val="none" w:sz="0" w:space="0" w:color="auto"/>
      </w:divBdr>
    </w:div>
    <w:div w:id="977104376">
      <w:bodyDiv w:val="1"/>
      <w:marLeft w:val="0"/>
      <w:marRight w:val="0"/>
      <w:marTop w:val="0"/>
      <w:marBottom w:val="0"/>
      <w:divBdr>
        <w:top w:val="none" w:sz="0" w:space="0" w:color="auto"/>
        <w:left w:val="none" w:sz="0" w:space="0" w:color="auto"/>
        <w:bottom w:val="none" w:sz="0" w:space="0" w:color="auto"/>
        <w:right w:val="none" w:sz="0" w:space="0" w:color="auto"/>
      </w:divBdr>
    </w:div>
    <w:div w:id="983896572">
      <w:bodyDiv w:val="1"/>
      <w:marLeft w:val="0"/>
      <w:marRight w:val="0"/>
      <w:marTop w:val="0"/>
      <w:marBottom w:val="0"/>
      <w:divBdr>
        <w:top w:val="none" w:sz="0" w:space="0" w:color="auto"/>
        <w:left w:val="none" w:sz="0" w:space="0" w:color="auto"/>
        <w:bottom w:val="none" w:sz="0" w:space="0" w:color="auto"/>
        <w:right w:val="none" w:sz="0" w:space="0" w:color="auto"/>
      </w:divBdr>
    </w:div>
    <w:div w:id="996572314">
      <w:bodyDiv w:val="1"/>
      <w:marLeft w:val="0"/>
      <w:marRight w:val="0"/>
      <w:marTop w:val="0"/>
      <w:marBottom w:val="0"/>
      <w:divBdr>
        <w:top w:val="none" w:sz="0" w:space="0" w:color="auto"/>
        <w:left w:val="none" w:sz="0" w:space="0" w:color="auto"/>
        <w:bottom w:val="none" w:sz="0" w:space="0" w:color="auto"/>
        <w:right w:val="none" w:sz="0" w:space="0" w:color="auto"/>
      </w:divBdr>
    </w:div>
    <w:div w:id="1014921216">
      <w:bodyDiv w:val="1"/>
      <w:marLeft w:val="0"/>
      <w:marRight w:val="0"/>
      <w:marTop w:val="0"/>
      <w:marBottom w:val="0"/>
      <w:divBdr>
        <w:top w:val="none" w:sz="0" w:space="0" w:color="auto"/>
        <w:left w:val="none" w:sz="0" w:space="0" w:color="auto"/>
        <w:bottom w:val="none" w:sz="0" w:space="0" w:color="auto"/>
        <w:right w:val="none" w:sz="0" w:space="0" w:color="auto"/>
      </w:divBdr>
    </w:div>
    <w:div w:id="1022779625">
      <w:bodyDiv w:val="1"/>
      <w:marLeft w:val="0"/>
      <w:marRight w:val="0"/>
      <w:marTop w:val="0"/>
      <w:marBottom w:val="0"/>
      <w:divBdr>
        <w:top w:val="none" w:sz="0" w:space="0" w:color="auto"/>
        <w:left w:val="none" w:sz="0" w:space="0" w:color="auto"/>
        <w:bottom w:val="none" w:sz="0" w:space="0" w:color="auto"/>
        <w:right w:val="none" w:sz="0" w:space="0" w:color="auto"/>
      </w:divBdr>
    </w:div>
    <w:div w:id="1051422736">
      <w:bodyDiv w:val="1"/>
      <w:marLeft w:val="0"/>
      <w:marRight w:val="0"/>
      <w:marTop w:val="0"/>
      <w:marBottom w:val="0"/>
      <w:divBdr>
        <w:top w:val="none" w:sz="0" w:space="0" w:color="auto"/>
        <w:left w:val="none" w:sz="0" w:space="0" w:color="auto"/>
        <w:bottom w:val="none" w:sz="0" w:space="0" w:color="auto"/>
        <w:right w:val="none" w:sz="0" w:space="0" w:color="auto"/>
      </w:divBdr>
    </w:div>
    <w:div w:id="1097873572">
      <w:bodyDiv w:val="1"/>
      <w:marLeft w:val="0"/>
      <w:marRight w:val="0"/>
      <w:marTop w:val="0"/>
      <w:marBottom w:val="0"/>
      <w:divBdr>
        <w:top w:val="none" w:sz="0" w:space="0" w:color="auto"/>
        <w:left w:val="none" w:sz="0" w:space="0" w:color="auto"/>
        <w:bottom w:val="none" w:sz="0" w:space="0" w:color="auto"/>
        <w:right w:val="none" w:sz="0" w:space="0" w:color="auto"/>
      </w:divBdr>
    </w:div>
    <w:div w:id="1107702082">
      <w:bodyDiv w:val="1"/>
      <w:marLeft w:val="0"/>
      <w:marRight w:val="0"/>
      <w:marTop w:val="0"/>
      <w:marBottom w:val="0"/>
      <w:divBdr>
        <w:top w:val="none" w:sz="0" w:space="0" w:color="auto"/>
        <w:left w:val="none" w:sz="0" w:space="0" w:color="auto"/>
        <w:bottom w:val="none" w:sz="0" w:space="0" w:color="auto"/>
        <w:right w:val="none" w:sz="0" w:space="0" w:color="auto"/>
      </w:divBdr>
    </w:div>
    <w:div w:id="1115292928">
      <w:bodyDiv w:val="1"/>
      <w:marLeft w:val="0"/>
      <w:marRight w:val="0"/>
      <w:marTop w:val="0"/>
      <w:marBottom w:val="0"/>
      <w:divBdr>
        <w:top w:val="none" w:sz="0" w:space="0" w:color="auto"/>
        <w:left w:val="none" w:sz="0" w:space="0" w:color="auto"/>
        <w:bottom w:val="none" w:sz="0" w:space="0" w:color="auto"/>
        <w:right w:val="none" w:sz="0" w:space="0" w:color="auto"/>
      </w:divBdr>
    </w:div>
    <w:div w:id="1126392885">
      <w:bodyDiv w:val="1"/>
      <w:marLeft w:val="0"/>
      <w:marRight w:val="0"/>
      <w:marTop w:val="0"/>
      <w:marBottom w:val="0"/>
      <w:divBdr>
        <w:top w:val="none" w:sz="0" w:space="0" w:color="auto"/>
        <w:left w:val="none" w:sz="0" w:space="0" w:color="auto"/>
        <w:bottom w:val="none" w:sz="0" w:space="0" w:color="auto"/>
        <w:right w:val="none" w:sz="0" w:space="0" w:color="auto"/>
      </w:divBdr>
    </w:div>
    <w:div w:id="1147552612">
      <w:bodyDiv w:val="1"/>
      <w:marLeft w:val="0"/>
      <w:marRight w:val="0"/>
      <w:marTop w:val="0"/>
      <w:marBottom w:val="0"/>
      <w:divBdr>
        <w:top w:val="none" w:sz="0" w:space="0" w:color="auto"/>
        <w:left w:val="none" w:sz="0" w:space="0" w:color="auto"/>
        <w:bottom w:val="none" w:sz="0" w:space="0" w:color="auto"/>
        <w:right w:val="none" w:sz="0" w:space="0" w:color="auto"/>
      </w:divBdr>
    </w:div>
    <w:div w:id="1235696918">
      <w:bodyDiv w:val="1"/>
      <w:marLeft w:val="0"/>
      <w:marRight w:val="0"/>
      <w:marTop w:val="0"/>
      <w:marBottom w:val="0"/>
      <w:divBdr>
        <w:top w:val="none" w:sz="0" w:space="0" w:color="auto"/>
        <w:left w:val="none" w:sz="0" w:space="0" w:color="auto"/>
        <w:bottom w:val="none" w:sz="0" w:space="0" w:color="auto"/>
        <w:right w:val="none" w:sz="0" w:space="0" w:color="auto"/>
      </w:divBdr>
    </w:div>
    <w:div w:id="1257591656">
      <w:bodyDiv w:val="1"/>
      <w:marLeft w:val="0"/>
      <w:marRight w:val="0"/>
      <w:marTop w:val="0"/>
      <w:marBottom w:val="0"/>
      <w:divBdr>
        <w:top w:val="none" w:sz="0" w:space="0" w:color="auto"/>
        <w:left w:val="none" w:sz="0" w:space="0" w:color="auto"/>
        <w:bottom w:val="none" w:sz="0" w:space="0" w:color="auto"/>
        <w:right w:val="none" w:sz="0" w:space="0" w:color="auto"/>
      </w:divBdr>
    </w:div>
    <w:div w:id="1260138488">
      <w:bodyDiv w:val="1"/>
      <w:marLeft w:val="0"/>
      <w:marRight w:val="0"/>
      <w:marTop w:val="0"/>
      <w:marBottom w:val="0"/>
      <w:divBdr>
        <w:top w:val="none" w:sz="0" w:space="0" w:color="auto"/>
        <w:left w:val="none" w:sz="0" w:space="0" w:color="auto"/>
        <w:bottom w:val="none" w:sz="0" w:space="0" w:color="auto"/>
        <w:right w:val="none" w:sz="0" w:space="0" w:color="auto"/>
      </w:divBdr>
    </w:div>
    <w:div w:id="1307978741">
      <w:bodyDiv w:val="1"/>
      <w:marLeft w:val="0"/>
      <w:marRight w:val="0"/>
      <w:marTop w:val="0"/>
      <w:marBottom w:val="0"/>
      <w:divBdr>
        <w:top w:val="none" w:sz="0" w:space="0" w:color="auto"/>
        <w:left w:val="none" w:sz="0" w:space="0" w:color="auto"/>
        <w:bottom w:val="none" w:sz="0" w:space="0" w:color="auto"/>
        <w:right w:val="none" w:sz="0" w:space="0" w:color="auto"/>
      </w:divBdr>
    </w:div>
    <w:div w:id="1353993289">
      <w:bodyDiv w:val="1"/>
      <w:marLeft w:val="0"/>
      <w:marRight w:val="0"/>
      <w:marTop w:val="0"/>
      <w:marBottom w:val="0"/>
      <w:divBdr>
        <w:top w:val="none" w:sz="0" w:space="0" w:color="auto"/>
        <w:left w:val="none" w:sz="0" w:space="0" w:color="auto"/>
        <w:bottom w:val="none" w:sz="0" w:space="0" w:color="auto"/>
        <w:right w:val="none" w:sz="0" w:space="0" w:color="auto"/>
      </w:divBdr>
    </w:div>
    <w:div w:id="1370951011">
      <w:bodyDiv w:val="1"/>
      <w:marLeft w:val="0"/>
      <w:marRight w:val="0"/>
      <w:marTop w:val="0"/>
      <w:marBottom w:val="0"/>
      <w:divBdr>
        <w:top w:val="none" w:sz="0" w:space="0" w:color="auto"/>
        <w:left w:val="none" w:sz="0" w:space="0" w:color="auto"/>
        <w:bottom w:val="none" w:sz="0" w:space="0" w:color="auto"/>
        <w:right w:val="none" w:sz="0" w:space="0" w:color="auto"/>
      </w:divBdr>
    </w:div>
    <w:div w:id="1408529820">
      <w:bodyDiv w:val="1"/>
      <w:marLeft w:val="0"/>
      <w:marRight w:val="0"/>
      <w:marTop w:val="0"/>
      <w:marBottom w:val="0"/>
      <w:divBdr>
        <w:top w:val="none" w:sz="0" w:space="0" w:color="auto"/>
        <w:left w:val="none" w:sz="0" w:space="0" w:color="auto"/>
        <w:bottom w:val="none" w:sz="0" w:space="0" w:color="auto"/>
        <w:right w:val="none" w:sz="0" w:space="0" w:color="auto"/>
      </w:divBdr>
    </w:div>
    <w:div w:id="1498112622">
      <w:bodyDiv w:val="1"/>
      <w:marLeft w:val="0"/>
      <w:marRight w:val="0"/>
      <w:marTop w:val="0"/>
      <w:marBottom w:val="0"/>
      <w:divBdr>
        <w:top w:val="none" w:sz="0" w:space="0" w:color="auto"/>
        <w:left w:val="none" w:sz="0" w:space="0" w:color="auto"/>
        <w:bottom w:val="none" w:sz="0" w:space="0" w:color="auto"/>
        <w:right w:val="none" w:sz="0" w:space="0" w:color="auto"/>
      </w:divBdr>
    </w:div>
    <w:div w:id="1514302951">
      <w:bodyDiv w:val="1"/>
      <w:marLeft w:val="0"/>
      <w:marRight w:val="0"/>
      <w:marTop w:val="0"/>
      <w:marBottom w:val="0"/>
      <w:divBdr>
        <w:top w:val="none" w:sz="0" w:space="0" w:color="auto"/>
        <w:left w:val="none" w:sz="0" w:space="0" w:color="auto"/>
        <w:bottom w:val="none" w:sz="0" w:space="0" w:color="auto"/>
        <w:right w:val="none" w:sz="0" w:space="0" w:color="auto"/>
      </w:divBdr>
    </w:div>
    <w:div w:id="1539663980">
      <w:bodyDiv w:val="1"/>
      <w:marLeft w:val="0"/>
      <w:marRight w:val="0"/>
      <w:marTop w:val="0"/>
      <w:marBottom w:val="0"/>
      <w:divBdr>
        <w:top w:val="none" w:sz="0" w:space="0" w:color="auto"/>
        <w:left w:val="none" w:sz="0" w:space="0" w:color="auto"/>
        <w:bottom w:val="none" w:sz="0" w:space="0" w:color="auto"/>
        <w:right w:val="none" w:sz="0" w:space="0" w:color="auto"/>
      </w:divBdr>
    </w:div>
    <w:div w:id="1545755991">
      <w:bodyDiv w:val="1"/>
      <w:marLeft w:val="0"/>
      <w:marRight w:val="0"/>
      <w:marTop w:val="0"/>
      <w:marBottom w:val="0"/>
      <w:divBdr>
        <w:top w:val="none" w:sz="0" w:space="0" w:color="auto"/>
        <w:left w:val="none" w:sz="0" w:space="0" w:color="auto"/>
        <w:bottom w:val="none" w:sz="0" w:space="0" w:color="auto"/>
        <w:right w:val="none" w:sz="0" w:space="0" w:color="auto"/>
      </w:divBdr>
    </w:div>
    <w:div w:id="1553614076">
      <w:bodyDiv w:val="1"/>
      <w:marLeft w:val="0"/>
      <w:marRight w:val="0"/>
      <w:marTop w:val="0"/>
      <w:marBottom w:val="0"/>
      <w:divBdr>
        <w:top w:val="none" w:sz="0" w:space="0" w:color="auto"/>
        <w:left w:val="none" w:sz="0" w:space="0" w:color="auto"/>
        <w:bottom w:val="none" w:sz="0" w:space="0" w:color="auto"/>
        <w:right w:val="none" w:sz="0" w:space="0" w:color="auto"/>
      </w:divBdr>
    </w:div>
    <w:div w:id="1595477368">
      <w:bodyDiv w:val="1"/>
      <w:marLeft w:val="0"/>
      <w:marRight w:val="0"/>
      <w:marTop w:val="0"/>
      <w:marBottom w:val="0"/>
      <w:divBdr>
        <w:top w:val="none" w:sz="0" w:space="0" w:color="auto"/>
        <w:left w:val="none" w:sz="0" w:space="0" w:color="auto"/>
        <w:bottom w:val="none" w:sz="0" w:space="0" w:color="auto"/>
        <w:right w:val="none" w:sz="0" w:space="0" w:color="auto"/>
      </w:divBdr>
    </w:div>
    <w:div w:id="1605265777">
      <w:bodyDiv w:val="1"/>
      <w:marLeft w:val="0"/>
      <w:marRight w:val="0"/>
      <w:marTop w:val="0"/>
      <w:marBottom w:val="0"/>
      <w:divBdr>
        <w:top w:val="none" w:sz="0" w:space="0" w:color="auto"/>
        <w:left w:val="none" w:sz="0" w:space="0" w:color="auto"/>
        <w:bottom w:val="none" w:sz="0" w:space="0" w:color="auto"/>
        <w:right w:val="none" w:sz="0" w:space="0" w:color="auto"/>
      </w:divBdr>
    </w:div>
    <w:div w:id="1653026819">
      <w:bodyDiv w:val="1"/>
      <w:marLeft w:val="0"/>
      <w:marRight w:val="0"/>
      <w:marTop w:val="0"/>
      <w:marBottom w:val="0"/>
      <w:divBdr>
        <w:top w:val="none" w:sz="0" w:space="0" w:color="auto"/>
        <w:left w:val="none" w:sz="0" w:space="0" w:color="auto"/>
        <w:bottom w:val="none" w:sz="0" w:space="0" w:color="auto"/>
        <w:right w:val="none" w:sz="0" w:space="0" w:color="auto"/>
      </w:divBdr>
    </w:div>
    <w:div w:id="1659963215">
      <w:bodyDiv w:val="1"/>
      <w:marLeft w:val="0"/>
      <w:marRight w:val="0"/>
      <w:marTop w:val="0"/>
      <w:marBottom w:val="0"/>
      <w:divBdr>
        <w:top w:val="none" w:sz="0" w:space="0" w:color="auto"/>
        <w:left w:val="none" w:sz="0" w:space="0" w:color="auto"/>
        <w:bottom w:val="none" w:sz="0" w:space="0" w:color="auto"/>
        <w:right w:val="none" w:sz="0" w:space="0" w:color="auto"/>
      </w:divBdr>
    </w:div>
    <w:div w:id="1675956084">
      <w:bodyDiv w:val="1"/>
      <w:marLeft w:val="0"/>
      <w:marRight w:val="0"/>
      <w:marTop w:val="0"/>
      <w:marBottom w:val="0"/>
      <w:divBdr>
        <w:top w:val="none" w:sz="0" w:space="0" w:color="auto"/>
        <w:left w:val="none" w:sz="0" w:space="0" w:color="auto"/>
        <w:bottom w:val="none" w:sz="0" w:space="0" w:color="auto"/>
        <w:right w:val="none" w:sz="0" w:space="0" w:color="auto"/>
      </w:divBdr>
    </w:div>
    <w:div w:id="1677809934">
      <w:bodyDiv w:val="1"/>
      <w:marLeft w:val="0"/>
      <w:marRight w:val="0"/>
      <w:marTop w:val="0"/>
      <w:marBottom w:val="0"/>
      <w:divBdr>
        <w:top w:val="none" w:sz="0" w:space="0" w:color="auto"/>
        <w:left w:val="none" w:sz="0" w:space="0" w:color="auto"/>
        <w:bottom w:val="none" w:sz="0" w:space="0" w:color="auto"/>
        <w:right w:val="none" w:sz="0" w:space="0" w:color="auto"/>
      </w:divBdr>
    </w:div>
    <w:div w:id="1686324808">
      <w:bodyDiv w:val="1"/>
      <w:marLeft w:val="0"/>
      <w:marRight w:val="0"/>
      <w:marTop w:val="0"/>
      <w:marBottom w:val="0"/>
      <w:divBdr>
        <w:top w:val="none" w:sz="0" w:space="0" w:color="auto"/>
        <w:left w:val="none" w:sz="0" w:space="0" w:color="auto"/>
        <w:bottom w:val="none" w:sz="0" w:space="0" w:color="auto"/>
        <w:right w:val="none" w:sz="0" w:space="0" w:color="auto"/>
      </w:divBdr>
    </w:div>
    <w:div w:id="1752964345">
      <w:bodyDiv w:val="1"/>
      <w:marLeft w:val="0"/>
      <w:marRight w:val="0"/>
      <w:marTop w:val="0"/>
      <w:marBottom w:val="0"/>
      <w:divBdr>
        <w:top w:val="none" w:sz="0" w:space="0" w:color="auto"/>
        <w:left w:val="none" w:sz="0" w:space="0" w:color="auto"/>
        <w:bottom w:val="none" w:sz="0" w:space="0" w:color="auto"/>
        <w:right w:val="none" w:sz="0" w:space="0" w:color="auto"/>
      </w:divBdr>
    </w:div>
    <w:div w:id="1772044364">
      <w:bodyDiv w:val="1"/>
      <w:marLeft w:val="0"/>
      <w:marRight w:val="0"/>
      <w:marTop w:val="0"/>
      <w:marBottom w:val="0"/>
      <w:divBdr>
        <w:top w:val="none" w:sz="0" w:space="0" w:color="auto"/>
        <w:left w:val="none" w:sz="0" w:space="0" w:color="auto"/>
        <w:bottom w:val="none" w:sz="0" w:space="0" w:color="auto"/>
        <w:right w:val="none" w:sz="0" w:space="0" w:color="auto"/>
      </w:divBdr>
    </w:div>
    <w:div w:id="1844785006">
      <w:bodyDiv w:val="1"/>
      <w:marLeft w:val="0"/>
      <w:marRight w:val="0"/>
      <w:marTop w:val="0"/>
      <w:marBottom w:val="0"/>
      <w:divBdr>
        <w:top w:val="none" w:sz="0" w:space="0" w:color="auto"/>
        <w:left w:val="none" w:sz="0" w:space="0" w:color="auto"/>
        <w:bottom w:val="none" w:sz="0" w:space="0" w:color="auto"/>
        <w:right w:val="none" w:sz="0" w:space="0" w:color="auto"/>
      </w:divBdr>
    </w:div>
    <w:div w:id="1860466030">
      <w:bodyDiv w:val="1"/>
      <w:marLeft w:val="0"/>
      <w:marRight w:val="0"/>
      <w:marTop w:val="0"/>
      <w:marBottom w:val="0"/>
      <w:divBdr>
        <w:top w:val="none" w:sz="0" w:space="0" w:color="auto"/>
        <w:left w:val="none" w:sz="0" w:space="0" w:color="auto"/>
        <w:bottom w:val="none" w:sz="0" w:space="0" w:color="auto"/>
        <w:right w:val="none" w:sz="0" w:space="0" w:color="auto"/>
      </w:divBdr>
    </w:div>
    <w:div w:id="1915972570">
      <w:bodyDiv w:val="1"/>
      <w:marLeft w:val="0"/>
      <w:marRight w:val="0"/>
      <w:marTop w:val="0"/>
      <w:marBottom w:val="0"/>
      <w:divBdr>
        <w:top w:val="none" w:sz="0" w:space="0" w:color="auto"/>
        <w:left w:val="none" w:sz="0" w:space="0" w:color="auto"/>
        <w:bottom w:val="none" w:sz="0" w:space="0" w:color="auto"/>
        <w:right w:val="none" w:sz="0" w:space="0" w:color="auto"/>
      </w:divBdr>
    </w:div>
    <w:div w:id="1969555326">
      <w:bodyDiv w:val="1"/>
      <w:marLeft w:val="0"/>
      <w:marRight w:val="0"/>
      <w:marTop w:val="0"/>
      <w:marBottom w:val="0"/>
      <w:divBdr>
        <w:top w:val="none" w:sz="0" w:space="0" w:color="auto"/>
        <w:left w:val="none" w:sz="0" w:space="0" w:color="auto"/>
        <w:bottom w:val="none" w:sz="0" w:space="0" w:color="auto"/>
        <w:right w:val="none" w:sz="0" w:space="0" w:color="auto"/>
      </w:divBdr>
    </w:div>
    <w:div w:id="2000617880">
      <w:bodyDiv w:val="1"/>
      <w:marLeft w:val="0"/>
      <w:marRight w:val="0"/>
      <w:marTop w:val="0"/>
      <w:marBottom w:val="0"/>
      <w:divBdr>
        <w:top w:val="none" w:sz="0" w:space="0" w:color="auto"/>
        <w:left w:val="none" w:sz="0" w:space="0" w:color="auto"/>
        <w:bottom w:val="none" w:sz="0" w:space="0" w:color="auto"/>
        <w:right w:val="none" w:sz="0" w:space="0" w:color="auto"/>
      </w:divBdr>
    </w:div>
    <w:div w:id="2093040710">
      <w:bodyDiv w:val="1"/>
      <w:marLeft w:val="0"/>
      <w:marRight w:val="0"/>
      <w:marTop w:val="0"/>
      <w:marBottom w:val="0"/>
      <w:divBdr>
        <w:top w:val="none" w:sz="0" w:space="0" w:color="auto"/>
        <w:left w:val="none" w:sz="0" w:space="0" w:color="auto"/>
        <w:bottom w:val="none" w:sz="0" w:space="0" w:color="auto"/>
        <w:right w:val="none" w:sz="0" w:space="0" w:color="auto"/>
      </w:divBdr>
    </w:div>
    <w:div w:id="2106687022">
      <w:bodyDiv w:val="1"/>
      <w:marLeft w:val="0"/>
      <w:marRight w:val="0"/>
      <w:marTop w:val="0"/>
      <w:marBottom w:val="0"/>
      <w:divBdr>
        <w:top w:val="none" w:sz="0" w:space="0" w:color="auto"/>
        <w:left w:val="none" w:sz="0" w:space="0" w:color="auto"/>
        <w:bottom w:val="none" w:sz="0" w:space="0" w:color="auto"/>
        <w:right w:val="none" w:sz="0" w:space="0" w:color="auto"/>
      </w:divBdr>
    </w:div>
    <w:div w:id="213706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hyperlink" Target="https://www.facebook.com/Institutul-Na%C5%A3ional-pentru-Preg%C4%83tirea-%C5%9Fi-Perfec%C5%A3ionarea-Avoca%C5%A3ilor-1432273470430273/?__cft__%5b0%5d=AZXRswxVMzbaKauAWHB1ALIRJjf-kqT8sAaD-Po7pV7W3SOga5hkUka2hcVqoAr3n-8-u0x5PWWSwVg72wZ0Db879bDncC9ZmR7pZSv3BSaSCWbUGbYqBxZIdK5tMkZkjfwLOc017dvVECGg8DhnInlpBrY-bFRGsuxd9tFm-noMXtN8oPuugL0ZGQlwa-pvocIYDO8RiyWrq1LGyIrh5O4g&amp;__tn__=kK-R" TargetMode="External"/><Relationship Id="rId26"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image" Target="media/image3.svg"/><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s://www.facebook.com/UniuneaNationalaaBarourilordinRomania?__cft__%5b0%5d=AZXRswxVMzbaKauAWHB1ALIRJjf-kqT8sAaD-Po7pV7W3SOga5hkUka2hcVqoAr3n-8-u0x5PWWSwVg72wZ0Db879bDncC9ZmR7pZSv3BSaSCWbUGbYqBxZIdK5tMkZkjfwLOc017dvVECGg8DhnInlpBrY-bFRGsuxd9tFm-noMXtN8oPuugL0ZGQlwa-pvocIYDO8RiyWrq1LGyIrh5O4g&amp;__tn__=-%5dK-R" TargetMode="External"/><Relationship Id="rId25" Type="http://schemas.openxmlformats.org/officeDocument/2006/relationships/chart" Target="charts/chart8.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image" Target="media/image2.png"/><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7.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image" Target="media/image4.emf"/><Relationship Id="rId28" Type="http://schemas.openxmlformats.org/officeDocument/2006/relationships/chart" Target="charts/chart11.xml"/><Relationship Id="rId10" Type="http://schemas.openxmlformats.org/officeDocument/2006/relationships/footer" Target="footer1.xml"/><Relationship Id="rId19" Type="http://schemas.openxmlformats.org/officeDocument/2006/relationships/footer" Target="footer3.xml"/><Relationship Id="rId31" Type="http://schemas.openxmlformats.org/officeDocument/2006/relationships/chart" Target="charts/chart14.xml"/><Relationship Id="rId4" Type="http://schemas.openxmlformats.org/officeDocument/2006/relationships/settings" Target="settings.xml"/><Relationship Id="rId9" Type="http://schemas.openxmlformats.org/officeDocument/2006/relationships/hyperlink" Target="https://www.csm1909.ro/" TargetMode="External"/><Relationship Id="rId14" Type="http://schemas.openxmlformats.org/officeDocument/2006/relationships/chart" Target="charts/chart3.xml"/><Relationship Id="rId22" Type="http://schemas.openxmlformats.org/officeDocument/2006/relationships/chart" Target="charts/chart6.xml"/><Relationship Id="rId27" Type="http://schemas.openxmlformats.org/officeDocument/2006/relationships/chart" Target="charts/chart10.xml"/><Relationship Id="rId30" Type="http://schemas.openxmlformats.org/officeDocument/2006/relationships/chart" Target="charts/chart13.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manuela.stefanescu\Desktop\raport%20de%20activitate%202025\Tabele%20valori%20raport%20activitate%20DEA%202025_Final.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9.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10.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11.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12.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400" b="1" i="0" u="none" strike="noStrike" kern="1200" baseline="0">
                <a:solidFill>
                  <a:sysClr val="windowText" lastClr="000000"/>
                </a:solidFill>
                <a:ea typeface="Arial"/>
                <a:cs typeface="Times New Roman" panose="02020603050405020304" pitchFamily="18" charset="0"/>
              </a:rPr>
              <a:t>Situaţia posturilor din cadrul aparatului propriu al Consiliului Superior al Magistraturii</a:t>
            </a:r>
            <a:r>
              <a:rPr lang="ro-RO" sz="1400" b="1" i="0" u="none" strike="noStrike" kern="1200" baseline="0">
                <a:solidFill>
                  <a:sysClr val="windowText" lastClr="000000"/>
                </a:solidFill>
                <a:ea typeface="Arial"/>
                <a:cs typeface="Times New Roman" panose="02020603050405020304" pitchFamily="18" charset="0"/>
              </a:rPr>
              <a:t> la 31 decembrie 2025</a:t>
            </a:r>
            <a:endParaRPr lang="en-US" sz="1400" b="1" i="0" u="none" strike="noStrike" kern="1200" baseline="0">
              <a:solidFill>
                <a:sysClr val="windowText" lastClr="000000"/>
              </a:solidFill>
              <a:ea typeface="Arial"/>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66B2-49F4-A81D-D14617DC7616}"/>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66B2-49F4-A81D-D14617DC7616}"/>
              </c:ext>
            </c:extLst>
          </c:dPt>
          <c:dPt>
            <c:idx val="2"/>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5-66B2-49F4-A81D-D14617DC7616}"/>
              </c:ext>
            </c:extLst>
          </c:dPt>
          <c:dLbls>
            <c:dLbl>
              <c:idx val="0"/>
              <c:layout>
                <c:manualLayout>
                  <c:x val="-0.17031459609215516"/>
                  <c:y val="3.0754280714910636E-2"/>
                </c:manualLayout>
              </c:layout>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6B2-49F4-A81D-D14617DC7616}"/>
                </c:ext>
              </c:extLst>
            </c:dLbl>
            <c:dLbl>
              <c:idx val="1"/>
              <c:layout>
                <c:manualLayout>
                  <c:x val="1.9015201224846894E-2"/>
                  <c:y val="-0.27718660167479064"/>
                </c:manualLayout>
              </c:layout>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6B2-49F4-A81D-D14617DC7616}"/>
                </c:ext>
              </c:extLst>
            </c:dLbl>
            <c:dLbl>
              <c:idx val="2"/>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5-66B2-49F4-A81D-D14617DC7616}"/>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Personal asimilat</c:v>
                </c:pt>
                <c:pt idx="1">
                  <c:v>Funcţii publice</c:v>
                </c:pt>
                <c:pt idx="2">
                  <c:v>Personal contractual</c:v>
                </c:pt>
              </c:strCache>
            </c:strRef>
          </c:cat>
          <c:val>
            <c:numRef>
              <c:f>Sheet1!$B$2:$B$4</c:f>
              <c:numCache>
                <c:formatCode>0%</c:formatCode>
                <c:ptCount val="3"/>
                <c:pt idx="0">
                  <c:v>0.38</c:v>
                </c:pt>
                <c:pt idx="1">
                  <c:v>0.28000000000000003</c:v>
                </c:pt>
                <c:pt idx="2">
                  <c:v>0.34</c:v>
                </c:pt>
              </c:numCache>
            </c:numRef>
          </c:val>
          <c:extLst>
            <c:ext xmlns:c16="http://schemas.microsoft.com/office/drawing/2014/chart" uri="{C3380CC4-5D6E-409C-BE32-E72D297353CC}">
              <c16:uniqueId val="{00000006-66B2-49F4-A81D-D14617DC7616}"/>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STRUCTURA BUGETULUI  C.S.M - CREDITE</a:t>
            </a:r>
            <a:r>
              <a:rPr lang="en-US" baseline="0"/>
              <a:t> DE ANGAJAMENT </a:t>
            </a:r>
            <a:r>
              <a:rPr lang="en-US"/>
              <a:t>PE ANUL 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Struct.buget!$B$1:$B$3</c:f>
              <c:strCache>
                <c:ptCount val="3"/>
                <c:pt idx="0">
                  <c:v>STRUCTURA BUGETULUI PE ANUL 2025</c:v>
                </c:pt>
                <c:pt idx="2">
                  <c:v>Credite de
angajament CA</c:v>
                </c:pt>
              </c:strCache>
            </c:strRef>
          </c:tx>
          <c:dPt>
            <c:idx val="0"/>
            <c:bubble3D val="0"/>
            <c:explosion val="1"/>
            <c:spPr>
              <a:solidFill>
                <a:schemeClr val="accent1"/>
              </a:solidFill>
              <a:ln w="19050">
                <a:solidFill>
                  <a:schemeClr val="lt1"/>
                </a:solidFill>
              </a:ln>
              <a:effectLst/>
            </c:spPr>
            <c:extLst>
              <c:ext xmlns:c16="http://schemas.microsoft.com/office/drawing/2014/chart" uri="{C3380CC4-5D6E-409C-BE32-E72D297353CC}">
                <c16:uniqueId val="{00000001-BF36-47AE-879C-210F903C3E4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F36-47AE-879C-210F903C3E4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F36-47AE-879C-210F903C3E4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F36-47AE-879C-210F903C3E4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F36-47AE-879C-210F903C3E44}"/>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BF36-47AE-879C-210F903C3E44}"/>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BF36-47AE-879C-210F903C3E44}"/>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BF36-47AE-879C-210F903C3E44}"/>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BF36-47AE-879C-210F903C3E44}"/>
              </c:ext>
            </c:extLst>
          </c:dPt>
          <c:dLbls>
            <c:dLbl>
              <c:idx val="1"/>
              <c:layout>
                <c:manualLayout>
                  <c:x val="2.3262572178477658E-2"/>
                  <c:y val="0.1593639301675870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F36-47AE-879C-210F903C3E44}"/>
                </c:ext>
              </c:extLst>
            </c:dLbl>
            <c:dLbl>
              <c:idx val="2"/>
              <c:layout>
                <c:manualLayout>
                  <c:x val="-9.4573718285214353E-2"/>
                  <c:y val="0.1546547384358799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F36-47AE-879C-210F903C3E44}"/>
                </c:ext>
              </c:extLst>
            </c:dLbl>
            <c:dLbl>
              <c:idx val="3"/>
              <c:layout>
                <c:manualLayout>
                  <c:x val="-9.1033980752405971E-2"/>
                  <c:y val="6.545555158460239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F36-47AE-879C-210F903C3E44}"/>
                </c:ext>
              </c:extLst>
            </c:dLbl>
            <c:dLbl>
              <c:idx val="4"/>
              <c:layout>
                <c:manualLayout>
                  <c:x val="-8.2562239720034999E-2"/>
                  <c:y val="-1.579337039225387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F36-47AE-879C-210F903C3E44}"/>
                </c:ext>
              </c:extLst>
            </c:dLbl>
            <c:dLbl>
              <c:idx val="5"/>
              <c:layout>
                <c:manualLayout>
                  <c:x val="2.1333333333333333E-2"/>
                  <c:y val="-0.1093216203025866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BF36-47AE-879C-210F903C3E44}"/>
                </c:ext>
              </c:extLst>
            </c:dLbl>
            <c:dLbl>
              <c:idx val="6"/>
              <c:layout>
                <c:manualLayout>
                  <c:x val="4.3730533683289587E-2"/>
                  <c:y val="-3.642629590774067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BF36-47AE-879C-210F903C3E44}"/>
                </c:ext>
              </c:extLst>
            </c:dLbl>
            <c:dLbl>
              <c:idx val="7"/>
              <c:layout>
                <c:manualLayout>
                  <c:x val="0.31644444444444442"/>
                  <c:y val="4.696273608984175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BF36-47AE-879C-210F903C3E44}"/>
                </c:ext>
              </c:extLst>
            </c:dLbl>
            <c:dLbl>
              <c:idx val="8"/>
              <c:layout>
                <c:manualLayout>
                  <c:x val="0.34335678040244971"/>
                  <c:y val="0.1106465214053450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BF36-47AE-879C-210F903C3E44}"/>
                </c:ext>
              </c:extLst>
            </c:dLbl>
            <c:numFmt formatCode="0.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Struct.buget!$A$4:$A$12</c:f>
              <c:strCache>
                <c:ptCount val="9"/>
                <c:pt idx="0">
                  <c:v>Cheltuieli de personal</c:v>
                </c:pt>
                <c:pt idx="1">
                  <c:v>Bunuri și servicii</c:v>
                </c:pt>
                <c:pt idx="2">
                  <c:v>Transferuri</c:v>
                </c:pt>
                <c:pt idx="3">
                  <c:v>Alte transferuri</c:v>
                </c:pt>
                <c:pt idx="4">
                  <c:v>Proiecte cu finanțare din FEN postaderare</c:v>
                </c:pt>
                <c:pt idx="5">
                  <c:v>Proiecte cu finanțare din FEN aferente cadrului financiar 2014-2020</c:v>
                </c:pt>
                <c:pt idx="6">
                  <c:v>Alte cheltuieli</c:v>
                </c:pt>
                <c:pt idx="7">
                  <c:v>Proiecte cu finanțate din sumele reprezentând asistență financiară PNRR</c:v>
                </c:pt>
                <c:pt idx="8">
                  <c:v>Cheltuieli de capital</c:v>
                </c:pt>
              </c:strCache>
            </c:strRef>
          </c:cat>
          <c:val>
            <c:numRef>
              <c:f>Struct.buget!$B$4:$B$12</c:f>
              <c:numCache>
                <c:formatCode>#,##0</c:formatCode>
                <c:ptCount val="9"/>
                <c:pt idx="0">
                  <c:v>197561</c:v>
                </c:pt>
                <c:pt idx="1">
                  <c:v>17458</c:v>
                </c:pt>
                <c:pt idx="2">
                  <c:v>3</c:v>
                </c:pt>
                <c:pt idx="3">
                  <c:v>156</c:v>
                </c:pt>
                <c:pt idx="4">
                  <c:v>8849</c:v>
                </c:pt>
                <c:pt idx="5">
                  <c:v>205</c:v>
                </c:pt>
                <c:pt idx="6">
                  <c:v>55700</c:v>
                </c:pt>
                <c:pt idx="7">
                  <c:v>635</c:v>
                </c:pt>
                <c:pt idx="8">
                  <c:v>473</c:v>
                </c:pt>
              </c:numCache>
            </c:numRef>
          </c:val>
          <c:extLst>
            <c:ext xmlns:c16="http://schemas.microsoft.com/office/drawing/2014/chart" uri="{C3380CC4-5D6E-409C-BE32-E72D297353CC}">
              <c16:uniqueId val="{00000012-BF36-47AE-879C-210F903C3E44}"/>
            </c:ext>
          </c:extLst>
        </c:ser>
        <c:ser>
          <c:idx val="1"/>
          <c:order val="1"/>
          <c:tx>
            <c:strRef>
              <c:f>Struct.buget!$C$1:$C$3</c:f>
              <c:strCache>
                <c:ptCount val="3"/>
                <c:pt idx="0">
                  <c:v>STRUCTURA BUGETULUI PE ANUL 2025</c:v>
                </c:pt>
                <c:pt idx="2">
                  <c:v>% CA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14-BF36-47AE-879C-210F903C3E4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6-BF36-47AE-879C-210F903C3E4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8-BF36-47AE-879C-210F903C3E4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A-BF36-47AE-879C-210F903C3E4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1C-BF36-47AE-879C-210F903C3E44}"/>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1E-BF36-47AE-879C-210F903C3E44}"/>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20-BF36-47AE-879C-210F903C3E44}"/>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22-BF36-47AE-879C-210F903C3E44}"/>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24-BF36-47AE-879C-210F903C3E44}"/>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Struct.buget!$A$4:$A$12</c:f>
              <c:strCache>
                <c:ptCount val="9"/>
                <c:pt idx="0">
                  <c:v>Cheltuieli de personal</c:v>
                </c:pt>
                <c:pt idx="1">
                  <c:v>Bunuri și servicii</c:v>
                </c:pt>
                <c:pt idx="2">
                  <c:v>Transferuri</c:v>
                </c:pt>
                <c:pt idx="3">
                  <c:v>Alte transferuri</c:v>
                </c:pt>
                <c:pt idx="4">
                  <c:v>Proiecte cu finanțare din FEN postaderare</c:v>
                </c:pt>
                <c:pt idx="5">
                  <c:v>Proiecte cu finanțare din FEN aferente cadrului financiar 2014-2020</c:v>
                </c:pt>
                <c:pt idx="6">
                  <c:v>Alte cheltuieli</c:v>
                </c:pt>
                <c:pt idx="7">
                  <c:v>Proiecte cu finanțate din sumele reprezentând asistență financiară PNRR</c:v>
                </c:pt>
                <c:pt idx="8">
                  <c:v>Cheltuieli de capital</c:v>
                </c:pt>
              </c:strCache>
            </c:strRef>
          </c:cat>
          <c:val>
            <c:numRef>
              <c:f>Struct.buget!$C$4:$C$12</c:f>
              <c:numCache>
                <c:formatCode>#,##0.00</c:formatCode>
                <c:ptCount val="9"/>
                <c:pt idx="0">
                  <c:v>70.296399089097633</c:v>
                </c:pt>
                <c:pt idx="1">
                  <c:v>6.2119271278109878</c:v>
                </c:pt>
                <c:pt idx="2">
                  <c:v>1.067463706233988E-3</c:v>
                </c:pt>
                <c:pt idx="3">
                  <c:v>5.5508112724167384E-2</c:v>
                </c:pt>
                <c:pt idx="4">
                  <c:v>3.1486621121548533</c:v>
                </c:pt>
                <c:pt idx="5">
                  <c:v>7.2943353259322524E-2</c:v>
                </c:pt>
                <c:pt idx="6">
                  <c:v>19.819242812411044</c:v>
                </c:pt>
                <c:pt idx="7">
                  <c:v>0.22594648448619414</c:v>
                </c:pt>
                <c:pt idx="8">
                  <c:v>0.1683034443495588</c:v>
                </c:pt>
              </c:numCache>
            </c:numRef>
          </c:val>
          <c:extLst>
            <c:ext xmlns:c16="http://schemas.microsoft.com/office/drawing/2014/chart" uri="{C3380CC4-5D6E-409C-BE32-E72D297353CC}">
              <c16:uniqueId val="{00000025-BF36-47AE-879C-210F903C3E44}"/>
            </c:ext>
          </c:extLst>
        </c:ser>
        <c:ser>
          <c:idx val="2"/>
          <c:order val="2"/>
          <c:tx>
            <c:strRef>
              <c:f>Struct.buget!$D$1:$D$3</c:f>
              <c:strCache>
                <c:ptCount val="3"/>
                <c:pt idx="0">
                  <c:v>STRUCTURA BUGETULUI PE ANUL 2025</c:v>
                </c:pt>
                <c:pt idx="2">
                  <c:v>Credite
 Bugetare CB</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27-BF36-47AE-879C-210F903C3E4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29-BF36-47AE-879C-210F903C3E4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2B-BF36-47AE-879C-210F903C3E4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2D-BF36-47AE-879C-210F903C3E4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2F-BF36-47AE-879C-210F903C3E44}"/>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31-BF36-47AE-879C-210F903C3E44}"/>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33-BF36-47AE-879C-210F903C3E44}"/>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35-BF36-47AE-879C-210F903C3E44}"/>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37-BF36-47AE-879C-210F903C3E44}"/>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Struct.buget!$A$4:$A$12</c:f>
              <c:strCache>
                <c:ptCount val="9"/>
                <c:pt idx="0">
                  <c:v>Cheltuieli de personal</c:v>
                </c:pt>
                <c:pt idx="1">
                  <c:v>Bunuri și servicii</c:v>
                </c:pt>
                <c:pt idx="2">
                  <c:v>Transferuri</c:v>
                </c:pt>
                <c:pt idx="3">
                  <c:v>Alte transferuri</c:v>
                </c:pt>
                <c:pt idx="4">
                  <c:v>Proiecte cu finanțare din FEN postaderare</c:v>
                </c:pt>
                <c:pt idx="5">
                  <c:v>Proiecte cu finanțare din FEN aferente cadrului financiar 2014-2020</c:v>
                </c:pt>
                <c:pt idx="6">
                  <c:v>Alte cheltuieli</c:v>
                </c:pt>
                <c:pt idx="7">
                  <c:v>Proiecte cu finanțate din sumele reprezentând asistență financiară PNRR</c:v>
                </c:pt>
                <c:pt idx="8">
                  <c:v>Cheltuieli de capital</c:v>
                </c:pt>
              </c:strCache>
            </c:strRef>
          </c:cat>
          <c:val>
            <c:numRef>
              <c:f>Struct.buget!$D$4:$D$12</c:f>
              <c:numCache>
                <c:formatCode>#,##0</c:formatCode>
                <c:ptCount val="9"/>
                <c:pt idx="0">
                  <c:v>197561</c:v>
                </c:pt>
                <c:pt idx="1">
                  <c:v>17458</c:v>
                </c:pt>
                <c:pt idx="2">
                  <c:v>3</c:v>
                </c:pt>
                <c:pt idx="3">
                  <c:v>156</c:v>
                </c:pt>
                <c:pt idx="4">
                  <c:v>3995</c:v>
                </c:pt>
                <c:pt idx="5">
                  <c:v>205</c:v>
                </c:pt>
                <c:pt idx="6">
                  <c:v>55700</c:v>
                </c:pt>
                <c:pt idx="7">
                  <c:v>635</c:v>
                </c:pt>
                <c:pt idx="8">
                  <c:v>473</c:v>
                </c:pt>
              </c:numCache>
            </c:numRef>
          </c:val>
          <c:extLst>
            <c:ext xmlns:c16="http://schemas.microsoft.com/office/drawing/2014/chart" uri="{C3380CC4-5D6E-409C-BE32-E72D297353CC}">
              <c16:uniqueId val="{00000038-BF36-47AE-879C-210F903C3E44}"/>
            </c:ext>
          </c:extLst>
        </c:ser>
        <c:ser>
          <c:idx val="3"/>
          <c:order val="3"/>
          <c:tx>
            <c:strRef>
              <c:f>Struct.buget!$E$1:$E$3</c:f>
              <c:strCache>
                <c:ptCount val="3"/>
                <c:pt idx="0">
                  <c:v>STRUCTURA BUGETULUI PE ANUL 2025</c:v>
                </c:pt>
                <c:pt idx="2">
                  <c:v>% CB</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3A-BF36-47AE-879C-210F903C3E4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3C-BF36-47AE-879C-210F903C3E4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3E-BF36-47AE-879C-210F903C3E4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40-BF36-47AE-879C-210F903C3E4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42-BF36-47AE-879C-210F903C3E44}"/>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44-BF36-47AE-879C-210F903C3E44}"/>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46-BF36-47AE-879C-210F903C3E44}"/>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48-BF36-47AE-879C-210F903C3E44}"/>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4A-BF36-47AE-879C-210F903C3E44}"/>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Struct.buget!$A$4:$A$12</c:f>
              <c:strCache>
                <c:ptCount val="9"/>
                <c:pt idx="0">
                  <c:v>Cheltuieli de personal</c:v>
                </c:pt>
                <c:pt idx="1">
                  <c:v>Bunuri și servicii</c:v>
                </c:pt>
                <c:pt idx="2">
                  <c:v>Transferuri</c:v>
                </c:pt>
                <c:pt idx="3">
                  <c:v>Alte transferuri</c:v>
                </c:pt>
                <c:pt idx="4">
                  <c:v>Proiecte cu finanțare din FEN postaderare</c:v>
                </c:pt>
                <c:pt idx="5">
                  <c:v>Proiecte cu finanțare din FEN aferente cadrului financiar 2014-2020</c:v>
                </c:pt>
                <c:pt idx="6">
                  <c:v>Alte cheltuieli</c:v>
                </c:pt>
                <c:pt idx="7">
                  <c:v>Proiecte cu finanțate din sumele reprezentând asistență financiară PNRR</c:v>
                </c:pt>
                <c:pt idx="8">
                  <c:v>Cheltuieli de capital</c:v>
                </c:pt>
              </c:strCache>
            </c:strRef>
          </c:cat>
          <c:val>
            <c:numRef>
              <c:f>Struct.buget!$E$4:$E$12</c:f>
              <c:numCache>
                <c:formatCode>0.00</c:formatCode>
                <c:ptCount val="9"/>
                <c:pt idx="0">
                  <c:v>71.53186620610748</c:v>
                </c:pt>
                <c:pt idx="1">
                  <c:v>6.3211024454534259</c:v>
                </c:pt>
                <c:pt idx="2">
                  <c:v>1.0862245008798417E-3</c:v>
                </c:pt>
                <c:pt idx="3">
                  <c:v>5.6483674045751775E-2</c:v>
                </c:pt>
                <c:pt idx="4">
                  <c:v>1.4464889603383226</c:v>
                </c:pt>
                <c:pt idx="5">
                  <c:v>7.4225340893455866E-2</c:v>
                </c:pt>
                <c:pt idx="6">
                  <c:v>20.167568233002399</c:v>
                </c:pt>
                <c:pt idx="7">
                  <c:v>0.22991751935289984</c:v>
                </c:pt>
                <c:pt idx="8">
                  <c:v>0.17126139630538839</c:v>
                </c:pt>
              </c:numCache>
            </c:numRef>
          </c:val>
          <c:extLst>
            <c:ext xmlns:c16="http://schemas.microsoft.com/office/drawing/2014/chart" uri="{C3380CC4-5D6E-409C-BE32-E72D297353CC}">
              <c16:uniqueId val="{0000004B-BF36-47AE-879C-210F903C3E44}"/>
            </c:ext>
          </c:extLst>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9.061193350831144E-2"/>
          <c:y val="0.76441459365818165"/>
          <c:w val="0.47922057742782154"/>
          <c:h val="0.2214748620166155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300" b="1">
                <a:solidFill>
                  <a:schemeClr val="tx1"/>
                </a:solidFill>
              </a:rPr>
              <a:t>CHELTUIELI DE PERSONAL </a:t>
            </a:r>
          </a:p>
        </c:rich>
      </c:tx>
      <c:layout>
        <c:manualLayout>
          <c:xMode val="edge"/>
          <c:yMode val="edge"/>
          <c:x val="0.32333337850840932"/>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'Sit finantarii_Ch pers'!$C$78</c:f>
              <c:strCache>
                <c:ptCount val="1"/>
                <c:pt idx="0">
                  <c:v>2024</c:v>
                </c:pt>
              </c:strCache>
            </c:strRef>
          </c:tx>
          <c:spPr>
            <a:solidFill>
              <a:schemeClr val="accent1"/>
            </a:solidFill>
            <a:ln>
              <a:noFill/>
            </a:ln>
            <a:effectLst/>
            <a:sp3d/>
          </c:spPr>
          <c:invertIfNegative val="0"/>
          <c:cat>
            <c:multiLvlStrRef>
              <c:f>'Sit finantarii_Ch pers'!$A$79:$B$82</c:f>
              <c:multiLvlStrCache>
                <c:ptCount val="4"/>
                <c:lvl>
                  <c:pt idx="0">
                    <c:v>CA</c:v>
                  </c:pt>
                  <c:pt idx="1">
                    <c:v>CB</c:v>
                  </c:pt>
                  <c:pt idx="2">
                    <c:v>CA</c:v>
                  </c:pt>
                  <c:pt idx="3">
                    <c:v>CB</c:v>
                  </c:pt>
                </c:lvl>
                <c:lvl>
                  <c:pt idx="0">
                    <c:v>Total</c:v>
                  </c:pt>
                  <c:pt idx="2">
                    <c:v>Cheltuieli de personal</c:v>
                  </c:pt>
                </c:lvl>
              </c:multiLvlStrCache>
            </c:multiLvlStrRef>
          </c:cat>
          <c:val>
            <c:numRef>
              <c:f>'Sit finantarii_Ch pers'!$C$79:$C$82</c:f>
              <c:numCache>
                <c:formatCode>#,##0</c:formatCode>
                <c:ptCount val="4"/>
                <c:pt idx="0">
                  <c:v>319502</c:v>
                </c:pt>
                <c:pt idx="1">
                  <c:v>317694</c:v>
                </c:pt>
                <c:pt idx="2">
                  <c:v>237595</c:v>
                </c:pt>
                <c:pt idx="3">
                  <c:v>237595</c:v>
                </c:pt>
              </c:numCache>
            </c:numRef>
          </c:val>
          <c:extLst>
            <c:ext xmlns:c16="http://schemas.microsoft.com/office/drawing/2014/chart" uri="{C3380CC4-5D6E-409C-BE32-E72D297353CC}">
              <c16:uniqueId val="{00000000-EE35-4D66-8F8E-2FA9560C0B31}"/>
            </c:ext>
          </c:extLst>
        </c:ser>
        <c:ser>
          <c:idx val="1"/>
          <c:order val="1"/>
          <c:tx>
            <c:strRef>
              <c:f>'Sit finantarii_Ch pers'!$D$78</c:f>
              <c:strCache>
                <c:ptCount val="1"/>
                <c:pt idx="0">
                  <c:v>2025</c:v>
                </c:pt>
              </c:strCache>
            </c:strRef>
          </c:tx>
          <c:spPr>
            <a:solidFill>
              <a:schemeClr val="accent2"/>
            </a:solidFill>
            <a:ln>
              <a:noFill/>
            </a:ln>
            <a:effectLst/>
            <a:sp3d/>
          </c:spPr>
          <c:invertIfNegative val="0"/>
          <c:cat>
            <c:multiLvlStrRef>
              <c:f>'Sit finantarii_Ch pers'!$A$79:$B$82</c:f>
              <c:multiLvlStrCache>
                <c:ptCount val="4"/>
                <c:lvl>
                  <c:pt idx="0">
                    <c:v>CA</c:v>
                  </c:pt>
                  <c:pt idx="1">
                    <c:v>CB</c:v>
                  </c:pt>
                  <c:pt idx="2">
                    <c:v>CA</c:v>
                  </c:pt>
                  <c:pt idx="3">
                    <c:v>CB</c:v>
                  </c:pt>
                </c:lvl>
                <c:lvl>
                  <c:pt idx="0">
                    <c:v>Total</c:v>
                  </c:pt>
                  <c:pt idx="2">
                    <c:v>Cheltuieli de personal</c:v>
                  </c:pt>
                </c:lvl>
              </c:multiLvlStrCache>
            </c:multiLvlStrRef>
          </c:cat>
          <c:val>
            <c:numRef>
              <c:f>'Sit finantarii_Ch pers'!$D$79:$D$82</c:f>
              <c:numCache>
                <c:formatCode>#,##0</c:formatCode>
                <c:ptCount val="4"/>
                <c:pt idx="0">
                  <c:v>281040</c:v>
                </c:pt>
                <c:pt idx="1">
                  <c:v>276186</c:v>
                </c:pt>
                <c:pt idx="2">
                  <c:v>197561</c:v>
                </c:pt>
                <c:pt idx="3">
                  <c:v>197561</c:v>
                </c:pt>
              </c:numCache>
            </c:numRef>
          </c:val>
          <c:extLst>
            <c:ext xmlns:c16="http://schemas.microsoft.com/office/drawing/2014/chart" uri="{C3380CC4-5D6E-409C-BE32-E72D297353CC}">
              <c16:uniqueId val="{00000001-EE35-4D66-8F8E-2FA9560C0B31}"/>
            </c:ext>
          </c:extLst>
        </c:ser>
        <c:ser>
          <c:idx val="2"/>
          <c:order val="2"/>
          <c:tx>
            <c:strRef>
              <c:f>'Sit finantarii_Ch pers'!$E$78</c:f>
              <c:strCache>
                <c:ptCount val="1"/>
                <c:pt idx="0">
                  <c:v>2026</c:v>
                </c:pt>
              </c:strCache>
            </c:strRef>
          </c:tx>
          <c:spPr>
            <a:solidFill>
              <a:schemeClr val="accent3"/>
            </a:solidFill>
            <a:ln>
              <a:noFill/>
            </a:ln>
            <a:effectLst/>
            <a:sp3d/>
          </c:spPr>
          <c:invertIfNegative val="0"/>
          <c:cat>
            <c:multiLvlStrRef>
              <c:f>'Sit finantarii_Ch pers'!$A$79:$B$82</c:f>
              <c:multiLvlStrCache>
                <c:ptCount val="4"/>
                <c:lvl>
                  <c:pt idx="0">
                    <c:v>CA</c:v>
                  </c:pt>
                  <c:pt idx="1">
                    <c:v>CB</c:v>
                  </c:pt>
                  <c:pt idx="2">
                    <c:v>CA</c:v>
                  </c:pt>
                  <c:pt idx="3">
                    <c:v>CB</c:v>
                  </c:pt>
                </c:lvl>
                <c:lvl>
                  <c:pt idx="0">
                    <c:v>Total</c:v>
                  </c:pt>
                  <c:pt idx="2">
                    <c:v>Cheltuieli de personal</c:v>
                  </c:pt>
                </c:lvl>
              </c:multiLvlStrCache>
            </c:multiLvlStrRef>
          </c:cat>
          <c:val>
            <c:numRef>
              <c:f>'Sit finantarii_Ch pers'!$E$79:$E$82</c:f>
              <c:numCache>
                <c:formatCode>#,##0</c:formatCode>
                <c:ptCount val="4"/>
                <c:pt idx="0">
                  <c:v>421331</c:v>
                </c:pt>
                <c:pt idx="1">
                  <c:v>413705</c:v>
                </c:pt>
                <c:pt idx="2">
                  <c:v>289307</c:v>
                </c:pt>
                <c:pt idx="3">
                  <c:v>289307</c:v>
                </c:pt>
              </c:numCache>
            </c:numRef>
          </c:val>
          <c:extLst>
            <c:ext xmlns:c16="http://schemas.microsoft.com/office/drawing/2014/chart" uri="{C3380CC4-5D6E-409C-BE32-E72D297353CC}">
              <c16:uniqueId val="{00000002-EE35-4D66-8F8E-2FA9560C0B31}"/>
            </c:ext>
          </c:extLst>
        </c:ser>
        <c:dLbls>
          <c:showLegendKey val="0"/>
          <c:showVal val="0"/>
          <c:showCatName val="0"/>
          <c:showSerName val="0"/>
          <c:showPercent val="0"/>
          <c:showBubbleSize val="0"/>
        </c:dLbls>
        <c:gapWidth val="150"/>
        <c:shape val="box"/>
        <c:axId val="568946640"/>
        <c:axId val="568952080"/>
        <c:axId val="553179120"/>
      </c:bar3DChart>
      <c:catAx>
        <c:axId val="5689466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68952080"/>
        <c:crosses val="autoZero"/>
        <c:auto val="1"/>
        <c:lblAlgn val="ctr"/>
        <c:lblOffset val="100"/>
        <c:noMultiLvlLbl val="0"/>
      </c:catAx>
      <c:valAx>
        <c:axId val="5689520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68946640"/>
        <c:crosses val="autoZero"/>
        <c:crossBetween val="between"/>
      </c:valAx>
      <c:serAx>
        <c:axId val="553179120"/>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68952080"/>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300" b="1">
                <a:solidFill>
                  <a:schemeClr val="tx1"/>
                </a:solidFill>
              </a:rPr>
              <a:t>BUNURI</a:t>
            </a:r>
            <a:r>
              <a:rPr lang="en-US" sz="1300" b="1" baseline="0">
                <a:solidFill>
                  <a:schemeClr val="tx1"/>
                </a:solidFill>
              </a:rPr>
              <a:t> </a:t>
            </a:r>
            <a:r>
              <a:rPr lang="ro-RO" sz="1300" b="1" baseline="0">
                <a:solidFill>
                  <a:schemeClr val="tx1"/>
                </a:solidFill>
              </a:rPr>
              <a:t>Ș</a:t>
            </a:r>
            <a:r>
              <a:rPr lang="en-US" sz="1300" b="1" baseline="0">
                <a:solidFill>
                  <a:schemeClr val="tx1"/>
                </a:solidFill>
              </a:rPr>
              <a:t>I SERVICII</a:t>
            </a:r>
            <a:r>
              <a:rPr lang="en-US" sz="1300" baseline="0">
                <a:solidFill>
                  <a:schemeClr val="tx1"/>
                </a:solidFill>
              </a:rPr>
              <a:t>	</a:t>
            </a:r>
            <a:endParaRPr lang="en-US" sz="1300">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'Sit finantarii_Ch pers'!$C$86</c:f>
              <c:strCache>
                <c:ptCount val="1"/>
                <c:pt idx="0">
                  <c:v>2024</c:v>
                </c:pt>
              </c:strCache>
            </c:strRef>
          </c:tx>
          <c:spPr>
            <a:solidFill>
              <a:schemeClr val="accent1"/>
            </a:solidFill>
            <a:ln>
              <a:noFill/>
            </a:ln>
            <a:effectLst/>
            <a:sp3d/>
          </c:spPr>
          <c:invertIfNegative val="0"/>
          <c:cat>
            <c:multiLvlStrRef>
              <c:f>'Sit finantarii_Ch pers'!$A$87:$B$90</c:f>
              <c:multiLvlStrCache>
                <c:ptCount val="4"/>
                <c:lvl>
                  <c:pt idx="0">
                    <c:v>CA</c:v>
                  </c:pt>
                  <c:pt idx="1">
                    <c:v>CB</c:v>
                  </c:pt>
                  <c:pt idx="2">
                    <c:v>CA</c:v>
                  </c:pt>
                  <c:pt idx="3">
                    <c:v>CB</c:v>
                  </c:pt>
                </c:lvl>
                <c:lvl>
                  <c:pt idx="0">
                    <c:v>Total</c:v>
                  </c:pt>
                  <c:pt idx="2">
                    <c:v>Bunuri și servicii</c:v>
                  </c:pt>
                </c:lvl>
              </c:multiLvlStrCache>
            </c:multiLvlStrRef>
          </c:cat>
          <c:val>
            <c:numRef>
              <c:f>'Sit finantarii_Ch pers'!$C$87:$C$90</c:f>
              <c:numCache>
                <c:formatCode>#,##0</c:formatCode>
                <c:ptCount val="4"/>
                <c:pt idx="0">
                  <c:v>218178</c:v>
                </c:pt>
                <c:pt idx="1">
                  <c:v>182774</c:v>
                </c:pt>
                <c:pt idx="2">
                  <c:v>10647</c:v>
                </c:pt>
                <c:pt idx="3">
                  <c:v>10647</c:v>
                </c:pt>
              </c:numCache>
            </c:numRef>
          </c:val>
          <c:extLst>
            <c:ext xmlns:c16="http://schemas.microsoft.com/office/drawing/2014/chart" uri="{C3380CC4-5D6E-409C-BE32-E72D297353CC}">
              <c16:uniqueId val="{00000000-3EC0-4BE1-92CF-CB98A73026C5}"/>
            </c:ext>
          </c:extLst>
        </c:ser>
        <c:ser>
          <c:idx val="1"/>
          <c:order val="1"/>
          <c:tx>
            <c:strRef>
              <c:f>'Sit finantarii_Ch pers'!$D$86</c:f>
              <c:strCache>
                <c:ptCount val="1"/>
                <c:pt idx="0">
                  <c:v>2025</c:v>
                </c:pt>
              </c:strCache>
            </c:strRef>
          </c:tx>
          <c:spPr>
            <a:solidFill>
              <a:schemeClr val="accent2"/>
            </a:solidFill>
            <a:ln>
              <a:noFill/>
            </a:ln>
            <a:effectLst/>
            <a:sp3d/>
          </c:spPr>
          <c:invertIfNegative val="0"/>
          <c:cat>
            <c:multiLvlStrRef>
              <c:f>'Sit finantarii_Ch pers'!$A$87:$B$90</c:f>
              <c:multiLvlStrCache>
                <c:ptCount val="4"/>
                <c:lvl>
                  <c:pt idx="0">
                    <c:v>CA</c:v>
                  </c:pt>
                  <c:pt idx="1">
                    <c:v>CB</c:v>
                  </c:pt>
                  <c:pt idx="2">
                    <c:v>CA</c:v>
                  </c:pt>
                  <c:pt idx="3">
                    <c:v>CB</c:v>
                  </c:pt>
                </c:lvl>
                <c:lvl>
                  <c:pt idx="0">
                    <c:v>Total</c:v>
                  </c:pt>
                  <c:pt idx="2">
                    <c:v>Bunuri și servicii</c:v>
                  </c:pt>
                </c:lvl>
              </c:multiLvlStrCache>
            </c:multiLvlStrRef>
          </c:cat>
          <c:val>
            <c:numRef>
              <c:f>'Sit finantarii_Ch pers'!$D$87:$D$90</c:f>
              <c:numCache>
                <c:formatCode>#,##0</c:formatCode>
                <c:ptCount val="4"/>
                <c:pt idx="0">
                  <c:v>281040</c:v>
                </c:pt>
                <c:pt idx="1">
                  <c:v>276186</c:v>
                </c:pt>
                <c:pt idx="2">
                  <c:v>17458</c:v>
                </c:pt>
                <c:pt idx="3">
                  <c:v>17458</c:v>
                </c:pt>
              </c:numCache>
            </c:numRef>
          </c:val>
          <c:extLst>
            <c:ext xmlns:c16="http://schemas.microsoft.com/office/drawing/2014/chart" uri="{C3380CC4-5D6E-409C-BE32-E72D297353CC}">
              <c16:uniqueId val="{00000001-3EC0-4BE1-92CF-CB98A73026C5}"/>
            </c:ext>
          </c:extLst>
        </c:ser>
        <c:ser>
          <c:idx val="2"/>
          <c:order val="2"/>
          <c:tx>
            <c:strRef>
              <c:f>'Sit finantarii_Ch pers'!$E$86</c:f>
              <c:strCache>
                <c:ptCount val="1"/>
                <c:pt idx="0">
                  <c:v>2026</c:v>
                </c:pt>
              </c:strCache>
            </c:strRef>
          </c:tx>
          <c:spPr>
            <a:solidFill>
              <a:schemeClr val="accent3"/>
            </a:solidFill>
            <a:ln>
              <a:noFill/>
            </a:ln>
            <a:effectLst/>
            <a:sp3d/>
          </c:spPr>
          <c:invertIfNegative val="0"/>
          <c:cat>
            <c:multiLvlStrRef>
              <c:f>'Sit finantarii_Ch pers'!$A$87:$B$90</c:f>
              <c:multiLvlStrCache>
                <c:ptCount val="4"/>
                <c:lvl>
                  <c:pt idx="0">
                    <c:v>CA</c:v>
                  </c:pt>
                  <c:pt idx="1">
                    <c:v>CB</c:v>
                  </c:pt>
                  <c:pt idx="2">
                    <c:v>CA</c:v>
                  </c:pt>
                  <c:pt idx="3">
                    <c:v>CB</c:v>
                  </c:pt>
                </c:lvl>
                <c:lvl>
                  <c:pt idx="0">
                    <c:v>Total</c:v>
                  </c:pt>
                  <c:pt idx="2">
                    <c:v>Bunuri și servicii</c:v>
                  </c:pt>
                </c:lvl>
              </c:multiLvlStrCache>
            </c:multiLvlStrRef>
          </c:cat>
          <c:val>
            <c:numRef>
              <c:f>'Sit finantarii_Ch pers'!$E$87:$E$90</c:f>
              <c:numCache>
                <c:formatCode>#,##0</c:formatCode>
                <c:ptCount val="4"/>
                <c:pt idx="0">
                  <c:v>421331</c:v>
                </c:pt>
                <c:pt idx="1">
                  <c:v>413705</c:v>
                </c:pt>
                <c:pt idx="2">
                  <c:v>44148</c:v>
                </c:pt>
                <c:pt idx="3">
                  <c:v>44148</c:v>
                </c:pt>
              </c:numCache>
            </c:numRef>
          </c:val>
          <c:extLst>
            <c:ext xmlns:c16="http://schemas.microsoft.com/office/drawing/2014/chart" uri="{C3380CC4-5D6E-409C-BE32-E72D297353CC}">
              <c16:uniqueId val="{00000002-3EC0-4BE1-92CF-CB98A73026C5}"/>
            </c:ext>
          </c:extLst>
        </c:ser>
        <c:dLbls>
          <c:showLegendKey val="0"/>
          <c:showVal val="0"/>
          <c:showCatName val="0"/>
          <c:showSerName val="0"/>
          <c:showPercent val="0"/>
          <c:showBubbleSize val="0"/>
        </c:dLbls>
        <c:gapWidth val="150"/>
        <c:shape val="box"/>
        <c:axId val="568951536"/>
        <c:axId val="568960784"/>
        <c:axId val="553173504"/>
      </c:bar3DChart>
      <c:catAx>
        <c:axId val="5689515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68960784"/>
        <c:crosses val="autoZero"/>
        <c:auto val="1"/>
        <c:lblAlgn val="ctr"/>
        <c:lblOffset val="100"/>
        <c:noMultiLvlLbl val="0"/>
      </c:catAx>
      <c:valAx>
        <c:axId val="568960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68951536"/>
        <c:crosses val="autoZero"/>
        <c:crossBetween val="between"/>
      </c:valAx>
      <c:serAx>
        <c:axId val="553173504"/>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8960784"/>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00" b="1" i="0" u="none" strike="noStrike" kern="1200" spc="0" baseline="0">
                <a:solidFill>
                  <a:schemeClr val="tx1"/>
                </a:solidFill>
                <a:latin typeface="+mn-lt"/>
                <a:ea typeface="+mn-ea"/>
                <a:cs typeface="+mn-cs"/>
              </a:defRPr>
            </a:pPr>
            <a:r>
              <a:rPr lang="ro-RO" sz="1300" b="1">
                <a:solidFill>
                  <a:schemeClr val="tx1"/>
                </a:solidFill>
              </a:rPr>
              <a:t>ALTE CHELTUIELI</a:t>
            </a:r>
            <a:endParaRPr lang="en-US" sz="1300" b="1">
              <a:solidFill>
                <a:schemeClr val="tx1"/>
              </a:solidFill>
            </a:endParaRPr>
          </a:p>
        </c:rich>
      </c:tx>
      <c:layout>
        <c:manualLayout>
          <c:xMode val="edge"/>
          <c:yMode val="edge"/>
          <c:x val="0.43772214571833229"/>
          <c:y val="4.6632359931386529E-2"/>
        </c:manualLayout>
      </c:layout>
      <c:overlay val="0"/>
      <c:spPr>
        <a:noFill/>
        <a:ln>
          <a:noFill/>
        </a:ln>
        <a:effectLst/>
      </c:spPr>
      <c:txPr>
        <a:bodyPr rot="0" spcFirstLastPara="1" vertOverflow="ellipsis" vert="horz" wrap="square" anchor="ctr" anchorCtr="1"/>
        <a:lstStyle/>
        <a:p>
          <a:pPr>
            <a:defRPr sz="1300" b="1" i="0" u="none" strike="noStrike" kern="1200" spc="0" baseline="0">
              <a:solidFill>
                <a:schemeClr val="tx1"/>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'Sit finantarii_Ch pers'!$C$94</c:f>
              <c:strCache>
                <c:ptCount val="1"/>
                <c:pt idx="0">
                  <c:v>2024</c:v>
                </c:pt>
              </c:strCache>
            </c:strRef>
          </c:tx>
          <c:spPr>
            <a:solidFill>
              <a:schemeClr val="accent1"/>
            </a:solidFill>
            <a:ln>
              <a:noFill/>
            </a:ln>
            <a:effectLst/>
            <a:sp3d/>
          </c:spPr>
          <c:invertIfNegative val="0"/>
          <c:cat>
            <c:multiLvlStrRef>
              <c:f>'Sit finantarii_Ch pers'!$A$95:$B$98</c:f>
              <c:multiLvlStrCache>
                <c:ptCount val="4"/>
                <c:lvl>
                  <c:pt idx="0">
                    <c:v>CA</c:v>
                  </c:pt>
                  <c:pt idx="1">
                    <c:v>CB</c:v>
                  </c:pt>
                  <c:pt idx="2">
                    <c:v>CA</c:v>
                  </c:pt>
                  <c:pt idx="3">
                    <c:v>CB</c:v>
                  </c:pt>
                </c:lvl>
                <c:lvl>
                  <c:pt idx="0">
                    <c:v>Total</c:v>
                  </c:pt>
                  <c:pt idx="2">
                    <c:v>Alte cheltuieli</c:v>
                  </c:pt>
                </c:lvl>
              </c:multiLvlStrCache>
            </c:multiLvlStrRef>
          </c:cat>
          <c:val>
            <c:numRef>
              <c:f>'Sit finantarii_Ch pers'!$C$95:$C$98</c:f>
              <c:numCache>
                <c:formatCode>#,##0</c:formatCode>
                <c:ptCount val="4"/>
                <c:pt idx="0">
                  <c:v>218178</c:v>
                </c:pt>
                <c:pt idx="1">
                  <c:v>182774</c:v>
                </c:pt>
                <c:pt idx="2">
                  <c:v>54947</c:v>
                </c:pt>
                <c:pt idx="3">
                  <c:v>54947</c:v>
                </c:pt>
              </c:numCache>
            </c:numRef>
          </c:val>
          <c:extLst>
            <c:ext xmlns:c16="http://schemas.microsoft.com/office/drawing/2014/chart" uri="{C3380CC4-5D6E-409C-BE32-E72D297353CC}">
              <c16:uniqueId val="{00000000-52C2-4C42-A630-1B0ACC36D78A}"/>
            </c:ext>
          </c:extLst>
        </c:ser>
        <c:ser>
          <c:idx val="1"/>
          <c:order val="1"/>
          <c:tx>
            <c:strRef>
              <c:f>'Sit finantarii_Ch pers'!$D$94</c:f>
              <c:strCache>
                <c:ptCount val="1"/>
                <c:pt idx="0">
                  <c:v>2025</c:v>
                </c:pt>
              </c:strCache>
            </c:strRef>
          </c:tx>
          <c:spPr>
            <a:solidFill>
              <a:schemeClr val="accent2"/>
            </a:solidFill>
            <a:ln>
              <a:noFill/>
            </a:ln>
            <a:effectLst/>
            <a:sp3d/>
          </c:spPr>
          <c:invertIfNegative val="0"/>
          <c:cat>
            <c:multiLvlStrRef>
              <c:f>'Sit finantarii_Ch pers'!$A$95:$B$98</c:f>
              <c:multiLvlStrCache>
                <c:ptCount val="4"/>
                <c:lvl>
                  <c:pt idx="0">
                    <c:v>CA</c:v>
                  </c:pt>
                  <c:pt idx="1">
                    <c:v>CB</c:v>
                  </c:pt>
                  <c:pt idx="2">
                    <c:v>CA</c:v>
                  </c:pt>
                  <c:pt idx="3">
                    <c:v>CB</c:v>
                  </c:pt>
                </c:lvl>
                <c:lvl>
                  <c:pt idx="0">
                    <c:v>Total</c:v>
                  </c:pt>
                  <c:pt idx="2">
                    <c:v>Alte cheltuieli</c:v>
                  </c:pt>
                </c:lvl>
              </c:multiLvlStrCache>
            </c:multiLvlStrRef>
          </c:cat>
          <c:val>
            <c:numRef>
              <c:f>'Sit finantarii_Ch pers'!$D$95:$D$98</c:f>
              <c:numCache>
                <c:formatCode>#,##0</c:formatCode>
                <c:ptCount val="4"/>
                <c:pt idx="0">
                  <c:v>281040</c:v>
                </c:pt>
                <c:pt idx="1">
                  <c:v>276186</c:v>
                </c:pt>
                <c:pt idx="2">
                  <c:v>55700</c:v>
                </c:pt>
                <c:pt idx="3">
                  <c:v>55700</c:v>
                </c:pt>
              </c:numCache>
            </c:numRef>
          </c:val>
          <c:extLst>
            <c:ext xmlns:c16="http://schemas.microsoft.com/office/drawing/2014/chart" uri="{C3380CC4-5D6E-409C-BE32-E72D297353CC}">
              <c16:uniqueId val="{00000001-52C2-4C42-A630-1B0ACC36D78A}"/>
            </c:ext>
          </c:extLst>
        </c:ser>
        <c:ser>
          <c:idx val="2"/>
          <c:order val="2"/>
          <c:tx>
            <c:strRef>
              <c:f>'Sit finantarii_Ch pers'!$E$94</c:f>
              <c:strCache>
                <c:ptCount val="1"/>
                <c:pt idx="0">
                  <c:v>2026</c:v>
                </c:pt>
              </c:strCache>
            </c:strRef>
          </c:tx>
          <c:spPr>
            <a:solidFill>
              <a:schemeClr val="accent3"/>
            </a:solidFill>
            <a:ln>
              <a:noFill/>
            </a:ln>
            <a:effectLst/>
            <a:sp3d/>
          </c:spPr>
          <c:invertIfNegative val="0"/>
          <c:cat>
            <c:multiLvlStrRef>
              <c:f>'Sit finantarii_Ch pers'!$A$95:$B$98</c:f>
              <c:multiLvlStrCache>
                <c:ptCount val="4"/>
                <c:lvl>
                  <c:pt idx="0">
                    <c:v>CA</c:v>
                  </c:pt>
                  <c:pt idx="1">
                    <c:v>CB</c:v>
                  </c:pt>
                  <c:pt idx="2">
                    <c:v>CA</c:v>
                  </c:pt>
                  <c:pt idx="3">
                    <c:v>CB</c:v>
                  </c:pt>
                </c:lvl>
                <c:lvl>
                  <c:pt idx="0">
                    <c:v>Total</c:v>
                  </c:pt>
                  <c:pt idx="2">
                    <c:v>Alte cheltuieli</c:v>
                  </c:pt>
                </c:lvl>
              </c:multiLvlStrCache>
            </c:multiLvlStrRef>
          </c:cat>
          <c:val>
            <c:numRef>
              <c:f>'Sit finantarii_Ch pers'!$E$95:$E$98</c:f>
              <c:numCache>
                <c:formatCode>#,##0</c:formatCode>
                <c:ptCount val="4"/>
                <c:pt idx="0">
                  <c:v>421331</c:v>
                </c:pt>
                <c:pt idx="1">
                  <c:v>413705</c:v>
                </c:pt>
                <c:pt idx="2">
                  <c:v>70661</c:v>
                </c:pt>
                <c:pt idx="3">
                  <c:v>70661</c:v>
                </c:pt>
              </c:numCache>
            </c:numRef>
          </c:val>
          <c:extLst>
            <c:ext xmlns:c16="http://schemas.microsoft.com/office/drawing/2014/chart" uri="{C3380CC4-5D6E-409C-BE32-E72D297353CC}">
              <c16:uniqueId val="{00000002-52C2-4C42-A630-1B0ACC36D78A}"/>
            </c:ext>
          </c:extLst>
        </c:ser>
        <c:dLbls>
          <c:showLegendKey val="0"/>
          <c:showVal val="0"/>
          <c:showCatName val="0"/>
          <c:showSerName val="0"/>
          <c:showPercent val="0"/>
          <c:showBubbleSize val="0"/>
        </c:dLbls>
        <c:gapWidth val="150"/>
        <c:shape val="box"/>
        <c:axId val="568961328"/>
        <c:axId val="568947184"/>
        <c:axId val="553174752"/>
      </c:bar3DChart>
      <c:catAx>
        <c:axId val="5689613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68947184"/>
        <c:crosses val="autoZero"/>
        <c:auto val="1"/>
        <c:lblAlgn val="ctr"/>
        <c:lblOffset val="100"/>
        <c:noMultiLvlLbl val="0"/>
      </c:catAx>
      <c:valAx>
        <c:axId val="5689471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68961328"/>
        <c:crosses val="autoZero"/>
        <c:crossBetween val="between"/>
      </c:valAx>
      <c:serAx>
        <c:axId val="553174752"/>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68947184"/>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'%Bug INM_SNG in CSM'!$D$1:$D$2</c:f>
              <c:strCache>
                <c:ptCount val="2"/>
                <c:pt idx="0">
                  <c:v>2024</c:v>
                </c:pt>
              </c:strCache>
            </c:strRef>
          </c:tx>
          <c:spPr>
            <a:solidFill>
              <a:schemeClr val="accent1"/>
            </a:solidFill>
            <a:ln>
              <a:noFill/>
            </a:ln>
            <a:effectLst/>
            <a:sp3d/>
          </c:spPr>
          <c:invertIfNegative val="0"/>
          <c:cat>
            <c:multiLvlStrRef>
              <c:f>('%Bug INM_SNG in CSM'!$A$3:$C$6,'%Bug INM_SNG in CSM'!$A$9:$C$14,'%Bug INM_SNG in CSM'!$A$17:$C$18)</c:f>
              <c:multiLvlStrCache>
                <c:ptCount val="12"/>
                <c:lvl>
                  <c:pt idx="0">
                    <c:v>CA</c:v>
                  </c:pt>
                  <c:pt idx="1">
                    <c:v>CB</c:v>
                  </c:pt>
                  <c:pt idx="2">
                    <c:v>CA</c:v>
                  </c:pt>
                  <c:pt idx="3">
                    <c:v>CB</c:v>
                  </c:pt>
                  <c:pt idx="4">
                    <c:v>CA</c:v>
                  </c:pt>
                  <c:pt idx="5">
                    <c:v>CB</c:v>
                  </c:pt>
                  <c:pt idx="6">
                    <c:v>CA</c:v>
                  </c:pt>
                  <c:pt idx="7">
                    <c:v>CB</c:v>
                  </c:pt>
                  <c:pt idx="8">
                    <c:v>CA</c:v>
                  </c:pt>
                  <c:pt idx="9">
                    <c:v>CB</c:v>
                  </c:pt>
                  <c:pt idx="10">
                    <c:v>CA</c:v>
                  </c:pt>
                  <c:pt idx="11">
                    <c:v>CB</c:v>
                  </c:pt>
                </c:lvl>
                <c:lvl>
                  <c:pt idx="0">
                    <c:v>Buget CSM Total</c:v>
                  </c:pt>
                  <c:pt idx="2">
                    <c:v>Consiliul Superior al Magistraturii Ap.propriu</c:v>
                  </c:pt>
                  <c:pt idx="4">
                    <c:v>Inspectia Judiciara</c:v>
                  </c:pt>
                  <c:pt idx="6">
                    <c:v>Pondere %</c:v>
                  </c:pt>
                  <c:pt idx="8">
                    <c:v>I.N.M.</c:v>
                  </c:pt>
                  <c:pt idx="10">
                    <c:v>S.N.G.</c:v>
                  </c:pt>
                </c:lvl>
                <c:lvl>
                  <c:pt idx="0">
                    <c:v>1</c:v>
                  </c:pt>
                  <c:pt idx="2">
                    <c:v>A.</c:v>
                  </c:pt>
                  <c:pt idx="4">
                    <c:v>B.</c:v>
                  </c:pt>
                  <c:pt idx="8">
                    <c:v>C.</c:v>
                  </c:pt>
                  <c:pt idx="10">
                    <c:v>D.</c:v>
                  </c:pt>
                </c:lvl>
              </c:multiLvlStrCache>
              <c:extLst/>
            </c:multiLvlStrRef>
          </c:cat>
          <c:val>
            <c:numRef>
              <c:f>('%Bug INM_SNG in CSM'!$D$3:$D$6,'%Bug INM_SNG in CSM'!$D$9:$D$14,'%Bug INM_SNG in CSM'!$D$17:$D$18)</c:f>
              <c:numCache>
                <c:formatCode>#,##0</c:formatCode>
                <c:ptCount val="12"/>
                <c:pt idx="0">
                  <c:v>319502</c:v>
                </c:pt>
                <c:pt idx="1">
                  <c:v>317694</c:v>
                </c:pt>
                <c:pt idx="2">
                  <c:v>143169</c:v>
                </c:pt>
                <c:pt idx="3">
                  <c:v>143009</c:v>
                </c:pt>
                <c:pt idx="4">
                  <c:v>52679</c:v>
                </c:pt>
                <c:pt idx="5">
                  <c:v>52355</c:v>
                </c:pt>
                <c:pt idx="6" formatCode="0.00%">
                  <c:v>0.16487846711444687</c:v>
                </c:pt>
                <c:pt idx="7" formatCode="0.00%">
                  <c:v>0.16479694297027958</c:v>
                </c:pt>
                <c:pt idx="8">
                  <c:v>102809</c:v>
                </c:pt>
                <c:pt idx="9">
                  <c:v>102043</c:v>
                </c:pt>
                <c:pt idx="10">
                  <c:v>20845</c:v>
                </c:pt>
                <c:pt idx="11">
                  <c:v>20287</c:v>
                </c:pt>
              </c:numCache>
              <c:extLst/>
            </c:numRef>
          </c:val>
          <c:extLst>
            <c:ext xmlns:c16="http://schemas.microsoft.com/office/drawing/2014/chart" uri="{C3380CC4-5D6E-409C-BE32-E72D297353CC}">
              <c16:uniqueId val="{00000000-8810-4E35-A954-A36EC49F75F2}"/>
            </c:ext>
          </c:extLst>
        </c:ser>
        <c:ser>
          <c:idx val="1"/>
          <c:order val="1"/>
          <c:tx>
            <c:strRef>
              <c:f>'%Bug INM_SNG in CSM'!$E$1:$E$2</c:f>
              <c:strCache>
                <c:ptCount val="2"/>
                <c:pt idx="0">
                  <c:v>2024</c:v>
                </c:pt>
              </c:strCache>
            </c:strRef>
          </c:tx>
          <c:spPr>
            <a:solidFill>
              <a:schemeClr val="accent2"/>
            </a:solidFill>
            <a:ln>
              <a:noFill/>
            </a:ln>
            <a:effectLst/>
            <a:sp3d/>
          </c:spPr>
          <c:invertIfNegative val="0"/>
          <c:cat>
            <c:multiLvlStrRef>
              <c:f>('%Bug INM_SNG in CSM'!$A$3:$C$6,'%Bug INM_SNG in CSM'!$A$9:$C$14,'%Bug INM_SNG in CSM'!$A$17:$C$18)</c:f>
              <c:multiLvlStrCache>
                <c:ptCount val="12"/>
                <c:lvl>
                  <c:pt idx="0">
                    <c:v>CA</c:v>
                  </c:pt>
                  <c:pt idx="1">
                    <c:v>CB</c:v>
                  </c:pt>
                  <c:pt idx="2">
                    <c:v>CA</c:v>
                  </c:pt>
                  <c:pt idx="3">
                    <c:v>CB</c:v>
                  </c:pt>
                  <c:pt idx="4">
                    <c:v>CA</c:v>
                  </c:pt>
                  <c:pt idx="5">
                    <c:v>CB</c:v>
                  </c:pt>
                  <c:pt idx="6">
                    <c:v>CA</c:v>
                  </c:pt>
                  <c:pt idx="7">
                    <c:v>CB</c:v>
                  </c:pt>
                  <c:pt idx="8">
                    <c:v>CA</c:v>
                  </c:pt>
                  <c:pt idx="9">
                    <c:v>CB</c:v>
                  </c:pt>
                  <c:pt idx="10">
                    <c:v>CA</c:v>
                  </c:pt>
                  <c:pt idx="11">
                    <c:v>CB</c:v>
                  </c:pt>
                </c:lvl>
                <c:lvl>
                  <c:pt idx="0">
                    <c:v>Buget CSM Total</c:v>
                  </c:pt>
                  <c:pt idx="2">
                    <c:v>Consiliul Superior al Magistraturii Ap.propriu</c:v>
                  </c:pt>
                  <c:pt idx="4">
                    <c:v>Inspectia Judiciara</c:v>
                  </c:pt>
                  <c:pt idx="6">
                    <c:v>Pondere %</c:v>
                  </c:pt>
                  <c:pt idx="8">
                    <c:v>I.N.M.</c:v>
                  </c:pt>
                  <c:pt idx="10">
                    <c:v>S.N.G.</c:v>
                  </c:pt>
                </c:lvl>
                <c:lvl>
                  <c:pt idx="0">
                    <c:v>1</c:v>
                  </c:pt>
                  <c:pt idx="2">
                    <c:v>A.</c:v>
                  </c:pt>
                  <c:pt idx="4">
                    <c:v>B.</c:v>
                  </c:pt>
                  <c:pt idx="8">
                    <c:v>C.</c:v>
                  </c:pt>
                  <c:pt idx="10">
                    <c:v>D.</c:v>
                  </c:pt>
                </c:lvl>
              </c:multiLvlStrCache>
              <c:extLst/>
            </c:multiLvlStrRef>
          </c:cat>
          <c:val>
            <c:numRef>
              <c:f>('%Bug INM_SNG in CSM'!$E$3:$E$6,'%Bug INM_SNG in CSM'!$E$9:$E$14,'%Bug INM_SNG in CSM'!$E$17:$E$18)</c:f>
              <c:numCache>
                <c:formatCode>#,##0</c:formatCode>
                <c:ptCount val="12"/>
                <c:pt idx="0">
                  <c:v>53364.6</c:v>
                </c:pt>
                <c:pt idx="1">
                  <c:v>53067.799999999996</c:v>
                </c:pt>
                <c:pt idx="2">
                  <c:v>28633.8</c:v>
                </c:pt>
                <c:pt idx="3">
                  <c:v>28601.8</c:v>
                </c:pt>
                <c:pt idx="4">
                  <c:v>10535.8</c:v>
                </c:pt>
                <c:pt idx="5">
                  <c:v>10471</c:v>
                </c:pt>
                <c:pt idx="8">
                  <c:v>20561.8</c:v>
                </c:pt>
                <c:pt idx="9">
                  <c:v>20408.599999999999</c:v>
                </c:pt>
                <c:pt idx="10">
                  <c:v>4169</c:v>
                </c:pt>
                <c:pt idx="11">
                  <c:v>4057.4</c:v>
                </c:pt>
              </c:numCache>
              <c:extLst/>
            </c:numRef>
          </c:val>
          <c:extLst>
            <c:ext xmlns:c16="http://schemas.microsoft.com/office/drawing/2014/chart" uri="{C3380CC4-5D6E-409C-BE32-E72D297353CC}">
              <c16:uniqueId val="{00000001-8810-4E35-A954-A36EC49F75F2}"/>
            </c:ext>
          </c:extLst>
        </c:ser>
        <c:ser>
          <c:idx val="2"/>
          <c:order val="2"/>
          <c:tx>
            <c:strRef>
              <c:f>'%Bug INM_SNG in CSM'!$F$1:$F$2</c:f>
              <c:strCache>
                <c:ptCount val="2"/>
                <c:pt idx="0">
                  <c:v>2025</c:v>
                </c:pt>
              </c:strCache>
            </c:strRef>
          </c:tx>
          <c:spPr>
            <a:solidFill>
              <a:schemeClr val="accent3"/>
            </a:solidFill>
            <a:ln>
              <a:noFill/>
            </a:ln>
            <a:effectLst/>
            <a:sp3d/>
          </c:spPr>
          <c:invertIfNegative val="0"/>
          <c:cat>
            <c:multiLvlStrRef>
              <c:f>('%Bug INM_SNG in CSM'!$A$3:$C$6,'%Bug INM_SNG in CSM'!$A$9:$C$14,'%Bug INM_SNG in CSM'!$A$17:$C$18)</c:f>
              <c:multiLvlStrCache>
                <c:ptCount val="12"/>
                <c:lvl>
                  <c:pt idx="0">
                    <c:v>CA</c:v>
                  </c:pt>
                  <c:pt idx="1">
                    <c:v>CB</c:v>
                  </c:pt>
                  <c:pt idx="2">
                    <c:v>CA</c:v>
                  </c:pt>
                  <c:pt idx="3">
                    <c:v>CB</c:v>
                  </c:pt>
                  <c:pt idx="4">
                    <c:v>CA</c:v>
                  </c:pt>
                  <c:pt idx="5">
                    <c:v>CB</c:v>
                  </c:pt>
                  <c:pt idx="6">
                    <c:v>CA</c:v>
                  </c:pt>
                  <c:pt idx="7">
                    <c:v>CB</c:v>
                  </c:pt>
                  <c:pt idx="8">
                    <c:v>CA</c:v>
                  </c:pt>
                  <c:pt idx="9">
                    <c:v>CB</c:v>
                  </c:pt>
                  <c:pt idx="10">
                    <c:v>CA</c:v>
                  </c:pt>
                  <c:pt idx="11">
                    <c:v>CB</c:v>
                  </c:pt>
                </c:lvl>
                <c:lvl>
                  <c:pt idx="0">
                    <c:v>Buget CSM Total</c:v>
                  </c:pt>
                  <c:pt idx="2">
                    <c:v>Consiliul Superior al Magistraturii Ap.propriu</c:v>
                  </c:pt>
                  <c:pt idx="4">
                    <c:v>Inspectia Judiciara</c:v>
                  </c:pt>
                  <c:pt idx="6">
                    <c:v>Pondere %</c:v>
                  </c:pt>
                  <c:pt idx="8">
                    <c:v>I.N.M.</c:v>
                  </c:pt>
                  <c:pt idx="10">
                    <c:v>S.N.G.</c:v>
                  </c:pt>
                </c:lvl>
                <c:lvl>
                  <c:pt idx="0">
                    <c:v>1</c:v>
                  </c:pt>
                  <c:pt idx="2">
                    <c:v>A.</c:v>
                  </c:pt>
                  <c:pt idx="4">
                    <c:v>B.</c:v>
                  </c:pt>
                  <c:pt idx="8">
                    <c:v>C.</c:v>
                  </c:pt>
                  <c:pt idx="10">
                    <c:v>D.</c:v>
                  </c:pt>
                </c:lvl>
              </c:multiLvlStrCache>
              <c:extLst/>
            </c:multiLvlStrRef>
          </c:cat>
          <c:val>
            <c:numRef>
              <c:f>('%Bug INM_SNG in CSM'!$F$3:$F$6,'%Bug INM_SNG in CSM'!$F$9:$F$14,'%Bug INM_SNG in CSM'!$F$17:$F$18)</c:f>
              <c:numCache>
                <c:formatCode>#,##0</c:formatCode>
                <c:ptCount val="12"/>
                <c:pt idx="0">
                  <c:v>281040</c:v>
                </c:pt>
                <c:pt idx="1">
                  <c:v>276186</c:v>
                </c:pt>
                <c:pt idx="2">
                  <c:v>120318</c:v>
                </c:pt>
                <c:pt idx="3">
                  <c:v>117681</c:v>
                </c:pt>
                <c:pt idx="4">
                  <c:v>44258</c:v>
                </c:pt>
                <c:pt idx="5">
                  <c:v>44258</c:v>
                </c:pt>
                <c:pt idx="6" formatCode="0.00%">
                  <c:v>0.15747936236834614</c:v>
                </c:pt>
                <c:pt idx="7" formatCode="0.00%">
                  <c:v>0.1602470798664668</c:v>
                </c:pt>
                <c:pt idx="8">
                  <c:v>95821</c:v>
                </c:pt>
                <c:pt idx="9">
                  <c:v>93628</c:v>
                </c:pt>
                <c:pt idx="10">
                  <c:v>20643</c:v>
                </c:pt>
                <c:pt idx="11">
                  <c:v>20619</c:v>
                </c:pt>
              </c:numCache>
              <c:extLst/>
            </c:numRef>
          </c:val>
          <c:extLst>
            <c:ext xmlns:c16="http://schemas.microsoft.com/office/drawing/2014/chart" uri="{C3380CC4-5D6E-409C-BE32-E72D297353CC}">
              <c16:uniqueId val="{00000002-8810-4E35-A954-A36EC49F75F2}"/>
            </c:ext>
          </c:extLst>
        </c:ser>
        <c:ser>
          <c:idx val="3"/>
          <c:order val="3"/>
          <c:tx>
            <c:strRef>
              <c:f>'%Bug INM_SNG in CSM'!$G$1:$G$2</c:f>
              <c:strCache>
                <c:ptCount val="2"/>
                <c:pt idx="0">
                  <c:v>2025</c:v>
                </c:pt>
              </c:strCache>
            </c:strRef>
          </c:tx>
          <c:spPr>
            <a:solidFill>
              <a:schemeClr val="accent4"/>
            </a:solidFill>
            <a:ln>
              <a:noFill/>
            </a:ln>
            <a:effectLst/>
            <a:sp3d/>
          </c:spPr>
          <c:invertIfNegative val="0"/>
          <c:cat>
            <c:multiLvlStrRef>
              <c:f>('%Bug INM_SNG in CSM'!$A$3:$C$6,'%Bug INM_SNG in CSM'!$A$9:$C$14,'%Bug INM_SNG in CSM'!$A$17:$C$18)</c:f>
              <c:multiLvlStrCache>
                <c:ptCount val="12"/>
                <c:lvl>
                  <c:pt idx="0">
                    <c:v>CA</c:v>
                  </c:pt>
                  <c:pt idx="1">
                    <c:v>CB</c:v>
                  </c:pt>
                  <c:pt idx="2">
                    <c:v>CA</c:v>
                  </c:pt>
                  <c:pt idx="3">
                    <c:v>CB</c:v>
                  </c:pt>
                  <c:pt idx="4">
                    <c:v>CA</c:v>
                  </c:pt>
                  <c:pt idx="5">
                    <c:v>CB</c:v>
                  </c:pt>
                  <c:pt idx="6">
                    <c:v>CA</c:v>
                  </c:pt>
                  <c:pt idx="7">
                    <c:v>CB</c:v>
                  </c:pt>
                  <c:pt idx="8">
                    <c:v>CA</c:v>
                  </c:pt>
                  <c:pt idx="9">
                    <c:v>CB</c:v>
                  </c:pt>
                  <c:pt idx="10">
                    <c:v>CA</c:v>
                  </c:pt>
                  <c:pt idx="11">
                    <c:v>CB</c:v>
                  </c:pt>
                </c:lvl>
                <c:lvl>
                  <c:pt idx="0">
                    <c:v>Buget CSM Total</c:v>
                  </c:pt>
                  <c:pt idx="2">
                    <c:v>Consiliul Superior al Magistraturii Ap.propriu</c:v>
                  </c:pt>
                  <c:pt idx="4">
                    <c:v>Inspectia Judiciara</c:v>
                  </c:pt>
                  <c:pt idx="6">
                    <c:v>Pondere %</c:v>
                  </c:pt>
                  <c:pt idx="8">
                    <c:v>I.N.M.</c:v>
                  </c:pt>
                  <c:pt idx="10">
                    <c:v>S.N.G.</c:v>
                  </c:pt>
                </c:lvl>
                <c:lvl>
                  <c:pt idx="0">
                    <c:v>1</c:v>
                  </c:pt>
                  <c:pt idx="2">
                    <c:v>A.</c:v>
                  </c:pt>
                  <c:pt idx="4">
                    <c:v>B.</c:v>
                  </c:pt>
                  <c:pt idx="8">
                    <c:v>C.</c:v>
                  </c:pt>
                  <c:pt idx="10">
                    <c:v>D.</c:v>
                  </c:pt>
                </c:lvl>
              </c:multiLvlStrCache>
              <c:extLst/>
            </c:multiLvlStrRef>
          </c:cat>
          <c:val>
            <c:numRef>
              <c:f>('%Bug INM_SNG in CSM'!$G$3:$G$6,'%Bug INM_SNG in CSM'!$G$9:$G$14,'%Bug INM_SNG in CSM'!$G$17:$G$18)</c:f>
              <c:numCache>
                <c:formatCode>#,##0</c:formatCode>
                <c:ptCount val="12"/>
                <c:pt idx="0">
                  <c:v>47356.4</c:v>
                </c:pt>
                <c:pt idx="1">
                  <c:v>46385.600000000006</c:v>
                </c:pt>
                <c:pt idx="2">
                  <c:v>24063.599999999999</c:v>
                </c:pt>
                <c:pt idx="3">
                  <c:v>23536.2</c:v>
                </c:pt>
                <c:pt idx="4">
                  <c:v>8851.6</c:v>
                </c:pt>
                <c:pt idx="5">
                  <c:v>8851.6</c:v>
                </c:pt>
                <c:pt idx="8">
                  <c:v>19164.2</c:v>
                </c:pt>
                <c:pt idx="9">
                  <c:v>18725.599999999999</c:v>
                </c:pt>
                <c:pt idx="10">
                  <c:v>4128.6000000000004</c:v>
                </c:pt>
                <c:pt idx="11">
                  <c:v>4123.8</c:v>
                </c:pt>
              </c:numCache>
              <c:extLst/>
            </c:numRef>
          </c:val>
          <c:extLst>
            <c:ext xmlns:c16="http://schemas.microsoft.com/office/drawing/2014/chart" uri="{C3380CC4-5D6E-409C-BE32-E72D297353CC}">
              <c16:uniqueId val="{00000003-8810-4E35-A954-A36EC49F75F2}"/>
            </c:ext>
          </c:extLst>
        </c:ser>
        <c:ser>
          <c:idx val="4"/>
          <c:order val="4"/>
          <c:tx>
            <c:strRef>
              <c:f>'%Bug INM_SNG in CSM'!$H$1:$H$2</c:f>
              <c:strCache>
                <c:ptCount val="2"/>
                <c:pt idx="0">
                  <c:v>2026</c:v>
                </c:pt>
              </c:strCache>
            </c:strRef>
          </c:tx>
          <c:spPr>
            <a:solidFill>
              <a:schemeClr val="accent5"/>
            </a:solidFill>
            <a:ln>
              <a:noFill/>
            </a:ln>
            <a:effectLst/>
            <a:sp3d/>
          </c:spPr>
          <c:invertIfNegative val="0"/>
          <c:cat>
            <c:multiLvlStrRef>
              <c:f>('%Bug INM_SNG in CSM'!$A$3:$C$6,'%Bug INM_SNG in CSM'!$A$9:$C$14,'%Bug INM_SNG in CSM'!$A$17:$C$18)</c:f>
              <c:multiLvlStrCache>
                <c:ptCount val="12"/>
                <c:lvl>
                  <c:pt idx="0">
                    <c:v>CA</c:v>
                  </c:pt>
                  <c:pt idx="1">
                    <c:v>CB</c:v>
                  </c:pt>
                  <c:pt idx="2">
                    <c:v>CA</c:v>
                  </c:pt>
                  <c:pt idx="3">
                    <c:v>CB</c:v>
                  </c:pt>
                  <c:pt idx="4">
                    <c:v>CA</c:v>
                  </c:pt>
                  <c:pt idx="5">
                    <c:v>CB</c:v>
                  </c:pt>
                  <c:pt idx="6">
                    <c:v>CA</c:v>
                  </c:pt>
                  <c:pt idx="7">
                    <c:v>CB</c:v>
                  </c:pt>
                  <c:pt idx="8">
                    <c:v>CA</c:v>
                  </c:pt>
                  <c:pt idx="9">
                    <c:v>CB</c:v>
                  </c:pt>
                  <c:pt idx="10">
                    <c:v>CA</c:v>
                  </c:pt>
                  <c:pt idx="11">
                    <c:v>CB</c:v>
                  </c:pt>
                </c:lvl>
                <c:lvl>
                  <c:pt idx="0">
                    <c:v>Buget CSM Total</c:v>
                  </c:pt>
                  <c:pt idx="2">
                    <c:v>Consiliul Superior al Magistraturii Ap.propriu</c:v>
                  </c:pt>
                  <c:pt idx="4">
                    <c:v>Inspectia Judiciara</c:v>
                  </c:pt>
                  <c:pt idx="6">
                    <c:v>Pondere %</c:v>
                  </c:pt>
                  <c:pt idx="8">
                    <c:v>I.N.M.</c:v>
                  </c:pt>
                  <c:pt idx="10">
                    <c:v>S.N.G.</c:v>
                  </c:pt>
                </c:lvl>
                <c:lvl>
                  <c:pt idx="0">
                    <c:v>1</c:v>
                  </c:pt>
                  <c:pt idx="2">
                    <c:v>A.</c:v>
                  </c:pt>
                  <c:pt idx="4">
                    <c:v>B.</c:v>
                  </c:pt>
                  <c:pt idx="8">
                    <c:v>C.</c:v>
                  </c:pt>
                  <c:pt idx="10">
                    <c:v>D.</c:v>
                  </c:pt>
                </c:lvl>
              </c:multiLvlStrCache>
              <c:extLst/>
            </c:multiLvlStrRef>
          </c:cat>
          <c:val>
            <c:numRef>
              <c:f>('%Bug INM_SNG in CSM'!$H$3:$H$6,'%Bug INM_SNG in CSM'!$H$9:$H$14,'%Bug INM_SNG in CSM'!$H$17:$H$18)</c:f>
              <c:numCache>
                <c:formatCode>#,##0</c:formatCode>
                <c:ptCount val="12"/>
                <c:pt idx="0">
                  <c:v>421331</c:v>
                </c:pt>
                <c:pt idx="1">
                  <c:v>413705</c:v>
                </c:pt>
                <c:pt idx="2">
                  <c:v>157041</c:v>
                </c:pt>
                <c:pt idx="3">
                  <c:v>149708</c:v>
                </c:pt>
                <c:pt idx="4">
                  <c:v>76276</c:v>
                </c:pt>
                <c:pt idx="5">
                  <c:v>76276</c:v>
                </c:pt>
                <c:pt idx="6" formatCode="0.00%">
                  <c:v>0.18103581269832983</c:v>
                </c:pt>
                <c:pt idx="7" formatCode="0.00%">
                  <c:v>0.18437292273479894</c:v>
                </c:pt>
                <c:pt idx="8">
                  <c:v>148201</c:v>
                </c:pt>
                <c:pt idx="9">
                  <c:v>147908</c:v>
                </c:pt>
                <c:pt idx="10">
                  <c:v>39813</c:v>
                </c:pt>
                <c:pt idx="11">
                  <c:v>39813</c:v>
                </c:pt>
              </c:numCache>
              <c:extLst/>
            </c:numRef>
          </c:val>
          <c:extLst>
            <c:ext xmlns:c16="http://schemas.microsoft.com/office/drawing/2014/chart" uri="{C3380CC4-5D6E-409C-BE32-E72D297353CC}">
              <c16:uniqueId val="{00000004-8810-4E35-A954-A36EC49F75F2}"/>
            </c:ext>
          </c:extLst>
        </c:ser>
        <c:ser>
          <c:idx val="5"/>
          <c:order val="5"/>
          <c:tx>
            <c:strRef>
              <c:f>'%Bug INM_SNG in CSM'!$I$1:$I$2</c:f>
              <c:strCache>
                <c:ptCount val="2"/>
                <c:pt idx="0">
                  <c:v>2026</c:v>
                </c:pt>
              </c:strCache>
            </c:strRef>
          </c:tx>
          <c:spPr>
            <a:solidFill>
              <a:schemeClr val="accent6"/>
            </a:solidFill>
            <a:ln>
              <a:noFill/>
            </a:ln>
            <a:effectLst/>
            <a:sp3d/>
          </c:spPr>
          <c:invertIfNegative val="0"/>
          <c:cat>
            <c:multiLvlStrRef>
              <c:f>('%Bug INM_SNG in CSM'!$A$3:$C$6,'%Bug INM_SNG in CSM'!$A$9:$C$14,'%Bug INM_SNG in CSM'!$A$17:$C$18)</c:f>
              <c:multiLvlStrCache>
                <c:ptCount val="12"/>
                <c:lvl>
                  <c:pt idx="0">
                    <c:v>CA</c:v>
                  </c:pt>
                  <c:pt idx="1">
                    <c:v>CB</c:v>
                  </c:pt>
                  <c:pt idx="2">
                    <c:v>CA</c:v>
                  </c:pt>
                  <c:pt idx="3">
                    <c:v>CB</c:v>
                  </c:pt>
                  <c:pt idx="4">
                    <c:v>CA</c:v>
                  </c:pt>
                  <c:pt idx="5">
                    <c:v>CB</c:v>
                  </c:pt>
                  <c:pt idx="6">
                    <c:v>CA</c:v>
                  </c:pt>
                  <c:pt idx="7">
                    <c:v>CB</c:v>
                  </c:pt>
                  <c:pt idx="8">
                    <c:v>CA</c:v>
                  </c:pt>
                  <c:pt idx="9">
                    <c:v>CB</c:v>
                  </c:pt>
                  <c:pt idx="10">
                    <c:v>CA</c:v>
                  </c:pt>
                  <c:pt idx="11">
                    <c:v>CB</c:v>
                  </c:pt>
                </c:lvl>
                <c:lvl>
                  <c:pt idx="0">
                    <c:v>Buget CSM Total</c:v>
                  </c:pt>
                  <c:pt idx="2">
                    <c:v>Consiliul Superior al Magistraturii Ap.propriu</c:v>
                  </c:pt>
                  <c:pt idx="4">
                    <c:v>Inspectia Judiciara</c:v>
                  </c:pt>
                  <c:pt idx="6">
                    <c:v>Pondere %</c:v>
                  </c:pt>
                  <c:pt idx="8">
                    <c:v>I.N.M.</c:v>
                  </c:pt>
                  <c:pt idx="10">
                    <c:v>S.N.G.</c:v>
                  </c:pt>
                </c:lvl>
                <c:lvl>
                  <c:pt idx="0">
                    <c:v>1</c:v>
                  </c:pt>
                  <c:pt idx="2">
                    <c:v>A.</c:v>
                  </c:pt>
                  <c:pt idx="4">
                    <c:v>B.</c:v>
                  </c:pt>
                  <c:pt idx="8">
                    <c:v>C.</c:v>
                  </c:pt>
                  <c:pt idx="10">
                    <c:v>D.</c:v>
                  </c:pt>
                </c:lvl>
              </c:multiLvlStrCache>
              <c:extLst/>
            </c:multiLvlStrRef>
          </c:cat>
          <c:val>
            <c:numRef>
              <c:f>('%Bug INM_SNG in CSM'!$I$3:$I$6,'%Bug INM_SNG in CSM'!$I$9:$I$14,'%Bug INM_SNG in CSM'!$I$17:$I$18)</c:f>
              <c:numCache>
                <c:formatCode>#,##0</c:formatCode>
                <c:ptCount val="12"/>
                <c:pt idx="0">
                  <c:v>62737.272727272728</c:v>
                </c:pt>
                <c:pt idx="1">
                  <c:v>61350.727272727272</c:v>
                </c:pt>
                <c:pt idx="2">
                  <c:v>28552.909090909092</c:v>
                </c:pt>
                <c:pt idx="3">
                  <c:v>27219.636363636364</c:v>
                </c:pt>
                <c:pt idx="4">
                  <c:v>13868.363636363636</c:v>
                </c:pt>
                <c:pt idx="5">
                  <c:v>13868.363636363636</c:v>
                </c:pt>
                <c:pt idx="8">
                  <c:v>26945.636363636364</c:v>
                </c:pt>
                <c:pt idx="9">
                  <c:v>26892.363636363636</c:v>
                </c:pt>
                <c:pt idx="10">
                  <c:v>7238.727272727273</c:v>
                </c:pt>
                <c:pt idx="11">
                  <c:v>7238.727272727273</c:v>
                </c:pt>
              </c:numCache>
              <c:extLst/>
            </c:numRef>
          </c:val>
          <c:extLst>
            <c:ext xmlns:c16="http://schemas.microsoft.com/office/drawing/2014/chart" uri="{C3380CC4-5D6E-409C-BE32-E72D297353CC}">
              <c16:uniqueId val="{00000005-8810-4E35-A954-A36EC49F75F2}"/>
            </c:ext>
          </c:extLst>
        </c:ser>
        <c:dLbls>
          <c:showLegendKey val="0"/>
          <c:showVal val="0"/>
          <c:showCatName val="0"/>
          <c:showSerName val="0"/>
          <c:showPercent val="0"/>
          <c:showBubbleSize val="0"/>
        </c:dLbls>
        <c:gapWidth val="150"/>
        <c:shape val="box"/>
        <c:axId val="568950992"/>
        <c:axId val="568955344"/>
        <c:axId val="553177872"/>
      </c:bar3DChart>
      <c:catAx>
        <c:axId val="5689509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68955344"/>
        <c:crosses val="autoZero"/>
        <c:auto val="1"/>
        <c:lblAlgn val="ctr"/>
        <c:lblOffset val="100"/>
        <c:noMultiLvlLbl val="0"/>
      </c:catAx>
      <c:valAx>
        <c:axId val="5689553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68950992"/>
        <c:crosses val="autoZero"/>
        <c:crossBetween val="between"/>
      </c:valAx>
      <c:serAx>
        <c:axId val="553177872"/>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68955344"/>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a:pPr>
            <a:r>
              <a:rPr lang="ro-RO"/>
              <a:t>Gradul de ocupare a</a:t>
            </a:r>
            <a:r>
              <a:rPr lang="en-US"/>
              <a:t> posturilor de </a:t>
            </a:r>
            <a:r>
              <a:rPr lang="ro-RO"/>
              <a:t>judecător</a:t>
            </a:r>
            <a:r>
              <a:rPr lang="en-US"/>
              <a:t> </a:t>
            </a:r>
            <a:endParaRPr lang="ro-RO"/>
          </a:p>
          <a:p>
            <a:pPr algn="ctr">
              <a:defRPr/>
            </a:pPr>
            <a:r>
              <a:rPr lang="ro-RO"/>
              <a:t>ianuarie 2025</a:t>
            </a:r>
            <a:endParaRPr lang="en-US"/>
          </a:p>
        </c:rich>
      </c:tx>
      <c:layout>
        <c:manualLayout>
          <c:xMode val="edge"/>
          <c:yMode val="edge"/>
          <c:x val="0.19408064602253358"/>
          <c:y val="6.2740358092181148E-2"/>
        </c:manualLayout>
      </c:layout>
      <c:overlay val="0"/>
      <c:spPr>
        <a:noFill/>
        <a:ln w="25349">
          <a:noFill/>
        </a:ln>
      </c:spPr>
    </c:title>
    <c:autoTitleDeleted val="0"/>
    <c:view3D>
      <c:rotX val="0"/>
      <c:rotY val="0"/>
      <c:depthPercent val="100"/>
      <c:rAngAx val="1"/>
    </c:view3D>
    <c:floor>
      <c:thickness val="0"/>
    </c:floor>
    <c:sideWall>
      <c:thickness val="0"/>
      <c:spPr>
        <a:solidFill>
          <a:srgbClr val="C0C0C0"/>
        </a:solidFill>
        <a:ln w="12675">
          <a:solidFill>
            <a:srgbClr val="808080"/>
          </a:solidFill>
          <a:prstDash val="solid"/>
        </a:ln>
      </c:spPr>
    </c:sideWall>
    <c:backWall>
      <c:thickness val="0"/>
      <c:spPr>
        <a:solidFill>
          <a:srgbClr val="C0C0C0"/>
        </a:solidFill>
        <a:ln w="12675">
          <a:solidFill>
            <a:srgbClr val="808080"/>
          </a:solidFill>
          <a:prstDash val="solid"/>
        </a:ln>
      </c:spPr>
    </c:backWall>
    <c:plotArea>
      <c:layout>
        <c:manualLayout>
          <c:layoutTarget val="inner"/>
          <c:xMode val="edge"/>
          <c:yMode val="edge"/>
          <c:x val="0.13862378806446346"/>
          <c:y val="0.28332870155936446"/>
          <c:w val="0.67012088155001992"/>
          <c:h val="0.64655423819149094"/>
        </c:manualLayout>
      </c:layout>
      <c:bar3DChart>
        <c:barDir val="col"/>
        <c:grouping val="clustered"/>
        <c:varyColors val="0"/>
        <c:ser>
          <c:idx val="0"/>
          <c:order val="0"/>
          <c:tx>
            <c:strRef>
              <c:f>Sheet1!$A$2</c:f>
              <c:strCache>
                <c:ptCount val="1"/>
                <c:pt idx="0">
                  <c:v>ÎCCJ</c:v>
                </c:pt>
              </c:strCache>
            </c:strRef>
          </c:tx>
          <c:spPr>
            <a:solidFill>
              <a:srgbClr val="9999FF"/>
            </a:solidFill>
            <a:ln w="12675">
              <a:solidFill>
                <a:srgbClr val="000000"/>
              </a:solidFill>
              <a:prstDash val="solid"/>
            </a:ln>
          </c:spPr>
          <c:invertIfNegative val="0"/>
          <c:dLbls>
            <c:dLbl>
              <c:idx val="0"/>
              <c:layout>
                <c:manualLayout>
                  <c:x val="-2.4981264051961048E-3"/>
                  <c:y val="-4.613610149942333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C9A-4643-A155-212002DBEF2C}"/>
                </c:ext>
              </c:extLst>
            </c:dLbl>
            <c:spPr>
              <a:noFill/>
              <a:ln w="25349">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0.00%</c:formatCode>
                <c:ptCount val="1"/>
                <c:pt idx="0">
                  <c:v>0.82789999999999997</c:v>
                </c:pt>
              </c:numCache>
            </c:numRef>
          </c:val>
          <c:extLst>
            <c:ext xmlns:c16="http://schemas.microsoft.com/office/drawing/2014/chart" uri="{C3380CC4-5D6E-409C-BE32-E72D297353CC}">
              <c16:uniqueId val="{00000001-9C9A-4643-A155-212002DBEF2C}"/>
            </c:ext>
          </c:extLst>
        </c:ser>
        <c:ser>
          <c:idx val="1"/>
          <c:order val="1"/>
          <c:tx>
            <c:strRef>
              <c:f>Sheet1!$A$3</c:f>
              <c:strCache>
                <c:ptCount val="1"/>
                <c:pt idx="0">
                  <c:v>Curţi de apel</c:v>
                </c:pt>
              </c:strCache>
            </c:strRef>
          </c:tx>
          <c:spPr>
            <a:solidFill>
              <a:srgbClr val="863A47"/>
            </a:solidFill>
            <a:ln w="12675">
              <a:solidFill>
                <a:srgbClr val="000000"/>
              </a:solidFill>
              <a:prstDash val="solid"/>
            </a:ln>
          </c:spPr>
          <c:invertIfNegative val="0"/>
          <c:dLbls>
            <c:dLbl>
              <c:idx val="0"/>
              <c:layout>
                <c:manualLayout>
                  <c:x val="-5.0252403895522449E-3"/>
                  <c:y val="2.78873898724442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C9A-4643-A155-212002DBEF2C}"/>
                </c:ext>
              </c:extLst>
            </c:dLbl>
            <c:spPr>
              <a:noFill/>
              <a:ln w="25349">
                <a:noFill/>
              </a:ln>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numRef>
              <c:f>Sheet1!$B$1:$B$1</c:f>
              <c:numCache>
                <c:formatCode>General</c:formatCode>
                <c:ptCount val="1"/>
              </c:numCache>
            </c:numRef>
          </c:cat>
          <c:val>
            <c:numRef>
              <c:f>Sheet1!$B$3:$B$3</c:f>
              <c:numCache>
                <c:formatCode>0.00%</c:formatCode>
                <c:ptCount val="1"/>
                <c:pt idx="0">
                  <c:v>0.94089999999999996</c:v>
                </c:pt>
              </c:numCache>
            </c:numRef>
          </c:val>
          <c:extLst>
            <c:ext xmlns:c16="http://schemas.microsoft.com/office/drawing/2014/chart" uri="{C3380CC4-5D6E-409C-BE32-E72D297353CC}">
              <c16:uniqueId val="{00000003-9C9A-4643-A155-212002DBEF2C}"/>
            </c:ext>
          </c:extLst>
        </c:ser>
        <c:ser>
          <c:idx val="2"/>
          <c:order val="2"/>
          <c:tx>
            <c:strRef>
              <c:f>Sheet1!$A$4</c:f>
              <c:strCache>
                <c:ptCount val="1"/>
                <c:pt idx="0">
                  <c:v>Tribunale</c:v>
                </c:pt>
              </c:strCache>
            </c:strRef>
          </c:tx>
          <c:spPr>
            <a:solidFill>
              <a:srgbClr val="FFFFCC"/>
            </a:solidFill>
            <a:ln w="12675">
              <a:solidFill>
                <a:srgbClr val="000000"/>
              </a:solidFill>
              <a:prstDash val="solid"/>
            </a:ln>
          </c:spPr>
          <c:invertIfNegative val="0"/>
          <c:dLbls>
            <c:dLbl>
              <c:idx val="0"/>
              <c:layout>
                <c:manualLayout>
                  <c:x val="5.8192960621706322E-3"/>
                  <c:y val="-1.38408813547988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C9A-4643-A155-212002DBEF2C}"/>
                </c:ext>
              </c:extLst>
            </c:dLbl>
            <c:spPr>
              <a:noFill/>
              <a:ln w="25349">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0.00%</c:formatCode>
                <c:ptCount val="1"/>
                <c:pt idx="0">
                  <c:v>0.73899999999999999</c:v>
                </c:pt>
              </c:numCache>
            </c:numRef>
          </c:val>
          <c:extLst>
            <c:ext xmlns:c16="http://schemas.microsoft.com/office/drawing/2014/chart" uri="{C3380CC4-5D6E-409C-BE32-E72D297353CC}">
              <c16:uniqueId val="{00000005-9C9A-4643-A155-212002DBEF2C}"/>
            </c:ext>
          </c:extLst>
        </c:ser>
        <c:ser>
          <c:idx val="3"/>
          <c:order val="3"/>
          <c:tx>
            <c:strRef>
              <c:f>Sheet1!$A$5</c:f>
              <c:strCache>
                <c:ptCount val="1"/>
                <c:pt idx="0">
                  <c:v>Judecătorii</c:v>
                </c:pt>
              </c:strCache>
            </c:strRef>
          </c:tx>
          <c:spPr>
            <a:solidFill>
              <a:srgbClr val="CCFFFF"/>
            </a:solidFill>
            <a:ln w="12675">
              <a:solidFill>
                <a:srgbClr val="000000"/>
              </a:solidFill>
              <a:prstDash val="solid"/>
            </a:ln>
          </c:spPr>
          <c:invertIfNegative val="0"/>
          <c:dLbls>
            <c:dLbl>
              <c:idx val="0"/>
              <c:layout>
                <c:manualLayout>
                  <c:x val="-8.375291116779416E-3"/>
                  <c:y val="7.7579952187504832E-3"/>
                </c:manualLayout>
              </c:layout>
              <c:tx>
                <c:rich>
                  <a:bodyPr/>
                  <a:lstStyle/>
                  <a:p>
                    <a:fld id="{31D00FAD-A0FB-49BF-A194-A9BCAF350450}" type="VALUE">
                      <a:rPr lang="en-US" sz="10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9C9A-4643-A155-212002DBEF2C}"/>
                </c:ext>
              </c:extLst>
            </c:dLbl>
            <c:spPr>
              <a:noFill/>
              <a:ln w="25349">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Sheet1!$B$5:$B$5</c:f>
              <c:numCache>
                <c:formatCode>0.00%</c:formatCode>
                <c:ptCount val="1"/>
                <c:pt idx="0">
                  <c:v>0.87060000000000004</c:v>
                </c:pt>
              </c:numCache>
            </c:numRef>
          </c:val>
          <c:extLst>
            <c:ext xmlns:c16="http://schemas.microsoft.com/office/drawing/2014/chart" uri="{C3380CC4-5D6E-409C-BE32-E72D297353CC}">
              <c16:uniqueId val="{00000007-9C9A-4643-A155-212002DBEF2C}"/>
            </c:ext>
          </c:extLst>
        </c:ser>
        <c:dLbls>
          <c:showLegendKey val="0"/>
          <c:showVal val="1"/>
          <c:showCatName val="0"/>
          <c:showSerName val="0"/>
          <c:showPercent val="0"/>
          <c:showBubbleSize val="0"/>
        </c:dLbls>
        <c:gapWidth val="150"/>
        <c:shape val="box"/>
        <c:axId val="-1205501920"/>
        <c:axId val="-1205502464"/>
        <c:axId val="0"/>
      </c:bar3DChart>
      <c:catAx>
        <c:axId val="-1205501920"/>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a:pPr>
            <a:endParaRPr lang="en-US"/>
          </a:p>
        </c:txPr>
        <c:crossAx val="-1205502464"/>
        <c:crosses val="autoZero"/>
        <c:auto val="1"/>
        <c:lblAlgn val="ctr"/>
        <c:lblOffset val="100"/>
        <c:noMultiLvlLbl val="0"/>
      </c:catAx>
      <c:valAx>
        <c:axId val="-1205502464"/>
        <c:scaling>
          <c:orientation val="minMax"/>
          <c:min val="0"/>
        </c:scaling>
        <c:delete val="0"/>
        <c:axPos val="l"/>
        <c:majorGridlines>
          <c:spPr>
            <a:ln w="3169">
              <a:solidFill>
                <a:srgbClr val="000000"/>
              </a:solidFill>
              <a:prstDash val="solid"/>
            </a:ln>
          </c:spPr>
        </c:majorGridlines>
        <c:numFmt formatCode="0.00%" sourceLinked="0"/>
        <c:majorTickMark val="in"/>
        <c:minorTickMark val="none"/>
        <c:tickLblPos val="nextTo"/>
        <c:spPr>
          <a:ln w="3169">
            <a:solidFill>
              <a:srgbClr val="000000"/>
            </a:solidFill>
            <a:prstDash val="solid"/>
          </a:ln>
        </c:spPr>
        <c:txPr>
          <a:bodyPr rot="0" vert="horz"/>
          <a:lstStyle/>
          <a:p>
            <a:pPr>
              <a:defRPr/>
            </a:pPr>
            <a:endParaRPr lang="en-US"/>
          </a:p>
        </c:txPr>
        <c:crossAx val="-1205501920"/>
        <c:crosses val="autoZero"/>
        <c:crossBetween val="between"/>
      </c:valAx>
    </c:plotArea>
    <c:legend>
      <c:legendPos val="r"/>
      <c:layout>
        <c:manualLayout>
          <c:xMode val="edge"/>
          <c:yMode val="edge"/>
          <c:x val="0.81691927607209969"/>
          <c:y val="0.38198585038461885"/>
          <c:w val="0.16718822788410034"/>
          <c:h val="0.36575449807904448"/>
        </c:manualLayout>
      </c:layout>
      <c:overlay val="0"/>
      <c:spPr>
        <a:noFill/>
        <a:ln w="3169">
          <a:solidFill>
            <a:srgbClr val="000000"/>
          </a:solidFill>
          <a:prstDash val="solid"/>
        </a:ln>
      </c:spPr>
    </c:legend>
    <c:plotVisOnly val="1"/>
    <c:dispBlanksAs val="gap"/>
    <c:showDLblsOverMax val="0"/>
  </c:chart>
  <c:spPr>
    <a:solidFill>
      <a:srgbClr val="FFFFFF"/>
    </a:solidFill>
    <a:ln>
      <a:noFill/>
    </a:ln>
  </c:spPr>
  <c:txPr>
    <a:bodyPr/>
    <a:lstStyle/>
    <a:p>
      <a:pPr>
        <a:defRPr sz="1123" b="1" i="0" u="none" strike="noStrike" baseline="0">
          <a:solidFill>
            <a:schemeClr val="tx1"/>
          </a:solidFill>
          <a:latin typeface="+mn-lt"/>
          <a:ea typeface="Arial"/>
          <a:cs typeface="Aria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o-RO" sz="1300">
                <a:solidFill>
                  <a:schemeClr val="tx1"/>
                </a:solidFill>
                <a:latin typeface="+mn-lt"/>
              </a:rPr>
              <a:t>Gradul de ocupare a</a:t>
            </a:r>
            <a:r>
              <a:rPr lang="en-US" sz="1300">
                <a:solidFill>
                  <a:schemeClr val="tx1"/>
                </a:solidFill>
                <a:latin typeface="+mn-lt"/>
              </a:rPr>
              <a:t> posturilor de </a:t>
            </a:r>
            <a:r>
              <a:rPr lang="ro-RO" sz="1300">
                <a:solidFill>
                  <a:schemeClr val="tx1"/>
                </a:solidFill>
                <a:latin typeface="+mn-lt"/>
              </a:rPr>
              <a:t>procur</a:t>
            </a:r>
            <a:r>
              <a:rPr lang="en-US" sz="1300">
                <a:solidFill>
                  <a:schemeClr val="tx1"/>
                </a:solidFill>
                <a:latin typeface="+mn-lt"/>
              </a:rPr>
              <a:t>or </a:t>
            </a:r>
            <a:endParaRPr lang="ro-RO" sz="1300">
              <a:solidFill>
                <a:schemeClr val="tx1"/>
              </a:solidFill>
              <a:latin typeface="+mn-lt"/>
            </a:endParaRPr>
          </a:p>
          <a:p>
            <a:pPr>
              <a:defRPr/>
            </a:pPr>
            <a:r>
              <a:rPr lang="ro-RO" sz="1300">
                <a:solidFill>
                  <a:schemeClr val="tx1"/>
                </a:solidFill>
                <a:latin typeface="+mn-lt"/>
              </a:rPr>
              <a:t>ianuarie 2025</a:t>
            </a:r>
            <a:endParaRPr lang="en-US" sz="1300">
              <a:solidFill>
                <a:schemeClr val="tx1"/>
              </a:solidFill>
              <a:latin typeface="+mn-lt"/>
            </a:endParaRPr>
          </a:p>
        </c:rich>
      </c:tx>
      <c:layout>
        <c:manualLayout>
          <c:xMode val="edge"/>
          <c:yMode val="edge"/>
          <c:x val="0.26064658584343625"/>
          <c:y val="6.2740375446148813E-2"/>
        </c:manualLayout>
      </c:layout>
      <c:overlay val="0"/>
      <c:spPr>
        <a:noFill/>
        <a:ln w="25349">
          <a:noFill/>
        </a:ln>
      </c:spPr>
    </c:title>
    <c:autoTitleDeleted val="0"/>
    <c:view3D>
      <c:rotX val="0"/>
      <c:rotY val="0"/>
      <c:depthPercent val="100"/>
      <c:rAngAx val="1"/>
    </c:view3D>
    <c:floor>
      <c:thickness val="0"/>
    </c:floor>
    <c:sideWall>
      <c:thickness val="0"/>
      <c:spPr>
        <a:solidFill>
          <a:srgbClr val="C0C0C0"/>
        </a:solidFill>
        <a:ln w="12675">
          <a:solidFill>
            <a:srgbClr val="808080"/>
          </a:solidFill>
          <a:prstDash val="solid"/>
        </a:ln>
      </c:spPr>
    </c:sideWall>
    <c:backWall>
      <c:thickness val="0"/>
      <c:spPr>
        <a:solidFill>
          <a:srgbClr val="C0C0C0"/>
        </a:solidFill>
        <a:ln w="12675">
          <a:solidFill>
            <a:srgbClr val="808080"/>
          </a:solidFill>
          <a:prstDash val="solid"/>
        </a:ln>
      </c:spPr>
    </c:backWall>
    <c:plotArea>
      <c:layout>
        <c:manualLayout>
          <c:layoutTarget val="inner"/>
          <c:xMode val="edge"/>
          <c:yMode val="edge"/>
          <c:x val="0.13862378806446346"/>
          <c:y val="0.28332870155936446"/>
          <c:w val="0.67012088155001992"/>
          <c:h val="0.64655423819149094"/>
        </c:manualLayout>
      </c:layout>
      <c:bar3DChart>
        <c:barDir val="col"/>
        <c:grouping val="clustered"/>
        <c:varyColors val="0"/>
        <c:ser>
          <c:idx val="0"/>
          <c:order val="0"/>
          <c:tx>
            <c:strRef>
              <c:f>Sheet1!$A$2</c:f>
              <c:strCache>
                <c:ptCount val="1"/>
                <c:pt idx="0">
                  <c:v>PÎCCJ</c:v>
                </c:pt>
              </c:strCache>
            </c:strRef>
          </c:tx>
          <c:spPr>
            <a:solidFill>
              <a:srgbClr val="9999FF"/>
            </a:solidFill>
            <a:ln w="12675">
              <a:solidFill>
                <a:srgbClr val="000000"/>
              </a:solidFill>
              <a:prstDash val="solid"/>
            </a:ln>
          </c:spPr>
          <c:invertIfNegative val="0"/>
          <c:dLbls>
            <c:dLbl>
              <c:idx val="0"/>
              <c:layout>
                <c:manualLayout>
                  <c:x val="-2.4981264051961048E-3"/>
                  <c:y val="-4.613610149942333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3DC-4291-B281-FD2BB5284B5D}"/>
                </c:ext>
              </c:extLst>
            </c:dLbl>
            <c:spPr>
              <a:noFill/>
              <a:ln w="25349">
                <a:noFill/>
              </a:ln>
            </c:spPr>
            <c:txPr>
              <a:bodyPr wrap="square" lIns="38100" tIns="19050" rIns="38100" bIns="19050" anchor="ctr">
                <a:spAutoFit/>
              </a:bodyPr>
              <a:lstStyle/>
              <a:p>
                <a:pPr>
                  <a:defRPr>
                    <a:solidFill>
                      <a:sysClr val="windowText" lastClr="0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0.00%</c:formatCode>
                <c:ptCount val="1"/>
                <c:pt idx="0">
                  <c:v>0.77449999999999997</c:v>
                </c:pt>
              </c:numCache>
            </c:numRef>
          </c:val>
          <c:extLst>
            <c:ext xmlns:c16="http://schemas.microsoft.com/office/drawing/2014/chart" uri="{C3380CC4-5D6E-409C-BE32-E72D297353CC}">
              <c16:uniqueId val="{00000001-63DC-4291-B281-FD2BB5284B5D}"/>
            </c:ext>
          </c:extLst>
        </c:ser>
        <c:ser>
          <c:idx val="1"/>
          <c:order val="1"/>
          <c:tx>
            <c:strRef>
              <c:f>Sheet1!$A$3</c:f>
              <c:strCache>
                <c:ptCount val="1"/>
                <c:pt idx="0">
                  <c:v>PCA </c:v>
                </c:pt>
              </c:strCache>
            </c:strRef>
          </c:tx>
          <c:spPr>
            <a:solidFill>
              <a:srgbClr val="863A47"/>
            </a:solidFill>
            <a:ln w="12675">
              <a:solidFill>
                <a:srgbClr val="000000"/>
              </a:solidFill>
              <a:prstDash val="solid"/>
            </a:ln>
          </c:spPr>
          <c:invertIfNegative val="0"/>
          <c:dLbls>
            <c:dLbl>
              <c:idx val="0"/>
              <c:layout>
                <c:manualLayout>
                  <c:x val="3.2615923009623798E-3"/>
                  <c:y val="-4.229093782594876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3DC-4291-B281-FD2BB5284B5D}"/>
                </c:ext>
              </c:extLst>
            </c:dLbl>
            <c:spPr>
              <a:noFill/>
              <a:ln w="25349">
                <a:noFill/>
              </a:ln>
            </c:spPr>
            <c:txPr>
              <a:bodyPr wrap="square" lIns="38100" tIns="19050" rIns="38100" bIns="19050" anchor="ctr">
                <a:spAutoFit/>
              </a:bodyPr>
              <a:lstStyle/>
              <a:p>
                <a:pPr>
                  <a:defRPr>
                    <a:solidFill>
                      <a:sysClr val="windowText" lastClr="0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numRef>
              <c:f>Sheet1!$B$1:$B$1</c:f>
              <c:numCache>
                <c:formatCode>General</c:formatCode>
                <c:ptCount val="1"/>
              </c:numCache>
            </c:numRef>
          </c:cat>
          <c:val>
            <c:numRef>
              <c:f>Sheet1!$B$3:$B$3</c:f>
              <c:numCache>
                <c:formatCode>0.00%</c:formatCode>
                <c:ptCount val="1"/>
                <c:pt idx="0">
                  <c:v>0.79930000000000001</c:v>
                </c:pt>
              </c:numCache>
            </c:numRef>
          </c:val>
          <c:extLst>
            <c:ext xmlns:c16="http://schemas.microsoft.com/office/drawing/2014/chart" uri="{C3380CC4-5D6E-409C-BE32-E72D297353CC}">
              <c16:uniqueId val="{00000003-63DC-4291-B281-FD2BB5284B5D}"/>
            </c:ext>
          </c:extLst>
        </c:ser>
        <c:ser>
          <c:idx val="2"/>
          <c:order val="2"/>
          <c:tx>
            <c:strRef>
              <c:f>Sheet1!$A$4</c:f>
              <c:strCache>
                <c:ptCount val="1"/>
                <c:pt idx="0">
                  <c:v>PT </c:v>
                </c:pt>
              </c:strCache>
            </c:strRef>
          </c:tx>
          <c:spPr>
            <a:solidFill>
              <a:srgbClr val="FFFFCC"/>
            </a:solidFill>
            <a:ln w="12675">
              <a:solidFill>
                <a:srgbClr val="000000"/>
              </a:solidFill>
              <a:prstDash val="solid"/>
            </a:ln>
          </c:spPr>
          <c:invertIfNegative val="0"/>
          <c:dLbls>
            <c:dLbl>
              <c:idx val="0"/>
              <c:layout>
                <c:manualLayout>
                  <c:x val="9.9925056207844122E-3"/>
                  <c:y val="-1.3840830449826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3DC-4291-B281-FD2BB5284B5D}"/>
                </c:ext>
              </c:extLst>
            </c:dLbl>
            <c:spPr>
              <a:noFill/>
              <a:ln w="25349">
                <a:noFill/>
              </a:ln>
            </c:spPr>
            <c:txPr>
              <a:bodyPr wrap="square" lIns="38100" tIns="19050" rIns="38100" bIns="19050" anchor="ctr">
                <a:spAutoFit/>
              </a:bodyPr>
              <a:lstStyle/>
              <a:p>
                <a:pPr>
                  <a:defRPr>
                    <a:solidFill>
                      <a:sysClr val="windowText" lastClr="0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0.00%</c:formatCode>
                <c:ptCount val="1"/>
                <c:pt idx="0">
                  <c:v>0.6593</c:v>
                </c:pt>
              </c:numCache>
            </c:numRef>
          </c:val>
          <c:extLst>
            <c:ext xmlns:c16="http://schemas.microsoft.com/office/drawing/2014/chart" uri="{C3380CC4-5D6E-409C-BE32-E72D297353CC}">
              <c16:uniqueId val="{00000005-63DC-4291-B281-FD2BB5284B5D}"/>
            </c:ext>
          </c:extLst>
        </c:ser>
        <c:ser>
          <c:idx val="3"/>
          <c:order val="3"/>
          <c:tx>
            <c:strRef>
              <c:f>Sheet1!$A$5</c:f>
              <c:strCache>
                <c:ptCount val="1"/>
                <c:pt idx="0">
                  <c:v>PJ </c:v>
                </c:pt>
              </c:strCache>
            </c:strRef>
          </c:tx>
          <c:spPr>
            <a:solidFill>
              <a:srgbClr val="CCFFFF"/>
            </a:solidFill>
            <a:ln w="12675">
              <a:solidFill>
                <a:srgbClr val="000000"/>
              </a:solidFill>
              <a:prstDash val="solid"/>
            </a:ln>
          </c:spPr>
          <c:invertIfNegative val="0"/>
          <c:dLbls>
            <c:dLbl>
              <c:idx val="0"/>
              <c:layout>
                <c:manualLayout>
                  <c:x val="8.2578011081947313E-3"/>
                  <c:y val="-1.845444059976932E-2"/>
                </c:manualLayout>
              </c:layout>
              <c:tx>
                <c:rich>
                  <a:bodyPr/>
                  <a:lstStyle/>
                  <a:p>
                    <a:fld id="{31D00FAD-A0FB-49BF-A194-A9BCAF350450}" type="VALUE">
                      <a:rPr lang="en-US" sz="10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63DC-4291-B281-FD2BB5284B5D}"/>
                </c:ext>
              </c:extLst>
            </c:dLbl>
            <c:spPr>
              <a:noFill/>
              <a:ln w="25349">
                <a:noFill/>
              </a:ln>
            </c:spPr>
            <c:txPr>
              <a:bodyPr wrap="square" lIns="38100" tIns="19050" rIns="38100" bIns="19050" anchor="ctr">
                <a:spAutoFit/>
              </a:bodyPr>
              <a:lstStyle/>
              <a:p>
                <a:pPr>
                  <a:defRPr>
                    <a:solidFill>
                      <a:sysClr val="windowText" lastClr="0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Sheet1!$B$5:$B$5</c:f>
              <c:numCache>
                <c:formatCode>0.00%</c:formatCode>
                <c:ptCount val="1"/>
                <c:pt idx="0">
                  <c:v>0.74890000000000001</c:v>
                </c:pt>
              </c:numCache>
            </c:numRef>
          </c:val>
          <c:extLst>
            <c:ext xmlns:c16="http://schemas.microsoft.com/office/drawing/2014/chart" uri="{C3380CC4-5D6E-409C-BE32-E72D297353CC}">
              <c16:uniqueId val="{00000007-63DC-4291-B281-FD2BB5284B5D}"/>
            </c:ext>
          </c:extLst>
        </c:ser>
        <c:dLbls>
          <c:showLegendKey val="0"/>
          <c:showVal val="1"/>
          <c:showCatName val="0"/>
          <c:showSerName val="0"/>
          <c:showPercent val="0"/>
          <c:showBubbleSize val="0"/>
        </c:dLbls>
        <c:gapWidth val="150"/>
        <c:shape val="box"/>
        <c:axId val="138309808"/>
        <c:axId val="138304368"/>
        <c:axId val="0"/>
      </c:bar3DChart>
      <c:catAx>
        <c:axId val="138309808"/>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a:pPr>
            <a:endParaRPr lang="en-US"/>
          </a:p>
        </c:txPr>
        <c:crossAx val="138304368"/>
        <c:crosses val="autoZero"/>
        <c:auto val="1"/>
        <c:lblAlgn val="ctr"/>
        <c:lblOffset val="100"/>
        <c:noMultiLvlLbl val="0"/>
      </c:catAx>
      <c:valAx>
        <c:axId val="138304368"/>
        <c:scaling>
          <c:orientation val="minMax"/>
          <c:min val="0"/>
        </c:scaling>
        <c:delete val="0"/>
        <c:axPos val="l"/>
        <c:majorGridlines>
          <c:spPr>
            <a:ln w="3169">
              <a:solidFill>
                <a:srgbClr val="000000"/>
              </a:solidFill>
              <a:prstDash val="solid"/>
            </a:ln>
          </c:spPr>
        </c:majorGridlines>
        <c:numFmt formatCode="0.00%" sourceLinked="0"/>
        <c:majorTickMark val="in"/>
        <c:minorTickMark val="none"/>
        <c:tickLblPos val="nextTo"/>
        <c:spPr>
          <a:ln w="3169">
            <a:solidFill>
              <a:srgbClr val="000000"/>
            </a:solidFill>
            <a:prstDash val="solid"/>
          </a:ln>
        </c:spPr>
        <c:txPr>
          <a:bodyPr rot="0" vert="horz"/>
          <a:lstStyle/>
          <a:p>
            <a:pPr>
              <a:defRPr>
                <a:solidFill>
                  <a:sysClr val="windowText" lastClr="000000"/>
                </a:solidFill>
              </a:defRPr>
            </a:pPr>
            <a:endParaRPr lang="en-US"/>
          </a:p>
        </c:txPr>
        <c:crossAx val="138309808"/>
        <c:crosses val="autoZero"/>
        <c:crossBetween val="between"/>
      </c:valAx>
    </c:plotArea>
    <c:legend>
      <c:legendPos val="r"/>
      <c:layout>
        <c:manualLayout>
          <c:xMode val="edge"/>
          <c:yMode val="edge"/>
          <c:x val="0.84350906136732906"/>
          <c:y val="0.38198585038461885"/>
          <c:w val="0.10957680289963756"/>
          <c:h val="0.27396706899526857"/>
        </c:manualLayout>
      </c:layout>
      <c:overlay val="0"/>
      <c:spPr>
        <a:noFill/>
        <a:ln w="3169">
          <a:solidFill>
            <a:srgbClr val="000000"/>
          </a:solidFill>
          <a:prstDash val="solid"/>
        </a:ln>
      </c:spPr>
      <c:txPr>
        <a:bodyPr/>
        <a:lstStyle/>
        <a:p>
          <a:pPr>
            <a:defRPr sz="1300">
              <a:solidFill>
                <a:sysClr val="windowText" lastClr="000000"/>
              </a:solidFill>
              <a:latin typeface="+mn-lt"/>
            </a:defRPr>
          </a:pPr>
          <a:endParaRPr lang="en-US"/>
        </a:p>
      </c:txPr>
    </c:legend>
    <c:plotVisOnly val="1"/>
    <c:dispBlanksAs val="gap"/>
    <c:showDLblsOverMax val="0"/>
  </c:chart>
  <c:spPr>
    <a:solidFill>
      <a:srgbClr val="FFFFFF"/>
    </a:solidFill>
    <a:ln>
      <a:noFill/>
    </a:ln>
  </c:spPr>
  <c:txPr>
    <a:bodyPr/>
    <a:lstStyle/>
    <a:p>
      <a:pPr>
        <a:defRPr sz="1123" b="1" i="0" u="none" strike="noStrike" baseline="0">
          <a:solidFill>
            <a:schemeClr val="accent6"/>
          </a:solidFill>
          <a:latin typeface="Arial"/>
          <a:ea typeface="Arial"/>
          <a:cs typeface="Aria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solidFill>
                  <a:srgbClr val="FF0000"/>
                </a:solidFill>
                <a:latin typeface="+mn-lt"/>
              </a:defRPr>
            </a:pPr>
            <a:r>
              <a:rPr lang="ro-RO" sz="1300">
                <a:solidFill>
                  <a:sysClr val="windowText" lastClr="000000"/>
                </a:solidFill>
                <a:latin typeface="+mn-lt"/>
              </a:rPr>
              <a:t>Gradul de ocupare a</a:t>
            </a:r>
            <a:r>
              <a:rPr lang="en-US" sz="1300">
                <a:solidFill>
                  <a:sysClr val="windowText" lastClr="000000"/>
                </a:solidFill>
                <a:latin typeface="+mn-lt"/>
              </a:rPr>
              <a:t> posturilor de </a:t>
            </a:r>
            <a:r>
              <a:rPr lang="ro-RO" sz="1300">
                <a:solidFill>
                  <a:sysClr val="windowText" lastClr="000000"/>
                </a:solidFill>
                <a:latin typeface="+mn-lt"/>
              </a:rPr>
              <a:t>judecător</a:t>
            </a:r>
            <a:r>
              <a:rPr lang="en-US" sz="1300">
                <a:solidFill>
                  <a:sysClr val="windowText" lastClr="000000"/>
                </a:solidFill>
                <a:latin typeface="+mn-lt"/>
              </a:rPr>
              <a:t> </a:t>
            </a:r>
            <a:endParaRPr lang="ro-RO" sz="1300">
              <a:solidFill>
                <a:sysClr val="windowText" lastClr="000000"/>
              </a:solidFill>
              <a:latin typeface="+mn-lt"/>
            </a:endParaRPr>
          </a:p>
          <a:p>
            <a:pPr>
              <a:defRPr>
                <a:solidFill>
                  <a:srgbClr val="FF0000"/>
                </a:solidFill>
                <a:latin typeface="+mn-lt"/>
              </a:defRPr>
            </a:pPr>
            <a:r>
              <a:rPr lang="ro-RO" sz="1300">
                <a:solidFill>
                  <a:sysClr val="windowText" lastClr="000000"/>
                </a:solidFill>
                <a:latin typeface="+mn-lt"/>
              </a:rPr>
              <a:t>la data de 31.12.2025</a:t>
            </a:r>
            <a:endParaRPr lang="en-US" sz="1300">
              <a:solidFill>
                <a:sysClr val="windowText" lastClr="000000"/>
              </a:solidFill>
              <a:latin typeface="+mn-lt"/>
            </a:endParaRPr>
          </a:p>
        </c:rich>
      </c:tx>
      <c:layout>
        <c:manualLayout>
          <c:xMode val="edge"/>
          <c:yMode val="edge"/>
          <c:x val="0.19654401372905309"/>
          <c:y val="6.7399227088228222E-2"/>
        </c:manualLayout>
      </c:layout>
      <c:overlay val="0"/>
      <c:spPr>
        <a:noFill/>
        <a:ln w="25349">
          <a:noFill/>
        </a:ln>
      </c:spPr>
    </c:title>
    <c:autoTitleDeleted val="0"/>
    <c:view3D>
      <c:rotX val="0"/>
      <c:rotY val="0"/>
      <c:depthPercent val="100"/>
      <c:rAngAx val="1"/>
    </c:view3D>
    <c:floor>
      <c:thickness val="0"/>
    </c:floor>
    <c:sideWall>
      <c:thickness val="0"/>
      <c:spPr>
        <a:solidFill>
          <a:srgbClr val="C0C0C0"/>
        </a:solidFill>
        <a:ln w="12675">
          <a:solidFill>
            <a:srgbClr val="808080"/>
          </a:solidFill>
          <a:prstDash val="solid"/>
        </a:ln>
      </c:spPr>
    </c:sideWall>
    <c:backWall>
      <c:thickness val="0"/>
      <c:spPr>
        <a:solidFill>
          <a:srgbClr val="C0C0C0"/>
        </a:solidFill>
        <a:ln w="12675">
          <a:solidFill>
            <a:srgbClr val="808080"/>
          </a:solidFill>
          <a:prstDash val="solid"/>
        </a:ln>
      </c:spPr>
    </c:backWall>
    <c:plotArea>
      <c:layout>
        <c:manualLayout>
          <c:layoutTarget val="inner"/>
          <c:xMode val="edge"/>
          <c:yMode val="edge"/>
          <c:x val="0.13862378806446346"/>
          <c:y val="0.28332870155936446"/>
          <c:w val="0.67012088155001992"/>
          <c:h val="0.64655423819149094"/>
        </c:manualLayout>
      </c:layout>
      <c:bar3DChart>
        <c:barDir val="col"/>
        <c:grouping val="clustered"/>
        <c:varyColors val="0"/>
        <c:ser>
          <c:idx val="0"/>
          <c:order val="0"/>
          <c:tx>
            <c:strRef>
              <c:f>Sheet1!$A$2</c:f>
              <c:strCache>
                <c:ptCount val="1"/>
                <c:pt idx="0">
                  <c:v>ÎCCJ</c:v>
                </c:pt>
              </c:strCache>
            </c:strRef>
          </c:tx>
          <c:spPr>
            <a:solidFill>
              <a:srgbClr val="9999FF"/>
            </a:solidFill>
            <a:ln w="12675">
              <a:solidFill>
                <a:srgbClr val="000000"/>
              </a:solidFill>
              <a:prstDash val="solid"/>
            </a:ln>
          </c:spPr>
          <c:invertIfNegative val="0"/>
          <c:dLbls>
            <c:dLbl>
              <c:idx val="0"/>
              <c:layout>
                <c:manualLayout>
                  <c:x val="-2.136752136752137E-3"/>
                  <c:y val="2.79524807826694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C89-4E13-BDB6-3903B9D76C56}"/>
                </c:ext>
              </c:extLst>
            </c:dLbl>
            <c:spPr>
              <a:noFill/>
              <a:ln>
                <a:noFill/>
              </a:ln>
              <a:effectLst/>
            </c:spPr>
            <c:txPr>
              <a:bodyPr wrap="square" lIns="38100" tIns="19050" rIns="38100" bIns="19050" anchor="ctr">
                <a:spAutoFit/>
              </a:bodyPr>
              <a:lstStyle/>
              <a:p>
                <a:pPr>
                  <a:defRPr>
                    <a:solidFill>
                      <a:sysClr val="windowText" lastClr="000000"/>
                    </a:solidFill>
                    <a:latin typeface="+mn-l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Sheet1!$B$1:$B$1</c:f>
              <c:numCache>
                <c:formatCode>General</c:formatCode>
                <c:ptCount val="1"/>
              </c:numCache>
            </c:numRef>
          </c:cat>
          <c:val>
            <c:numRef>
              <c:f>Sheet1!$B$2:$B$2</c:f>
              <c:numCache>
                <c:formatCode>0.00%</c:formatCode>
                <c:ptCount val="1"/>
                <c:pt idx="0">
                  <c:v>0.86890000000000001</c:v>
                </c:pt>
              </c:numCache>
            </c:numRef>
          </c:val>
          <c:extLst>
            <c:ext xmlns:c16="http://schemas.microsoft.com/office/drawing/2014/chart" uri="{C3380CC4-5D6E-409C-BE32-E72D297353CC}">
              <c16:uniqueId val="{00000001-3C89-4E13-BDB6-3903B9D76C56}"/>
            </c:ext>
          </c:extLst>
        </c:ser>
        <c:ser>
          <c:idx val="1"/>
          <c:order val="1"/>
          <c:tx>
            <c:strRef>
              <c:f>Sheet1!$A$3</c:f>
              <c:strCache>
                <c:ptCount val="1"/>
                <c:pt idx="0">
                  <c:v>Curţi de apel</c:v>
                </c:pt>
              </c:strCache>
            </c:strRef>
          </c:tx>
          <c:spPr>
            <a:solidFill>
              <a:srgbClr val="863A47"/>
            </a:solidFill>
            <a:ln w="12675">
              <a:solidFill>
                <a:srgbClr val="000000"/>
              </a:solidFill>
              <a:prstDash val="solid"/>
            </a:ln>
          </c:spPr>
          <c:invertIfNegative val="0"/>
          <c:dLbls>
            <c:dLbl>
              <c:idx val="0"/>
              <c:layout>
                <c:manualLayout>
                  <c:x val="0"/>
                  <c:y val="-9.66417008939357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C89-4E13-BDB6-3903B9D76C56}"/>
                </c:ext>
              </c:extLst>
            </c:dLbl>
            <c:spPr>
              <a:noFill/>
              <a:ln>
                <a:noFill/>
              </a:ln>
              <a:effectLst/>
            </c:spPr>
            <c:txPr>
              <a:bodyPr wrap="square" lIns="38100" tIns="19050" rIns="38100" bIns="19050" anchor="ctr">
                <a:spAutoFit/>
              </a:bodyPr>
              <a:lstStyle/>
              <a:p>
                <a:pPr>
                  <a:defRPr>
                    <a:solidFill>
                      <a:sysClr val="windowText" lastClr="000000"/>
                    </a:solidFill>
                    <a:latin typeface="+mn-l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0.00%</c:formatCode>
                <c:ptCount val="1"/>
                <c:pt idx="0">
                  <c:v>0.95379999999999998</c:v>
                </c:pt>
              </c:numCache>
            </c:numRef>
          </c:val>
          <c:extLst>
            <c:ext xmlns:c16="http://schemas.microsoft.com/office/drawing/2014/chart" uri="{C3380CC4-5D6E-409C-BE32-E72D297353CC}">
              <c16:uniqueId val="{00000003-3C89-4E13-BDB6-3903B9D76C56}"/>
            </c:ext>
          </c:extLst>
        </c:ser>
        <c:ser>
          <c:idx val="2"/>
          <c:order val="2"/>
          <c:tx>
            <c:strRef>
              <c:f>Sheet1!$A$4</c:f>
              <c:strCache>
                <c:ptCount val="1"/>
                <c:pt idx="0">
                  <c:v>Tribunale</c:v>
                </c:pt>
              </c:strCache>
            </c:strRef>
          </c:tx>
          <c:spPr>
            <a:solidFill>
              <a:srgbClr val="FFFFCC"/>
            </a:solidFill>
            <a:ln w="12675">
              <a:solidFill>
                <a:srgbClr val="000000"/>
              </a:solidFill>
              <a:prstDash val="solid"/>
            </a:ln>
          </c:spPr>
          <c:invertIfNegative val="0"/>
          <c:dLbls>
            <c:dLbl>
              <c:idx val="0"/>
              <c:layout>
                <c:manualLayout>
                  <c:x val="2.0577474347946703E-3"/>
                  <c:y val="-7.430419320451837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C89-4E13-BDB6-3903B9D76C56}"/>
                </c:ext>
              </c:extLst>
            </c:dLbl>
            <c:spPr>
              <a:noFill/>
              <a:ln>
                <a:noFill/>
              </a:ln>
              <a:effectLst/>
            </c:spPr>
            <c:txPr>
              <a:bodyPr wrap="square" lIns="38100" tIns="19050" rIns="38100" bIns="19050" anchor="ctr">
                <a:spAutoFit/>
              </a:bodyPr>
              <a:lstStyle/>
              <a:p>
                <a:pPr>
                  <a:defRPr>
                    <a:solidFill>
                      <a:sysClr val="windowText" lastClr="000000"/>
                    </a:solidFill>
                    <a:latin typeface="+mn-l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0.00%</c:formatCode>
                <c:ptCount val="1"/>
                <c:pt idx="0">
                  <c:v>0.79310000000000003</c:v>
                </c:pt>
              </c:numCache>
            </c:numRef>
          </c:val>
          <c:extLst>
            <c:ext xmlns:c16="http://schemas.microsoft.com/office/drawing/2014/chart" uri="{C3380CC4-5D6E-409C-BE32-E72D297353CC}">
              <c16:uniqueId val="{00000005-3C89-4E13-BDB6-3903B9D76C56}"/>
            </c:ext>
          </c:extLst>
        </c:ser>
        <c:ser>
          <c:idx val="3"/>
          <c:order val="3"/>
          <c:tx>
            <c:strRef>
              <c:f>Sheet1!$A$5</c:f>
              <c:strCache>
                <c:ptCount val="1"/>
                <c:pt idx="0">
                  <c:v>Judecătorii</c:v>
                </c:pt>
              </c:strCache>
            </c:strRef>
          </c:tx>
          <c:spPr>
            <a:solidFill>
              <a:srgbClr val="CCFFFF"/>
            </a:solidFill>
            <a:ln w="12675">
              <a:solidFill>
                <a:srgbClr val="000000"/>
              </a:solidFill>
              <a:prstDash val="solid"/>
            </a:ln>
          </c:spPr>
          <c:invertIfNegative val="0"/>
          <c:dLbls>
            <c:dLbl>
              <c:idx val="0"/>
              <c:layout>
                <c:manualLayout>
                  <c:x val="2.215820961666216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DE3-4CE5-BDB3-CBFEBD8E847C}"/>
                </c:ext>
              </c:extLst>
            </c:dLbl>
            <c:spPr>
              <a:noFill/>
              <a:ln>
                <a:noFill/>
              </a:ln>
              <a:effectLst/>
            </c:spPr>
            <c:txPr>
              <a:bodyPr wrap="square" lIns="38100" tIns="19050" rIns="38100" bIns="19050" anchor="ctr">
                <a:spAutoFit/>
              </a:bodyPr>
              <a:lstStyle/>
              <a:p>
                <a:pPr>
                  <a:defRPr>
                    <a:solidFill>
                      <a:sysClr val="windowText" lastClr="000000"/>
                    </a:solidFill>
                    <a:latin typeface="+mn-l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Sheet1!$B$1:$B$1</c:f>
              <c:numCache>
                <c:formatCode>General</c:formatCode>
                <c:ptCount val="1"/>
              </c:numCache>
            </c:numRef>
          </c:cat>
          <c:val>
            <c:numRef>
              <c:f>Sheet1!$B$5:$B$5</c:f>
              <c:numCache>
                <c:formatCode>0.00%</c:formatCode>
                <c:ptCount val="1"/>
                <c:pt idx="0">
                  <c:v>0.87260000000000004</c:v>
                </c:pt>
              </c:numCache>
            </c:numRef>
          </c:val>
          <c:extLst>
            <c:ext xmlns:c16="http://schemas.microsoft.com/office/drawing/2014/chart" uri="{C3380CC4-5D6E-409C-BE32-E72D297353CC}">
              <c16:uniqueId val="{00000006-3C89-4E13-BDB6-3903B9D76C56}"/>
            </c:ext>
          </c:extLst>
        </c:ser>
        <c:dLbls>
          <c:showLegendKey val="0"/>
          <c:showVal val="1"/>
          <c:showCatName val="0"/>
          <c:showSerName val="0"/>
          <c:showPercent val="0"/>
          <c:showBubbleSize val="0"/>
        </c:dLbls>
        <c:gapWidth val="150"/>
        <c:shape val="box"/>
        <c:axId val="-1205506272"/>
        <c:axId val="-1205497024"/>
        <c:axId val="0"/>
      </c:bar3DChart>
      <c:catAx>
        <c:axId val="-1205506272"/>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a:pPr>
            <a:endParaRPr lang="en-US"/>
          </a:p>
        </c:txPr>
        <c:crossAx val="-1205497024"/>
        <c:crosses val="autoZero"/>
        <c:auto val="1"/>
        <c:lblAlgn val="ctr"/>
        <c:lblOffset val="100"/>
        <c:noMultiLvlLbl val="0"/>
      </c:catAx>
      <c:valAx>
        <c:axId val="-1205497024"/>
        <c:scaling>
          <c:orientation val="minMax"/>
          <c:min val="0"/>
        </c:scaling>
        <c:delete val="0"/>
        <c:axPos val="l"/>
        <c:majorGridlines>
          <c:spPr>
            <a:ln w="3169">
              <a:solidFill>
                <a:srgbClr val="000000"/>
              </a:solidFill>
              <a:prstDash val="solid"/>
            </a:ln>
          </c:spPr>
        </c:majorGridlines>
        <c:numFmt formatCode="0.00%" sourceLinked="0"/>
        <c:majorTickMark val="in"/>
        <c:minorTickMark val="none"/>
        <c:tickLblPos val="nextTo"/>
        <c:spPr>
          <a:ln w="3169">
            <a:solidFill>
              <a:srgbClr val="000000"/>
            </a:solidFill>
            <a:prstDash val="solid"/>
          </a:ln>
        </c:spPr>
        <c:txPr>
          <a:bodyPr rot="0" vert="horz"/>
          <a:lstStyle/>
          <a:p>
            <a:pPr>
              <a:defRPr>
                <a:solidFill>
                  <a:sysClr val="windowText" lastClr="000000"/>
                </a:solidFill>
                <a:latin typeface="+mn-lt"/>
              </a:defRPr>
            </a:pPr>
            <a:endParaRPr lang="en-US"/>
          </a:p>
        </c:txPr>
        <c:crossAx val="-1205506272"/>
        <c:crosses val="autoZero"/>
        <c:crossBetween val="between"/>
      </c:valAx>
    </c:plotArea>
    <c:legend>
      <c:legendPos val="r"/>
      <c:legendEntry>
        <c:idx val="0"/>
        <c:txPr>
          <a:bodyPr/>
          <a:lstStyle/>
          <a:p>
            <a:pPr>
              <a:defRPr sz="1100" baseline="0">
                <a:solidFill>
                  <a:sysClr val="windowText" lastClr="000000"/>
                </a:solidFill>
                <a:latin typeface="+mn-lt"/>
              </a:defRPr>
            </a:pPr>
            <a:endParaRPr lang="en-US"/>
          </a:p>
        </c:txPr>
      </c:legendEntry>
      <c:legendEntry>
        <c:idx val="1"/>
        <c:txPr>
          <a:bodyPr/>
          <a:lstStyle/>
          <a:p>
            <a:pPr>
              <a:defRPr sz="1100" baseline="0">
                <a:solidFill>
                  <a:sysClr val="windowText" lastClr="000000"/>
                </a:solidFill>
                <a:latin typeface="+mn-lt"/>
              </a:defRPr>
            </a:pPr>
            <a:endParaRPr lang="en-US"/>
          </a:p>
        </c:txPr>
      </c:legendEntry>
      <c:layout>
        <c:manualLayout>
          <c:xMode val="edge"/>
          <c:yMode val="edge"/>
          <c:x val="0.84350906136732906"/>
          <c:y val="0.38198585038461885"/>
          <c:w val="0.14503001826743739"/>
          <c:h val="0.54939589424962854"/>
        </c:manualLayout>
      </c:layout>
      <c:overlay val="0"/>
      <c:spPr>
        <a:noFill/>
        <a:ln w="3169">
          <a:solidFill>
            <a:srgbClr val="000000"/>
          </a:solidFill>
          <a:prstDash val="solid"/>
        </a:ln>
      </c:spPr>
      <c:txPr>
        <a:bodyPr/>
        <a:lstStyle/>
        <a:p>
          <a:pPr>
            <a:defRPr sz="1100" baseline="0">
              <a:solidFill>
                <a:sysClr val="windowText" lastClr="000000"/>
              </a:solidFill>
              <a:latin typeface="+mn-lt"/>
            </a:defRPr>
          </a:pPr>
          <a:endParaRPr lang="en-US"/>
        </a:p>
      </c:txPr>
    </c:legend>
    <c:plotVisOnly val="1"/>
    <c:dispBlanksAs val="gap"/>
    <c:showDLblsOverMax val="0"/>
  </c:chart>
  <c:spPr>
    <a:solidFill>
      <a:srgbClr val="FFFFFF"/>
    </a:solidFill>
    <a:ln>
      <a:noFill/>
    </a:ln>
  </c:spPr>
  <c:txPr>
    <a:bodyPr/>
    <a:lstStyle/>
    <a:p>
      <a:pPr>
        <a:defRPr sz="1123" b="1" i="0" u="none" strike="noStrike" baseline="0">
          <a:solidFill>
            <a:srgbClr val="FF0000"/>
          </a:solidFill>
          <a:latin typeface="Arial"/>
          <a:ea typeface="Arial"/>
          <a:cs typeface="Arial"/>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solidFill>
                  <a:sysClr val="windowText" lastClr="000000"/>
                </a:solidFill>
              </a:defRPr>
            </a:pPr>
            <a:r>
              <a:rPr lang="ro-RO" sz="1300">
                <a:solidFill>
                  <a:schemeClr val="tx1"/>
                </a:solidFill>
                <a:latin typeface="+mn-lt"/>
              </a:rPr>
              <a:t>Gradul de ocupare a</a:t>
            </a:r>
            <a:r>
              <a:rPr lang="en-US" sz="1300">
                <a:solidFill>
                  <a:schemeClr val="tx1"/>
                </a:solidFill>
                <a:latin typeface="+mn-lt"/>
              </a:rPr>
              <a:t> posturilor de </a:t>
            </a:r>
            <a:r>
              <a:rPr lang="ro-RO" sz="1300">
                <a:solidFill>
                  <a:schemeClr val="tx1"/>
                </a:solidFill>
                <a:latin typeface="+mn-lt"/>
              </a:rPr>
              <a:t>procur</a:t>
            </a:r>
            <a:r>
              <a:rPr lang="en-US" sz="1300">
                <a:solidFill>
                  <a:schemeClr val="tx1"/>
                </a:solidFill>
                <a:latin typeface="+mn-lt"/>
              </a:rPr>
              <a:t>or </a:t>
            </a:r>
            <a:endParaRPr lang="ro-RO" sz="1300">
              <a:solidFill>
                <a:schemeClr val="tx1"/>
              </a:solidFill>
              <a:latin typeface="+mn-lt"/>
            </a:endParaRPr>
          </a:p>
          <a:p>
            <a:pPr>
              <a:defRPr>
                <a:solidFill>
                  <a:sysClr val="windowText" lastClr="000000"/>
                </a:solidFill>
              </a:defRPr>
            </a:pPr>
            <a:r>
              <a:rPr lang="ro-RO" sz="1300">
                <a:solidFill>
                  <a:schemeClr val="tx1"/>
                </a:solidFill>
                <a:latin typeface="+mn-lt"/>
              </a:rPr>
              <a:t>la data de 31.12.2025</a:t>
            </a:r>
            <a:endParaRPr lang="en-US" sz="1300">
              <a:solidFill>
                <a:schemeClr val="tx1"/>
              </a:solidFill>
              <a:latin typeface="+mn-lt"/>
            </a:endParaRPr>
          </a:p>
        </c:rich>
      </c:tx>
      <c:layout>
        <c:manualLayout>
          <c:xMode val="edge"/>
          <c:yMode val="edge"/>
          <c:x val="0.19654401372905309"/>
          <c:y val="6.7399227088228222E-2"/>
        </c:manualLayout>
      </c:layout>
      <c:overlay val="0"/>
      <c:spPr>
        <a:noFill/>
        <a:ln w="25349">
          <a:noFill/>
        </a:ln>
      </c:spPr>
    </c:title>
    <c:autoTitleDeleted val="0"/>
    <c:view3D>
      <c:rotX val="0"/>
      <c:rotY val="0"/>
      <c:depthPercent val="100"/>
      <c:rAngAx val="1"/>
    </c:view3D>
    <c:floor>
      <c:thickness val="0"/>
    </c:floor>
    <c:sideWall>
      <c:thickness val="0"/>
      <c:spPr>
        <a:solidFill>
          <a:srgbClr val="C0C0C0"/>
        </a:solidFill>
        <a:ln w="12675">
          <a:solidFill>
            <a:srgbClr val="808080"/>
          </a:solidFill>
          <a:prstDash val="solid"/>
        </a:ln>
      </c:spPr>
    </c:sideWall>
    <c:backWall>
      <c:thickness val="0"/>
      <c:spPr>
        <a:solidFill>
          <a:srgbClr val="C0C0C0"/>
        </a:solidFill>
        <a:ln w="12675">
          <a:solidFill>
            <a:srgbClr val="808080"/>
          </a:solidFill>
          <a:prstDash val="solid"/>
        </a:ln>
      </c:spPr>
    </c:backWall>
    <c:plotArea>
      <c:layout>
        <c:manualLayout>
          <c:layoutTarget val="inner"/>
          <c:xMode val="edge"/>
          <c:yMode val="edge"/>
          <c:x val="0.13862378806446346"/>
          <c:y val="0.28332870155936446"/>
          <c:w val="0.67012088155001992"/>
          <c:h val="0.64655423819149094"/>
        </c:manualLayout>
      </c:layout>
      <c:bar3DChart>
        <c:barDir val="col"/>
        <c:grouping val="clustered"/>
        <c:varyColors val="0"/>
        <c:ser>
          <c:idx val="0"/>
          <c:order val="0"/>
          <c:tx>
            <c:strRef>
              <c:f>Sheet1!$A$2</c:f>
              <c:strCache>
                <c:ptCount val="1"/>
                <c:pt idx="0">
                  <c:v>PÎCCJ</c:v>
                </c:pt>
              </c:strCache>
            </c:strRef>
          </c:tx>
          <c:spPr>
            <a:solidFill>
              <a:srgbClr val="9999FF"/>
            </a:solidFill>
            <a:ln w="12675">
              <a:solidFill>
                <a:srgbClr val="000000"/>
              </a:solidFill>
              <a:prstDash val="solid"/>
            </a:ln>
          </c:spPr>
          <c:invertIfNegative val="0"/>
          <c:dLbls>
            <c:dLbl>
              <c:idx val="0"/>
              <c:layout>
                <c:manualLayout>
                  <c:x val="-2.136752136752137E-3"/>
                  <c:y val="2.79524807826694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411-4BEA-9C20-33C78EF579F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Sheet1!$B$1:$B$1</c:f>
              <c:numCache>
                <c:formatCode>General</c:formatCode>
                <c:ptCount val="1"/>
              </c:numCache>
            </c:numRef>
          </c:cat>
          <c:val>
            <c:numRef>
              <c:f>Sheet1!$B$2:$B$2</c:f>
              <c:numCache>
                <c:formatCode>0.00%</c:formatCode>
                <c:ptCount val="1"/>
                <c:pt idx="0">
                  <c:v>0.77449999999999997</c:v>
                </c:pt>
              </c:numCache>
            </c:numRef>
          </c:val>
          <c:extLst>
            <c:ext xmlns:c16="http://schemas.microsoft.com/office/drawing/2014/chart" uri="{C3380CC4-5D6E-409C-BE32-E72D297353CC}">
              <c16:uniqueId val="{00000001-7411-4BEA-9C20-33C78EF579F2}"/>
            </c:ext>
          </c:extLst>
        </c:ser>
        <c:ser>
          <c:idx val="1"/>
          <c:order val="1"/>
          <c:tx>
            <c:strRef>
              <c:f>Sheet1!$A$3</c:f>
              <c:strCache>
                <c:ptCount val="1"/>
                <c:pt idx="0">
                  <c:v>PCA </c:v>
                </c:pt>
              </c:strCache>
            </c:strRef>
          </c:tx>
          <c:spPr>
            <a:solidFill>
              <a:srgbClr val="863A47"/>
            </a:solidFill>
            <a:ln w="12675">
              <a:solidFill>
                <a:srgbClr val="000000"/>
              </a:solidFill>
              <a:prstDash val="solid"/>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Sheet1!$B$1:$B$1</c:f>
              <c:numCache>
                <c:formatCode>General</c:formatCode>
                <c:ptCount val="1"/>
              </c:numCache>
            </c:numRef>
          </c:cat>
          <c:val>
            <c:numRef>
              <c:f>Sheet1!$B$3:$B$3</c:f>
              <c:numCache>
                <c:formatCode>0.00%</c:formatCode>
                <c:ptCount val="1"/>
                <c:pt idx="0">
                  <c:v>0.79920000000000002</c:v>
                </c:pt>
              </c:numCache>
            </c:numRef>
          </c:val>
          <c:extLst>
            <c:ext xmlns:c16="http://schemas.microsoft.com/office/drawing/2014/chart" uri="{C3380CC4-5D6E-409C-BE32-E72D297353CC}">
              <c16:uniqueId val="{00000002-7411-4BEA-9C20-33C78EF579F2}"/>
            </c:ext>
          </c:extLst>
        </c:ser>
        <c:ser>
          <c:idx val="2"/>
          <c:order val="2"/>
          <c:tx>
            <c:strRef>
              <c:f>Sheet1!$A$4</c:f>
              <c:strCache>
                <c:ptCount val="1"/>
                <c:pt idx="0">
                  <c:v>PT </c:v>
                </c:pt>
              </c:strCache>
            </c:strRef>
          </c:tx>
          <c:spPr>
            <a:solidFill>
              <a:srgbClr val="FFFFCC"/>
            </a:solidFill>
            <a:ln w="12675">
              <a:solidFill>
                <a:srgbClr val="000000"/>
              </a:solidFill>
              <a:prstDash val="solid"/>
            </a:ln>
          </c:spPr>
          <c:invertIfNegative val="0"/>
          <c:dLbls>
            <c:dLbl>
              <c:idx val="0"/>
              <c:layout>
                <c:manualLayout>
                  <c:x val="4.2735042735042739E-3"/>
                  <c:y val="9.31749359422306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411-4BEA-9C20-33C78EF579F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Sheet1!$B$1:$B$1</c:f>
              <c:numCache>
                <c:formatCode>General</c:formatCode>
                <c:ptCount val="1"/>
              </c:numCache>
            </c:numRef>
          </c:cat>
          <c:val>
            <c:numRef>
              <c:f>Sheet1!$B$4:$B$4</c:f>
              <c:numCache>
                <c:formatCode>0.00%</c:formatCode>
                <c:ptCount val="1"/>
                <c:pt idx="0">
                  <c:v>0.72870000000000001</c:v>
                </c:pt>
              </c:numCache>
            </c:numRef>
          </c:val>
          <c:extLst>
            <c:ext xmlns:c16="http://schemas.microsoft.com/office/drawing/2014/chart" uri="{C3380CC4-5D6E-409C-BE32-E72D297353CC}">
              <c16:uniqueId val="{00000004-7411-4BEA-9C20-33C78EF579F2}"/>
            </c:ext>
          </c:extLst>
        </c:ser>
        <c:ser>
          <c:idx val="3"/>
          <c:order val="3"/>
          <c:tx>
            <c:strRef>
              <c:f>Sheet1!$A$5</c:f>
              <c:strCache>
                <c:ptCount val="1"/>
                <c:pt idx="0">
                  <c:v>PJ </c:v>
                </c:pt>
              </c:strCache>
            </c:strRef>
          </c:tx>
          <c:spPr>
            <a:solidFill>
              <a:srgbClr val="CCFFFF"/>
            </a:solidFill>
            <a:ln w="12675">
              <a:solidFill>
                <a:srgbClr val="000000"/>
              </a:solidFill>
              <a:prstDash val="solid"/>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Sheet1!$B$1:$B$1</c:f>
              <c:numCache>
                <c:formatCode>General</c:formatCode>
                <c:ptCount val="1"/>
              </c:numCache>
            </c:numRef>
          </c:cat>
          <c:val>
            <c:numRef>
              <c:f>Sheet1!$B$5:$B$5</c:f>
              <c:numCache>
                <c:formatCode>0.00%</c:formatCode>
                <c:ptCount val="1"/>
                <c:pt idx="0">
                  <c:v>0.75319999999999998</c:v>
                </c:pt>
              </c:numCache>
            </c:numRef>
          </c:val>
          <c:extLst>
            <c:ext xmlns:c16="http://schemas.microsoft.com/office/drawing/2014/chart" uri="{C3380CC4-5D6E-409C-BE32-E72D297353CC}">
              <c16:uniqueId val="{00000005-7411-4BEA-9C20-33C78EF579F2}"/>
            </c:ext>
          </c:extLst>
        </c:ser>
        <c:dLbls>
          <c:showLegendKey val="0"/>
          <c:showVal val="1"/>
          <c:showCatName val="0"/>
          <c:showSerName val="0"/>
          <c:showPercent val="0"/>
          <c:showBubbleSize val="0"/>
        </c:dLbls>
        <c:gapWidth val="150"/>
        <c:shape val="box"/>
        <c:axId val="138310352"/>
        <c:axId val="138311440"/>
        <c:axId val="0"/>
      </c:bar3DChart>
      <c:catAx>
        <c:axId val="138310352"/>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a:pPr>
            <a:endParaRPr lang="en-US"/>
          </a:p>
        </c:txPr>
        <c:crossAx val="138311440"/>
        <c:crosses val="autoZero"/>
        <c:auto val="1"/>
        <c:lblAlgn val="ctr"/>
        <c:lblOffset val="100"/>
        <c:noMultiLvlLbl val="0"/>
      </c:catAx>
      <c:valAx>
        <c:axId val="138311440"/>
        <c:scaling>
          <c:orientation val="minMax"/>
          <c:min val="0"/>
        </c:scaling>
        <c:delete val="0"/>
        <c:axPos val="l"/>
        <c:majorGridlines>
          <c:spPr>
            <a:ln w="3169">
              <a:solidFill>
                <a:srgbClr val="000000"/>
              </a:solidFill>
              <a:prstDash val="solid"/>
            </a:ln>
          </c:spPr>
        </c:majorGridlines>
        <c:numFmt formatCode="0.00%" sourceLinked="0"/>
        <c:majorTickMark val="in"/>
        <c:minorTickMark val="none"/>
        <c:tickLblPos val="nextTo"/>
        <c:spPr>
          <a:ln w="3169">
            <a:solidFill>
              <a:srgbClr val="000000"/>
            </a:solidFill>
            <a:prstDash val="solid"/>
          </a:ln>
        </c:spPr>
        <c:txPr>
          <a:bodyPr rot="0" vert="horz"/>
          <a:lstStyle/>
          <a:p>
            <a:pPr>
              <a:defRPr/>
            </a:pPr>
            <a:endParaRPr lang="en-US"/>
          </a:p>
        </c:txPr>
        <c:crossAx val="138310352"/>
        <c:crosses val="autoZero"/>
        <c:crossBetween val="between"/>
      </c:valAx>
    </c:plotArea>
    <c:legend>
      <c:legendPos val="r"/>
      <c:layout>
        <c:manualLayout>
          <c:xMode val="edge"/>
          <c:yMode val="edge"/>
          <c:x val="0.84350906136732906"/>
          <c:y val="0.38198585038461885"/>
          <c:w val="0.10957680289963756"/>
          <c:h val="0.27396706899526857"/>
        </c:manualLayout>
      </c:layout>
      <c:overlay val="0"/>
      <c:spPr>
        <a:noFill/>
        <a:ln w="3169">
          <a:solidFill>
            <a:srgbClr val="000000"/>
          </a:solidFill>
          <a:prstDash val="solid"/>
        </a:ln>
      </c:spPr>
      <c:txPr>
        <a:bodyPr/>
        <a:lstStyle/>
        <a:p>
          <a:pPr>
            <a:defRPr>
              <a:latin typeface="+mn-lt"/>
            </a:defRPr>
          </a:pPr>
          <a:endParaRPr lang="en-US"/>
        </a:p>
      </c:txPr>
    </c:legend>
    <c:plotVisOnly val="1"/>
    <c:dispBlanksAs val="gap"/>
    <c:showDLblsOverMax val="0"/>
  </c:chart>
  <c:spPr>
    <a:solidFill>
      <a:srgbClr val="FFFFFF"/>
    </a:solidFill>
    <a:ln>
      <a:noFill/>
    </a:ln>
  </c:spPr>
  <c:txPr>
    <a:bodyPr/>
    <a:lstStyle/>
    <a:p>
      <a:pPr>
        <a:defRPr sz="1123" b="1" i="0" u="none" strike="noStrike" baseline="0">
          <a:solidFill>
            <a:sysClr val="windowText" lastClr="000000"/>
          </a:solidFill>
          <a:latin typeface="Arial"/>
          <a:ea typeface="Arial"/>
          <a:cs typeface="Aria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'Structura Ch_an'!$AJ$4:$AK$4</c:f>
              <c:strCache>
                <c:ptCount val="2"/>
                <c:pt idx="0">
                  <c:v>2024</c:v>
                </c:pt>
                <c:pt idx="1">
                  <c:v>CA</c:v>
                </c:pt>
              </c:strCache>
            </c:strRef>
          </c:tx>
          <c:spPr>
            <a:solidFill>
              <a:schemeClr val="accent1"/>
            </a:solidFill>
            <a:ln>
              <a:noFill/>
            </a:ln>
            <a:effectLst/>
            <a:sp3d/>
          </c:spPr>
          <c:invertIfNegative val="0"/>
          <c:cat>
            <c:strRef>
              <c:f>'Structura Ch_an'!$AL$3:$AU$3</c:f>
              <c:strCache>
                <c:ptCount val="10"/>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Proiecte cu finanțate din sumele reprezentând asistență financiară </c:v>
                </c:pt>
                <c:pt idx="9">
                  <c:v>Cheltuieli de capital</c:v>
                </c:pt>
              </c:strCache>
            </c:strRef>
          </c:cat>
          <c:val>
            <c:numRef>
              <c:f>'Structura Ch_an'!$AL$4:$AU$4</c:f>
              <c:numCache>
                <c:formatCode>#,##0</c:formatCode>
                <c:ptCount val="10"/>
                <c:pt idx="0">
                  <c:v>143169</c:v>
                </c:pt>
                <c:pt idx="1">
                  <c:v>127172</c:v>
                </c:pt>
                <c:pt idx="2">
                  <c:v>10581</c:v>
                </c:pt>
                <c:pt idx="3">
                  <c:v>0</c:v>
                </c:pt>
                <c:pt idx="4">
                  <c:v>67</c:v>
                </c:pt>
                <c:pt idx="5">
                  <c:v>35</c:v>
                </c:pt>
                <c:pt idx="6">
                  <c:v>2856</c:v>
                </c:pt>
                <c:pt idx="7">
                  <c:v>557</c:v>
                </c:pt>
                <c:pt idx="8">
                  <c:v>658</c:v>
                </c:pt>
                <c:pt idx="9">
                  <c:v>1243</c:v>
                </c:pt>
              </c:numCache>
            </c:numRef>
          </c:val>
          <c:extLst>
            <c:ext xmlns:c16="http://schemas.microsoft.com/office/drawing/2014/chart" uri="{C3380CC4-5D6E-409C-BE32-E72D297353CC}">
              <c16:uniqueId val="{00000000-49CB-4CA5-B9D6-393D8DC6B119}"/>
            </c:ext>
          </c:extLst>
        </c:ser>
        <c:ser>
          <c:idx val="1"/>
          <c:order val="1"/>
          <c:tx>
            <c:strRef>
              <c:f>'Structura Ch_an'!$AJ$5:$AK$5</c:f>
              <c:strCache>
                <c:ptCount val="2"/>
                <c:pt idx="0">
                  <c:v>2024</c:v>
                </c:pt>
                <c:pt idx="1">
                  <c:v>CB</c:v>
                </c:pt>
              </c:strCache>
            </c:strRef>
          </c:tx>
          <c:spPr>
            <a:solidFill>
              <a:schemeClr val="accent2"/>
            </a:solidFill>
            <a:ln>
              <a:noFill/>
            </a:ln>
            <a:effectLst/>
            <a:sp3d/>
          </c:spPr>
          <c:invertIfNegative val="0"/>
          <c:cat>
            <c:strRef>
              <c:f>'Structura Ch_an'!$AL$3:$AU$3</c:f>
              <c:strCache>
                <c:ptCount val="10"/>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Proiecte cu finanțate din sumele reprezentând asistență financiară </c:v>
                </c:pt>
                <c:pt idx="9">
                  <c:v>Cheltuieli de capital</c:v>
                </c:pt>
              </c:strCache>
            </c:strRef>
          </c:cat>
          <c:val>
            <c:numRef>
              <c:f>'Structura Ch_an'!$AL$5:$AU$5</c:f>
              <c:numCache>
                <c:formatCode>#,##0</c:formatCode>
                <c:ptCount val="10"/>
                <c:pt idx="0">
                  <c:v>143009</c:v>
                </c:pt>
                <c:pt idx="1">
                  <c:v>127172</c:v>
                </c:pt>
                <c:pt idx="2">
                  <c:v>10421</c:v>
                </c:pt>
                <c:pt idx="3">
                  <c:v>0</c:v>
                </c:pt>
                <c:pt idx="4">
                  <c:v>67</c:v>
                </c:pt>
                <c:pt idx="5">
                  <c:v>35</c:v>
                </c:pt>
                <c:pt idx="6">
                  <c:v>2856</c:v>
                </c:pt>
                <c:pt idx="7">
                  <c:v>557</c:v>
                </c:pt>
                <c:pt idx="8">
                  <c:v>658</c:v>
                </c:pt>
                <c:pt idx="9">
                  <c:v>1243</c:v>
                </c:pt>
              </c:numCache>
            </c:numRef>
          </c:val>
          <c:extLst>
            <c:ext xmlns:c16="http://schemas.microsoft.com/office/drawing/2014/chart" uri="{C3380CC4-5D6E-409C-BE32-E72D297353CC}">
              <c16:uniqueId val="{00000001-49CB-4CA5-B9D6-393D8DC6B119}"/>
            </c:ext>
          </c:extLst>
        </c:ser>
        <c:ser>
          <c:idx val="2"/>
          <c:order val="2"/>
          <c:tx>
            <c:strRef>
              <c:f>'Structura Ch_an'!$AJ$6:$AK$6</c:f>
              <c:strCache>
                <c:ptCount val="2"/>
                <c:pt idx="0">
                  <c:v>2025</c:v>
                </c:pt>
                <c:pt idx="1">
                  <c:v>CA</c:v>
                </c:pt>
              </c:strCache>
            </c:strRef>
          </c:tx>
          <c:spPr>
            <a:solidFill>
              <a:schemeClr val="accent3"/>
            </a:solidFill>
            <a:ln>
              <a:noFill/>
            </a:ln>
            <a:effectLst/>
            <a:sp3d/>
          </c:spPr>
          <c:invertIfNegative val="0"/>
          <c:cat>
            <c:strRef>
              <c:f>'Structura Ch_an'!$AL$3:$AU$3</c:f>
              <c:strCache>
                <c:ptCount val="10"/>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Proiecte cu finanțate din sumele reprezentând asistență financiară </c:v>
                </c:pt>
                <c:pt idx="9">
                  <c:v>Cheltuieli de capital</c:v>
                </c:pt>
              </c:strCache>
            </c:strRef>
          </c:cat>
          <c:val>
            <c:numRef>
              <c:f>'Structura Ch_an'!$AL$6:$AU$6</c:f>
              <c:numCache>
                <c:formatCode>#,##0</c:formatCode>
                <c:ptCount val="10"/>
                <c:pt idx="0">
                  <c:v>120318</c:v>
                </c:pt>
                <c:pt idx="1">
                  <c:v>104351</c:v>
                </c:pt>
                <c:pt idx="2">
                  <c:v>9770</c:v>
                </c:pt>
                <c:pt idx="3">
                  <c:v>0</c:v>
                </c:pt>
                <c:pt idx="4">
                  <c:v>54</c:v>
                </c:pt>
                <c:pt idx="5">
                  <c:v>4537</c:v>
                </c:pt>
                <c:pt idx="6">
                  <c:v>205</c:v>
                </c:pt>
                <c:pt idx="7">
                  <c:v>580</c:v>
                </c:pt>
                <c:pt idx="8">
                  <c:v>635</c:v>
                </c:pt>
                <c:pt idx="9">
                  <c:v>186</c:v>
                </c:pt>
              </c:numCache>
            </c:numRef>
          </c:val>
          <c:extLst>
            <c:ext xmlns:c16="http://schemas.microsoft.com/office/drawing/2014/chart" uri="{C3380CC4-5D6E-409C-BE32-E72D297353CC}">
              <c16:uniqueId val="{00000002-49CB-4CA5-B9D6-393D8DC6B119}"/>
            </c:ext>
          </c:extLst>
        </c:ser>
        <c:ser>
          <c:idx val="3"/>
          <c:order val="3"/>
          <c:tx>
            <c:strRef>
              <c:f>'Structura Ch_an'!$AJ$7:$AK$7</c:f>
              <c:strCache>
                <c:ptCount val="2"/>
                <c:pt idx="0">
                  <c:v>2025</c:v>
                </c:pt>
                <c:pt idx="1">
                  <c:v>CB</c:v>
                </c:pt>
              </c:strCache>
            </c:strRef>
          </c:tx>
          <c:spPr>
            <a:solidFill>
              <a:schemeClr val="accent4"/>
            </a:solidFill>
            <a:ln>
              <a:noFill/>
            </a:ln>
            <a:effectLst/>
            <a:sp3d/>
          </c:spPr>
          <c:invertIfNegative val="0"/>
          <c:cat>
            <c:strRef>
              <c:f>'Structura Ch_an'!$AL$3:$AU$3</c:f>
              <c:strCache>
                <c:ptCount val="10"/>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Proiecte cu finanțate din sumele reprezentând asistență financiară </c:v>
                </c:pt>
                <c:pt idx="9">
                  <c:v>Cheltuieli de capital</c:v>
                </c:pt>
              </c:strCache>
            </c:strRef>
          </c:cat>
          <c:val>
            <c:numRef>
              <c:f>'Structura Ch_an'!$AL$7:$AU$7</c:f>
              <c:numCache>
                <c:formatCode>#,##0</c:formatCode>
                <c:ptCount val="10"/>
                <c:pt idx="0">
                  <c:v>117681</c:v>
                </c:pt>
                <c:pt idx="1">
                  <c:v>104351</c:v>
                </c:pt>
                <c:pt idx="2">
                  <c:v>9770</c:v>
                </c:pt>
                <c:pt idx="3">
                  <c:v>0</c:v>
                </c:pt>
                <c:pt idx="4">
                  <c:v>54</c:v>
                </c:pt>
                <c:pt idx="5">
                  <c:v>1900</c:v>
                </c:pt>
                <c:pt idx="6">
                  <c:v>205</c:v>
                </c:pt>
                <c:pt idx="7">
                  <c:v>580</c:v>
                </c:pt>
                <c:pt idx="8">
                  <c:v>635</c:v>
                </c:pt>
                <c:pt idx="9">
                  <c:v>186</c:v>
                </c:pt>
              </c:numCache>
            </c:numRef>
          </c:val>
          <c:extLst>
            <c:ext xmlns:c16="http://schemas.microsoft.com/office/drawing/2014/chart" uri="{C3380CC4-5D6E-409C-BE32-E72D297353CC}">
              <c16:uniqueId val="{00000003-49CB-4CA5-B9D6-393D8DC6B119}"/>
            </c:ext>
          </c:extLst>
        </c:ser>
        <c:ser>
          <c:idx val="4"/>
          <c:order val="4"/>
          <c:tx>
            <c:strRef>
              <c:f>'Structura Ch_an'!$AJ$8:$AK$8</c:f>
              <c:strCache>
                <c:ptCount val="2"/>
                <c:pt idx="0">
                  <c:v>2026</c:v>
                </c:pt>
                <c:pt idx="1">
                  <c:v>CA</c:v>
                </c:pt>
              </c:strCache>
            </c:strRef>
          </c:tx>
          <c:spPr>
            <a:solidFill>
              <a:schemeClr val="accent5"/>
            </a:solidFill>
            <a:ln>
              <a:noFill/>
            </a:ln>
            <a:effectLst/>
            <a:sp3d/>
          </c:spPr>
          <c:invertIfNegative val="0"/>
          <c:cat>
            <c:strRef>
              <c:f>'Structura Ch_an'!$AL$3:$AU$3</c:f>
              <c:strCache>
                <c:ptCount val="10"/>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Proiecte cu finanțate din sumele reprezentând asistență financiară </c:v>
                </c:pt>
                <c:pt idx="9">
                  <c:v>Cheltuieli de capital</c:v>
                </c:pt>
              </c:strCache>
            </c:strRef>
          </c:cat>
          <c:val>
            <c:numRef>
              <c:f>'Structura Ch_an'!$AL$8:$AU$8</c:f>
              <c:numCache>
                <c:formatCode>#,##0</c:formatCode>
                <c:ptCount val="10"/>
                <c:pt idx="0">
                  <c:v>157041</c:v>
                </c:pt>
                <c:pt idx="1">
                  <c:v>127971</c:v>
                </c:pt>
                <c:pt idx="2">
                  <c:v>15151</c:v>
                </c:pt>
                <c:pt idx="3">
                  <c:v>0</c:v>
                </c:pt>
                <c:pt idx="4">
                  <c:v>52</c:v>
                </c:pt>
                <c:pt idx="5">
                  <c:v>10914</c:v>
                </c:pt>
                <c:pt idx="6">
                  <c:v>997</c:v>
                </c:pt>
                <c:pt idx="7">
                  <c:v>1355</c:v>
                </c:pt>
                <c:pt idx="8">
                  <c:v>0</c:v>
                </c:pt>
                <c:pt idx="9">
                  <c:v>601</c:v>
                </c:pt>
              </c:numCache>
            </c:numRef>
          </c:val>
          <c:extLst>
            <c:ext xmlns:c16="http://schemas.microsoft.com/office/drawing/2014/chart" uri="{C3380CC4-5D6E-409C-BE32-E72D297353CC}">
              <c16:uniqueId val="{00000004-49CB-4CA5-B9D6-393D8DC6B119}"/>
            </c:ext>
          </c:extLst>
        </c:ser>
        <c:ser>
          <c:idx val="5"/>
          <c:order val="5"/>
          <c:tx>
            <c:strRef>
              <c:f>'Structura Ch_an'!$AJ$9:$AK$9</c:f>
              <c:strCache>
                <c:ptCount val="2"/>
                <c:pt idx="0">
                  <c:v>2026</c:v>
                </c:pt>
                <c:pt idx="1">
                  <c:v>CB</c:v>
                </c:pt>
              </c:strCache>
            </c:strRef>
          </c:tx>
          <c:spPr>
            <a:solidFill>
              <a:schemeClr val="accent6"/>
            </a:solidFill>
            <a:ln>
              <a:noFill/>
            </a:ln>
            <a:effectLst/>
            <a:sp3d/>
          </c:spPr>
          <c:invertIfNegative val="0"/>
          <c:cat>
            <c:strRef>
              <c:f>'Structura Ch_an'!$AL$3:$AU$3</c:f>
              <c:strCache>
                <c:ptCount val="10"/>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Proiecte cu finanțate din sumele reprezentând asistență financiară </c:v>
                </c:pt>
                <c:pt idx="9">
                  <c:v>Cheltuieli de capital</c:v>
                </c:pt>
              </c:strCache>
            </c:strRef>
          </c:cat>
          <c:val>
            <c:numRef>
              <c:f>'Structura Ch_an'!$AL$9:$AU$9</c:f>
              <c:numCache>
                <c:formatCode>#,##0</c:formatCode>
                <c:ptCount val="10"/>
                <c:pt idx="0">
                  <c:v>149708</c:v>
                </c:pt>
                <c:pt idx="1">
                  <c:v>127971</c:v>
                </c:pt>
                <c:pt idx="2">
                  <c:v>15151</c:v>
                </c:pt>
                <c:pt idx="3">
                  <c:v>0</c:v>
                </c:pt>
                <c:pt idx="4">
                  <c:v>52</c:v>
                </c:pt>
                <c:pt idx="5">
                  <c:v>3581</c:v>
                </c:pt>
                <c:pt idx="6">
                  <c:v>997</c:v>
                </c:pt>
                <c:pt idx="7">
                  <c:v>1355</c:v>
                </c:pt>
                <c:pt idx="8">
                  <c:v>0</c:v>
                </c:pt>
                <c:pt idx="9">
                  <c:v>601</c:v>
                </c:pt>
              </c:numCache>
            </c:numRef>
          </c:val>
          <c:extLst>
            <c:ext xmlns:c16="http://schemas.microsoft.com/office/drawing/2014/chart" uri="{C3380CC4-5D6E-409C-BE32-E72D297353CC}">
              <c16:uniqueId val="{00000005-49CB-4CA5-B9D6-393D8DC6B119}"/>
            </c:ext>
          </c:extLst>
        </c:ser>
        <c:dLbls>
          <c:showLegendKey val="0"/>
          <c:showVal val="0"/>
          <c:showCatName val="0"/>
          <c:showSerName val="0"/>
          <c:showPercent val="0"/>
          <c:showBubbleSize val="0"/>
        </c:dLbls>
        <c:gapWidth val="150"/>
        <c:shape val="box"/>
        <c:axId val="568957520"/>
        <c:axId val="568948816"/>
        <c:axId val="553175376"/>
      </c:bar3DChart>
      <c:catAx>
        <c:axId val="5689575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68948816"/>
        <c:crosses val="autoZero"/>
        <c:auto val="1"/>
        <c:lblAlgn val="ctr"/>
        <c:lblOffset val="100"/>
        <c:noMultiLvlLbl val="0"/>
      </c:catAx>
      <c:valAx>
        <c:axId val="5689488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8957520"/>
        <c:crosses val="autoZero"/>
        <c:crossBetween val="between"/>
      </c:valAx>
      <c:serAx>
        <c:axId val="553175376"/>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8948816"/>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401159230096238"/>
          <c:y val="0.12637175561388159"/>
          <c:w val="0.75966185476815395"/>
          <c:h val="0.45581000291630214"/>
        </c:manualLayout>
      </c:layout>
      <c:bar3DChart>
        <c:barDir val="col"/>
        <c:grouping val="standard"/>
        <c:varyColors val="0"/>
        <c:ser>
          <c:idx val="0"/>
          <c:order val="0"/>
          <c:tx>
            <c:strRef>
              <c:f>'Structura Ch_an'!$O$71:$P$71</c:f>
              <c:strCache>
                <c:ptCount val="2"/>
                <c:pt idx="0">
                  <c:v>2024</c:v>
                </c:pt>
                <c:pt idx="1">
                  <c:v>CA</c:v>
                </c:pt>
              </c:strCache>
            </c:strRef>
          </c:tx>
          <c:spPr>
            <a:solidFill>
              <a:schemeClr val="accent1"/>
            </a:solidFill>
            <a:ln>
              <a:noFill/>
            </a:ln>
            <a:effectLst/>
            <a:sp3d/>
          </c:spPr>
          <c:invertIfNegative val="0"/>
          <c:cat>
            <c:strRef>
              <c:f>'Structura Ch_an'!$Q$70:$X$70</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Ch_an'!$Q$71:$X$71</c:f>
              <c:numCache>
                <c:formatCode>#,##0</c:formatCode>
                <c:ptCount val="8"/>
                <c:pt idx="0">
                  <c:v>52679</c:v>
                </c:pt>
                <c:pt idx="1">
                  <c:v>49466</c:v>
                </c:pt>
                <c:pt idx="2">
                  <c:v>2813</c:v>
                </c:pt>
                <c:pt idx="3">
                  <c:v>0</c:v>
                </c:pt>
                <c:pt idx="4">
                  <c:v>0</c:v>
                </c:pt>
                <c:pt idx="5">
                  <c:v>0</c:v>
                </c:pt>
                <c:pt idx="6">
                  <c:v>265</c:v>
                </c:pt>
                <c:pt idx="7">
                  <c:v>135</c:v>
                </c:pt>
              </c:numCache>
            </c:numRef>
          </c:val>
          <c:extLst>
            <c:ext xmlns:c16="http://schemas.microsoft.com/office/drawing/2014/chart" uri="{C3380CC4-5D6E-409C-BE32-E72D297353CC}">
              <c16:uniqueId val="{00000000-FC79-416F-8A56-17297966A7AE}"/>
            </c:ext>
          </c:extLst>
        </c:ser>
        <c:ser>
          <c:idx val="1"/>
          <c:order val="1"/>
          <c:tx>
            <c:strRef>
              <c:f>'Structura Ch_an'!$O$72:$P$72</c:f>
              <c:strCache>
                <c:ptCount val="2"/>
                <c:pt idx="0">
                  <c:v>2024</c:v>
                </c:pt>
                <c:pt idx="1">
                  <c:v>CB</c:v>
                </c:pt>
              </c:strCache>
            </c:strRef>
          </c:tx>
          <c:spPr>
            <a:solidFill>
              <a:schemeClr val="accent2"/>
            </a:solidFill>
            <a:ln>
              <a:noFill/>
            </a:ln>
            <a:effectLst/>
            <a:sp3d/>
          </c:spPr>
          <c:invertIfNegative val="0"/>
          <c:cat>
            <c:strRef>
              <c:f>'Structura Ch_an'!$Q$70:$X$70</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Ch_an'!$Q$72:$X$72</c:f>
              <c:numCache>
                <c:formatCode>#,##0</c:formatCode>
                <c:ptCount val="8"/>
                <c:pt idx="0">
                  <c:v>52355</c:v>
                </c:pt>
                <c:pt idx="1">
                  <c:v>49466</c:v>
                </c:pt>
                <c:pt idx="2">
                  <c:v>2489</c:v>
                </c:pt>
                <c:pt idx="3">
                  <c:v>0</c:v>
                </c:pt>
                <c:pt idx="4">
                  <c:v>0</c:v>
                </c:pt>
                <c:pt idx="5">
                  <c:v>0</c:v>
                </c:pt>
                <c:pt idx="6">
                  <c:v>265</c:v>
                </c:pt>
                <c:pt idx="7">
                  <c:v>135</c:v>
                </c:pt>
              </c:numCache>
            </c:numRef>
          </c:val>
          <c:extLst>
            <c:ext xmlns:c16="http://schemas.microsoft.com/office/drawing/2014/chart" uri="{C3380CC4-5D6E-409C-BE32-E72D297353CC}">
              <c16:uniqueId val="{00000001-FC79-416F-8A56-17297966A7AE}"/>
            </c:ext>
          </c:extLst>
        </c:ser>
        <c:ser>
          <c:idx val="2"/>
          <c:order val="2"/>
          <c:tx>
            <c:strRef>
              <c:f>'Structura Ch_an'!$O$73:$P$73</c:f>
              <c:strCache>
                <c:ptCount val="2"/>
                <c:pt idx="0">
                  <c:v>2025</c:v>
                </c:pt>
                <c:pt idx="1">
                  <c:v>CA</c:v>
                </c:pt>
              </c:strCache>
            </c:strRef>
          </c:tx>
          <c:spPr>
            <a:solidFill>
              <a:schemeClr val="accent3"/>
            </a:solidFill>
            <a:ln>
              <a:noFill/>
            </a:ln>
            <a:effectLst/>
            <a:sp3d/>
          </c:spPr>
          <c:invertIfNegative val="0"/>
          <c:cat>
            <c:strRef>
              <c:f>'Structura Ch_an'!$Q$70:$X$70</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Ch_an'!$Q$73:$X$73</c:f>
              <c:numCache>
                <c:formatCode>#,##0</c:formatCode>
                <c:ptCount val="8"/>
                <c:pt idx="0">
                  <c:v>44258</c:v>
                </c:pt>
                <c:pt idx="1">
                  <c:v>41420</c:v>
                </c:pt>
                <c:pt idx="2">
                  <c:v>2406</c:v>
                </c:pt>
                <c:pt idx="3">
                  <c:v>0</c:v>
                </c:pt>
                <c:pt idx="4">
                  <c:v>22</c:v>
                </c:pt>
                <c:pt idx="5">
                  <c:v>0</c:v>
                </c:pt>
                <c:pt idx="6">
                  <c:v>270</c:v>
                </c:pt>
                <c:pt idx="7">
                  <c:v>140</c:v>
                </c:pt>
              </c:numCache>
            </c:numRef>
          </c:val>
          <c:extLst>
            <c:ext xmlns:c16="http://schemas.microsoft.com/office/drawing/2014/chart" uri="{C3380CC4-5D6E-409C-BE32-E72D297353CC}">
              <c16:uniqueId val="{00000002-FC79-416F-8A56-17297966A7AE}"/>
            </c:ext>
          </c:extLst>
        </c:ser>
        <c:ser>
          <c:idx val="3"/>
          <c:order val="3"/>
          <c:tx>
            <c:strRef>
              <c:f>'Structura Ch_an'!$O$74:$P$74</c:f>
              <c:strCache>
                <c:ptCount val="2"/>
                <c:pt idx="0">
                  <c:v>2025</c:v>
                </c:pt>
                <c:pt idx="1">
                  <c:v>CB</c:v>
                </c:pt>
              </c:strCache>
            </c:strRef>
          </c:tx>
          <c:spPr>
            <a:solidFill>
              <a:schemeClr val="accent4"/>
            </a:solidFill>
            <a:ln>
              <a:noFill/>
            </a:ln>
            <a:effectLst/>
            <a:sp3d/>
          </c:spPr>
          <c:invertIfNegative val="0"/>
          <c:cat>
            <c:strRef>
              <c:f>'Structura Ch_an'!$Q$70:$X$70</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Ch_an'!$Q$74:$X$74</c:f>
              <c:numCache>
                <c:formatCode>#,##0</c:formatCode>
                <c:ptCount val="8"/>
                <c:pt idx="0">
                  <c:v>44258</c:v>
                </c:pt>
                <c:pt idx="1">
                  <c:v>41420</c:v>
                </c:pt>
                <c:pt idx="2">
                  <c:v>2406</c:v>
                </c:pt>
                <c:pt idx="3">
                  <c:v>0</c:v>
                </c:pt>
                <c:pt idx="4">
                  <c:v>22</c:v>
                </c:pt>
                <c:pt idx="5">
                  <c:v>0</c:v>
                </c:pt>
                <c:pt idx="6">
                  <c:v>270</c:v>
                </c:pt>
                <c:pt idx="7">
                  <c:v>140</c:v>
                </c:pt>
              </c:numCache>
            </c:numRef>
          </c:val>
          <c:extLst>
            <c:ext xmlns:c16="http://schemas.microsoft.com/office/drawing/2014/chart" uri="{C3380CC4-5D6E-409C-BE32-E72D297353CC}">
              <c16:uniqueId val="{00000003-FC79-416F-8A56-17297966A7AE}"/>
            </c:ext>
          </c:extLst>
        </c:ser>
        <c:ser>
          <c:idx val="4"/>
          <c:order val="4"/>
          <c:tx>
            <c:strRef>
              <c:f>'Structura Ch_an'!$O$75:$P$75</c:f>
              <c:strCache>
                <c:ptCount val="2"/>
                <c:pt idx="0">
                  <c:v>2 026</c:v>
                </c:pt>
                <c:pt idx="1">
                  <c:v>CA</c:v>
                </c:pt>
              </c:strCache>
            </c:strRef>
          </c:tx>
          <c:spPr>
            <a:solidFill>
              <a:schemeClr val="accent5"/>
            </a:solidFill>
            <a:ln>
              <a:noFill/>
            </a:ln>
            <a:effectLst/>
            <a:sp3d/>
          </c:spPr>
          <c:invertIfNegative val="0"/>
          <c:cat>
            <c:strRef>
              <c:f>'Structura Ch_an'!$Q$70:$X$70</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Ch_an'!$Q$75:$X$75</c:f>
              <c:numCache>
                <c:formatCode>#,##0</c:formatCode>
                <c:ptCount val="8"/>
                <c:pt idx="0">
                  <c:v>76276</c:v>
                </c:pt>
                <c:pt idx="1">
                  <c:v>68266</c:v>
                </c:pt>
                <c:pt idx="2">
                  <c:v>3609</c:v>
                </c:pt>
                <c:pt idx="3">
                  <c:v>0</c:v>
                </c:pt>
                <c:pt idx="4">
                  <c:v>26</c:v>
                </c:pt>
                <c:pt idx="5">
                  <c:v>0</c:v>
                </c:pt>
                <c:pt idx="6">
                  <c:v>3151</c:v>
                </c:pt>
                <c:pt idx="7">
                  <c:v>1224</c:v>
                </c:pt>
              </c:numCache>
            </c:numRef>
          </c:val>
          <c:extLst>
            <c:ext xmlns:c16="http://schemas.microsoft.com/office/drawing/2014/chart" uri="{C3380CC4-5D6E-409C-BE32-E72D297353CC}">
              <c16:uniqueId val="{00000004-FC79-416F-8A56-17297966A7AE}"/>
            </c:ext>
          </c:extLst>
        </c:ser>
        <c:ser>
          <c:idx val="5"/>
          <c:order val="5"/>
          <c:tx>
            <c:strRef>
              <c:f>'Structura Ch_an'!$O$76:$P$76</c:f>
              <c:strCache>
                <c:ptCount val="2"/>
                <c:pt idx="0">
                  <c:v>2 026</c:v>
                </c:pt>
                <c:pt idx="1">
                  <c:v>CB</c:v>
                </c:pt>
              </c:strCache>
            </c:strRef>
          </c:tx>
          <c:spPr>
            <a:solidFill>
              <a:schemeClr val="accent6"/>
            </a:solidFill>
            <a:ln>
              <a:noFill/>
            </a:ln>
            <a:effectLst/>
            <a:sp3d/>
          </c:spPr>
          <c:invertIfNegative val="0"/>
          <c:cat>
            <c:strRef>
              <c:f>'Structura Ch_an'!$Q$70:$X$70</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Ch_an'!$Q$76:$X$76</c:f>
              <c:numCache>
                <c:formatCode>#,##0</c:formatCode>
                <c:ptCount val="8"/>
                <c:pt idx="0">
                  <c:v>76276</c:v>
                </c:pt>
                <c:pt idx="1">
                  <c:v>68266</c:v>
                </c:pt>
                <c:pt idx="2">
                  <c:v>3609</c:v>
                </c:pt>
                <c:pt idx="3">
                  <c:v>0</c:v>
                </c:pt>
                <c:pt idx="4">
                  <c:v>26</c:v>
                </c:pt>
                <c:pt idx="5">
                  <c:v>0</c:v>
                </c:pt>
                <c:pt idx="6">
                  <c:v>3151</c:v>
                </c:pt>
                <c:pt idx="7">
                  <c:v>1224</c:v>
                </c:pt>
              </c:numCache>
            </c:numRef>
          </c:val>
          <c:extLst>
            <c:ext xmlns:c16="http://schemas.microsoft.com/office/drawing/2014/chart" uri="{C3380CC4-5D6E-409C-BE32-E72D297353CC}">
              <c16:uniqueId val="{00000005-FC79-416F-8A56-17297966A7AE}"/>
            </c:ext>
          </c:extLst>
        </c:ser>
        <c:dLbls>
          <c:showLegendKey val="0"/>
          <c:showVal val="0"/>
          <c:showCatName val="0"/>
          <c:showSerName val="0"/>
          <c:showPercent val="0"/>
          <c:showBubbleSize val="0"/>
        </c:dLbls>
        <c:gapWidth val="150"/>
        <c:shape val="box"/>
        <c:axId val="772557263"/>
        <c:axId val="937841007"/>
        <c:axId val="318158303"/>
      </c:bar3DChart>
      <c:catAx>
        <c:axId val="77255726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7841007"/>
        <c:crosses val="autoZero"/>
        <c:auto val="1"/>
        <c:lblAlgn val="ctr"/>
        <c:lblOffset val="100"/>
        <c:noMultiLvlLbl val="0"/>
      </c:catAx>
      <c:valAx>
        <c:axId val="93784100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2557263"/>
        <c:crosses val="autoZero"/>
        <c:crossBetween val="between"/>
      </c:valAx>
      <c:serAx>
        <c:axId val="318158303"/>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7841007"/>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'Structura Ch_an'!$O$25:$P$25</c:f>
              <c:strCache>
                <c:ptCount val="2"/>
                <c:pt idx="0">
                  <c:v>2024</c:v>
                </c:pt>
                <c:pt idx="1">
                  <c:v>CA</c:v>
                </c:pt>
              </c:strCache>
            </c:strRef>
          </c:tx>
          <c:spPr>
            <a:solidFill>
              <a:schemeClr val="accent1"/>
            </a:solidFill>
            <a:ln>
              <a:noFill/>
            </a:ln>
            <a:effectLst/>
            <a:sp3d/>
          </c:spPr>
          <c:invertIfNegative val="0"/>
          <c:cat>
            <c:strRef>
              <c:f>'Structura Ch_an'!$Q$24:$Y$24</c:f>
              <c:strCache>
                <c:ptCount val="9"/>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Cheltuieli de capital</c:v>
                </c:pt>
              </c:strCache>
            </c:strRef>
          </c:cat>
          <c:val>
            <c:numRef>
              <c:f>'Structura Ch_an'!$Q$25:$Y$25</c:f>
              <c:numCache>
                <c:formatCode>#,##0</c:formatCode>
                <c:ptCount val="9"/>
                <c:pt idx="0">
                  <c:v>102809</c:v>
                </c:pt>
                <c:pt idx="1">
                  <c:v>44583</c:v>
                </c:pt>
                <c:pt idx="2">
                  <c:v>6166</c:v>
                </c:pt>
                <c:pt idx="3">
                  <c:v>16</c:v>
                </c:pt>
                <c:pt idx="4">
                  <c:v>26</c:v>
                </c:pt>
                <c:pt idx="5">
                  <c:v>0</c:v>
                </c:pt>
                <c:pt idx="6">
                  <c:v>465</c:v>
                </c:pt>
                <c:pt idx="7">
                  <c:v>51526</c:v>
                </c:pt>
                <c:pt idx="8">
                  <c:v>27</c:v>
                </c:pt>
              </c:numCache>
            </c:numRef>
          </c:val>
          <c:extLst>
            <c:ext xmlns:c16="http://schemas.microsoft.com/office/drawing/2014/chart" uri="{C3380CC4-5D6E-409C-BE32-E72D297353CC}">
              <c16:uniqueId val="{00000000-BFC1-4EEF-81AE-4EAD229F14EE}"/>
            </c:ext>
          </c:extLst>
        </c:ser>
        <c:ser>
          <c:idx val="1"/>
          <c:order val="1"/>
          <c:tx>
            <c:strRef>
              <c:f>'Structura Ch_an'!$O$26:$P$26</c:f>
              <c:strCache>
                <c:ptCount val="2"/>
                <c:pt idx="0">
                  <c:v>2024</c:v>
                </c:pt>
                <c:pt idx="1">
                  <c:v>CB</c:v>
                </c:pt>
              </c:strCache>
            </c:strRef>
          </c:tx>
          <c:spPr>
            <a:solidFill>
              <a:schemeClr val="accent2"/>
            </a:solidFill>
            <a:ln>
              <a:noFill/>
            </a:ln>
            <a:effectLst/>
            <a:sp3d/>
          </c:spPr>
          <c:invertIfNegative val="0"/>
          <c:cat>
            <c:strRef>
              <c:f>'Structura Ch_an'!$Q$24:$Y$24</c:f>
              <c:strCache>
                <c:ptCount val="9"/>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Cheltuieli de capital</c:v>
                </c:pt>
              </c:strCache>
            </c:strRef>
          </c:cat>
          <c:val>
            <c:numRef>
              <c:f>'Structura Ch_an'!$Q$26:$Y$26</c:f>
              <c:numCache>
                <c:formatCode>#,##0</c:formatCode>
                <c:ptCount val="9"/>
                <c:pt idx="0">
                  <c:v>102043</c:v>
                </c:pt>
                <c:pt idx="1">
                  <c:v>44583</c:v>
                </c:pt>
                <c:pt idx="2">
                  <c:v>5400</c:v>
                </c:pt>
                <c:pt idx="3">
                  <c:v>16</c:v>
                </c:pt>
                <c:pt idx="4">
                  <c:v>26</c:v>
                </c:pt>
                <c:pt idx="5">
                  <c:v>0</c:v>
                </c:pt>
                <c:pt idx="6">
                  <c:v>465</c:v>
                </c:pt>
                <c:pt idx="7">
                  <c:v>51526</c:v>
                </c:pt>
                <c:pt idx="8">
                  <c:v>27</c:v>
                </c:pt>
              </c:numCache>
            </c:numRef>
          </c:val>
          <c:extLst>
            <c:ext xmlns:c16="http://schemas.microsoft.com/office/drawing/2014/chart" uri="{C3380CC4-5D6E-409C-BE32-E72D297353CC}">
              <c16:uniqueId val="{00000001-BFC1-4EEF-81AE-4EAD229F14EE}"/>
            </c:ext>
          </c:extLst>
        </c:ser>
        <c:ser>
          <c:idx val="2"/>
          <c:order val="2"/>
          <c:tx>
            <c:strRef>
              <c:f>'Structura Ch_an'!$O$27:$P$27</c:f>
              <c:strCache>
                <c:ptCount val="2"/>
                <c:pt idx="0">
                  <c:v>2025</c:v>
                </c:pt>
                <c:pt idx="1">
                  <c:v>CA</c:v>
                </c:pt>
              </c:strCache>
            </c:strRef>
          </c:tx>
          <c:spPr>
            <a:solidFill>
              <a:schemeClr val="accent3"/>
            </a:solidFill>
            <a:ln>
              <a:noFill/>
            </a:ln>
            <a:effectLst/>
            <a:sp3d/>
          </c:spPr>
          <c:invertIfNegative val="0"/>
          <c:cat>
            <c:strRef>
              <c:f>'Structura Ch_an'!$Q$24:$Y$24</c:f>
              <c:strCache>
                <c:ptCount val="9"/>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Cheltuieli de capital</c:v>
                </c:pt>
              </c:strCache>
            </c:strRef>
          </c:cat>
          <c:val>
            <c:numRef>
              <c:f>'Structura Ch_an'!$Q$27:$Y$27</c:f>
              <c:numCache>
                <c:formatCode>#,##0</c:formatCode>
                <c:ptCount val="9"/>
                <c:pt idx="0">
                  <c:v>95821</c:v>
                </c:pt>
                <c:pt idx="1">
                  <c:v>35560</c:v>
                </c:pt>
                <c:pt idx="2">
                  <c:v>4233</c:v>
                </c:pt>
                <c:pt idx="3">
                  <c:v>3</c:v>
                </c:pt>
                <c:pt idx="4">
                  <c:v>80</c:v>
                </c:pt>
                <c:pt idx="5">
                  <c:v>4178</c:v>
                </c:pt>
                <c:pt idx="6">
                  <c:v>0</c:v>
                </c:pt>
                <c:pt idx="7">
                  <c:v>51645</c:v>
                </c:pt>
                <c:pt idx="8">
                  <c:v>122</c:v>
                </c:pt>
              </c:numCache>
            </c:numRef>
          </c:val>
          <c:extLst>
            <c:ext xmlns:c16="http://schemas.microsoft.com/office/drawing/2014/chart" uri="{C3380CC4-5D6E-409C-BE32-E72D297353CC}">
              <c16:uniqueId val="{00000002-BFC1-4EEF-81AE-4EAD229F14EE}"/>
            </c:ext>
          </c:extLst>
        </c:ser>
        <c:ser>
          <c:idx val="3"/>
          <c:order val="3"/>
          <c:tx>
            <c:strRef>
              <c:f>'Structura Ch_an'!$O$28:$P$28</c:f>
              <c:strCache>
                <c:ptCount val="2"/>
                <c:pt idx="0">
                  <c:v>2025</c:v>
                </c:pt>
                <c:pt idx="1">
                  <c:v>CB</c:v>
                </c:pt>
              </c:strCache>
            </c:strRef>
          </c:tx>
          <c:spPr>
            <a:solidFill>
              <a:schemeClr val="accent4"/>
            </a:solidFill>
            <a:ln>
              <a:noFill/>
            </a:ln>
            <a:effectLst/>
            <a:sp3d/>
          </c:spPr>
          <c:invertIfNegative val="0"/>
          <c:cat>
            <c:strRef>
              <c:f>'Structura Ch_an'!$Q$24:$Y$24</c:f>
              <c:strCache>
                <c:ptCount val="9"/>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Cheltuieli de capital</c:v>
                </c:pt>
              </c:strCache>
            </c:strRef>
          </c:cat>
          <c:val>
            <c:numRef>
              <c:f>'Structura Ch_an'!$Q$28:$Y$28</c:f>
              <c:numCache>
                <c:formatCode>#,##0</c:formatCode>
                <c:ptCount val="9"/>
                <c:pt idx="0">
                  <c:v>93628</c:v>
                </c:pt>
                <c:pt idx="1">
                  <c:v>35560</c:v>
                </c:pt>
                <c:pt idx="2">
                  <c:v>4233</c:v>
                </c:pt>
                <c:pt idx="3">
                  <c:v>3</c:v>
                </c:pt>
                <c:pt idx="4">
                  <c:v>80</c:v>
                </c:pt>
                <c:pt idx="5">
                  <c:v>1985</c:v>
                </c:pt>
                <c:pt idx="6">
                  <c:v>0</c:v>
                </c:pt>
                <c:pt idx="7">
                  <c:v>51645</c:v>
                </c:pt>
                <c:pt idx="8">
                  <c:v>122</c:v>
                </c:pt>
              </c:numCache>
            </c:numRef>
          </c:val>
          <c:extLst>
            <c:ext xmlns:c16="http://schemas.microsoft.com/office/drawing/2014/chart" uri="{C3380CC4-5D6E-409C-BE32-E72D297353CC}">
              <c16:uniqueId val="{00000003-BFC1-4EEF-81AE-4EAD229F14EE}"/>
            </c:ext>
          </c:extLst>
        </c:ser>
        <c:ser>
          <c:idx val="4"/>
          <c:order val="4"/>
          <c:tx>
            <c:strRef>
              <c:f>'Structura Ch_an'!$O$29:$P$29</c:f>
              <c:strCache>
                <c:ptCount val="2"/>
                <c:pt idx="0">
                  <c:v>2026</c:v>
                </c:pt>
                <c:pt idx="1">
                  <c:v>CA</c:v>
                </c:pt>
              </c:strCache>
            </c:strRef>
          </c:tx>
          <c:spPr>
            <a:solidFill>
              <a:schemeClr val="accent5"/>
            </a:solidFill>
            <a:ln>
              <a:noFill/>
            </a:ln>
            <a:effectLst/>
            <a:sp3d/>
          </c:spPr>
          <c:invertIfNegative val="0"/>
          <c:cat>
            <c:strRef>
              <c:f>'Structura Ch_an'!$Q$24:$Y$24</c:f>
              <c:strCache>
                <c:ptCount val="9"/>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Cheltuieli de capital</c:v>
                </c:pt>
              </c:strCache>
            </c:strRef>
          </c:cat>
          <c:val>
            <c:numRef>
              <c:f>'Structura Ch_an'!$Q$29:$Y$29</c:f>
              <c:numCache>
                <c:formatCode>#,##0</c:formatCode>
                <c:ptCount val="9"/>
                <c:pt idx="0">
                  <c:v>148201</c:v>
                </c:pt>
                <c:pt idx="1">
                  <c:v>60270</c:v>
                </c:pt>
                <c:pt idx="2">
                  <c:v>22413</c:v>
                </c:pt>
                <c:pt idx="3">
                  <c:v>0</c:v>
                </c:pt>
                <c:pt idx="4">
                  <c:v>84</c:v>
                </c:pt>
                <c:pt idx="5">
                  <c:v>2154</c:v>
                </c:pt>
                <c:pt idx="6">
                  <c:v>0</c:v>
                </c:pt>
                <c:pt idx="7">
                  <c:v>62863</c:v>
                </c:pt>
                <c:pt idx="8">
                  <c:v>417</c:v>
                </c:pt>
              </c:numCache>
            </c:numRef>
          </c:val>
          <c:extLst>
            <c:ext xmlns:c16="http://schemas.microsoft.com/office/drawing/2014/chart" uri="{C3380CC4-5D6E-409C-BE32-E72D297353CC}">
              <c16:uniqueId val="{00000004-BFC1-4EEF-81AE-4EAD229F14EE}"/>
            </c:ext>
          </c:extLst>
        </c:ser>
        <c:ser>
          <c:idx val="5"/>
          <c:order val="5"/>
          <c:tx>
            <c:strRef>
              <c:f>'Structura Ch_an'!$O$30:$P$30</c:f>
              <c:strCache>
                <c:ptCount val="2"/>
                <c:pt idx="0">
                  <c:v>2026</c:v>
                </c:pt>
                <c:pt idx="1">
                  <c:v>CB</c:v>
                </c:pt>
              </c:strCache>
            </c:strRef>
          </c:tx>
          <c:spPr>
            <a:solidFill>
              <a:schemeClr val="accent6"/>
            </a:solidFill>
            <a:ln>
              <a:noFill/>
            </a:ln>
            <a:effectLst/>
            <a:sp3d/>
          </c:spPr>
          <c:invertIfNegative val="0"/>
          <c:cat>
            <c:strRef>
              <c:f>'Structura Ch_an'!$Q$24:$Y$24</c:f>
              <c:strCache>
                <c:ptCount val="9"/>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Cheltuieli de capital</c:v>
                </c:pt>
              </c:strCache>
            </c:strRef>
          </c:cat>
          <c:val>
            <c:numRef>
              <c:f>'Structura Ch_an'!$Q$30:$Y$30</c:f>
              <c:numCache>
                <c:formatCode>#,##0</c:formatCode>
                <c:ptCount val="9"/>
                <c:pt idx="0">
                  <c:v>147908</c:v>
                </c:pt>
                <c:pt idx="1">
                  <c:v>60270</c:v>
                </c:pt>
                <c:pt idx="2">
                  <c:v>22413</c:v>
                </c:pt>
                <c:pt idx="3">
                  <c:v>0</c:v>
                </c:pt>
                <c:pt idx="4">
                  <c:v>84</c:v>
                </c:pt>
                <c:pt idx="5">
                  <c:v>1861</c:v>
                </c:pt>
                <c:pt idx="6">
                  <c:v>0</c:v>
                </c:pt>
                <c:pt idx="7">
                  <c:v>62863</c:v>
                </c:pt>
                <c:pt idx="8">
                  <c:v>417</c:v>
                </c:pt>
              </c:numCache>
            </c:numRef>
          </c:val>
          <c:extLst>
            <c:ext xmlns:c16="http://schemas.microsoft.com/office/drawing/2014/chart" uri="{C3380CC4-5D6E-409C-BE32-E72D297353CC}">
              <c16:uniqueId val="{00000005-BFC1-4EEF-81AE-4EAD229F14EE}"/>
            </c:ext>
          </c:extLst>
        </c:ser>
        <c:dLbls>
          <c:showLegendKey val="0"/>
          <c:showVal val="0"/>
          <c:showCatName val="0"/>
          <c:showSerName val="0"/>
          <c:showPercent val="0"/>
          <c:showBubbleSize val="0"/>
        </c:dLbls>
        <c:gapWidth val="150"/>
        <c:shape val="box"/>
        <c:axId val="568954256"/>
        <c:axId val="568949360"/>
        <c:axId val="553176000"/>
      </c:bar3DChart>
      <c:catAx>
        <c:axId val="5689542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8949360"/>
        <c:crosses val="autoZero"/>
        <c:auto val="1"/>
        <c:lblAlgn val="ctr"/>
        <c:lblOffset val="100"/>
        <c:noMultiLvlLbl val="0"/>
      </c:catAx>
      <c:valAx>
        <c:axId val="5689493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8954256"/>
        <c:crosses val="autoZero"/>
        <c:crossBetween val="between"/>
      </c:valAx>
      <c:serAx>
        <c:axId val="553176000"/>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8949360"/>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'Structura Ch_an'!$O$46:$P$46</c:f>
              <c:strCache>
                <c:ptCount val="2"/>
                <c:pt idx="0">
                  <c:v>2024</c:v>
                </c:pt>
                <c:pt idx="1">
                  <c:v>CA</c:v>
                </c:pt>
              </c:strCache>
            </c:strRef>
          </c:tx>
          <c:spPr>
            <a:solidFill>
              <a:schemeClr val="accent1"/>
            </a:solidFill>
            <a:ln>
              <a:noFill/>
            </a:ln>
            <a:effectLst/>
            <a:sp3d/>
          </c:spPr>
          <c:invertIfNegative val="0"/>
          <c:cat>
            <c:strRef>
              <c:f>'Structura Ch_an'!$Q$45:$X$45</c:f>
              <c:strCache>
                <c:ptCount val="8"/>
                <c:pt idx="0">
                  <c:v>Total</c:v>
                </c:pt>
                <c:pt idx="1">
                  <c:v>Cheltuieli de personal</c:v>
                </c:pt>
                <c:pt idx="2">
                  <c:v>Bunuri și servicii</c:v>
                </c:pt>
                <c:pt idx="3">
                  <c:v>Transferuri</c:v>
                </c:pt>
                <c:pt idx="4">
                  <c:v>Proiecte cu finanțare din FEN postaderare</c:v>
                </c:pt>
                <c:pt idx="5">
                  <c:v>Proiecte cu finanțare din FEN aferente
 cadrului financiar 2014-2020</c:v>
                </c:pt>
                <c:pt idx="6">
                  <c:v>Alte cheltuieli</c:v>
                </c:pt>
                <c:pt idx="7">
                  <c:v>Cheltuieli de capital</c:v>
                </c:pt>
              </c:strCache>
            </c:strRef>
          </c:cat>
          <c:val>
            <c:numRef>
              <c:f>'Structura Ch_an'!$Q$46:$X$46</c:f>
              <c:numCache>
                <c:formatCode>#,##0</c:formatCode>
                <c:ptCount val="8"/>
                <c:pt idx="0">
                  <c:v>20845</c:v>
                </c:pt>
                <c:pt idx="1">
                  <c:v>16374</c:v>
                </c:pt>
                <c:pt idx="2">
                  <c:v>1804</c:v>
                </c:pt>
                <c:pt idx="3">
                  <c:v>0</c:v>
                </c:pt>
                <c:pt idx="4">
                  <c:v>0</c:v>
                </c:pt>
                <c:pt idx="5">
                  <c:v>44</c:v>
                </c:pt>
                <c:pt idx="6">
                  <c:v>2599</c:v>
                </c:pt>
                <c:pt idx="7">
                  <c:v>24</c:v>
                </c:pt>
              </c:numCache>
            </c:numRef>
          </c:val>
          <c:extLst>
            <c:ext xmlns:c16="http://schemas.microsoft.com/office/drawing/2014/chart" uri="{C3380CC4-5D6E-409C-BE32-E72D297353CC}">
              <c16:uniqueId val="{00000000-5A35-442C-924D-5629B36606EF}"/>
            </c:ext>
          </c:extLst>
        </c:ser>
        <c:ser>
          <c:idx val="1"/>
          <c:order val="1"/>
          <c:tx>
            <c:strRef>
              <c:f>'Structura Ch_an'!$O$47:$P$47</c:f>
              <c:strCache>
                <c:ptCount val="2"/>
                <c:pt idx="0">
                  <c:v>2024</c:v>
                </c:pt>
                <c:pt idx="1">
                  <c:v>CB</c:v>
                </c:pt>
              </c:strCache>
            </c:strRef>
          </c:tx>
          <c:spPr>
            <a:solidFill>
              <a:schemeClr val="accent2"/>
            </a:solidFill>
            <a:ln>
              <a:noFill/>
            </a:ln>
            <a:effectLst/>
            <a:sp3d/>
          </c:spPr>
          <c:invertIfNegative val="0"/>
          <c:cat>
            <c:strRef>
              <c:f>'Structura Ch_an'!$Q$45:$X$45</c:f>
              <c:strCache>
                <c:ptCount val="8"/>
                <c:pt idx="0">
                  <c:v>Total</c:v>
                </c:pt>
                <c:pt idx="1">
                  <c:v>Cheltuieli de personal</c:v>
                </c:pt>
                <c:pt idx="2">
                  <c:v>Bunuri și servicii</c:v>
                </c:pt>
                <c:pt idx="3">
                  <c:v>Transferuri</c:v>
                </c:pt>
                <c:pt idx="4">
                  <c:v>Proiecte cu finanțare din FEN postaderare</c:v>
                </c:pt>
                <c:pt idx="5">
                  <c:v>Proiecte cu finanțare din FEN aferente
 cadrului financiar 2014-2020</c:v>
                </c:pt>
                <c:pt idx="6">
                  <c:v>Alte cheltuieli</c:v>
                </c:pt>
                <c:pt idx="7">
                  <c:v>Cheltuieli de capital</c:v>
                </c:pt>
              </c:strCache>
            </c:strRef>
          </c:cat>
          <c:val>
            <c:numRef>
              <c:f>'Structura Ch_an'!$Q$47:$X$47</c:f>
              <c:numCache>
                <c:formatCode>#,##0</c:formatCode>
                <c:ptCount val="8"/>
                <c:pt idx="0">
                  <c:v>20287</c:v>
                </c:pt>
                <c:pt idx="1">
                  <c:v>16374</c:v>
                </c:pt>
                <c:pt idx="2">
                  <c:v>1246</c:v>
                </c:pt>
                <c:pt idx="3">
                  <c:v>0</c:v>
                </c:pt>
                <c:pt idx="4">
                  <c:v>0</c:v>
                </c:pt>
                <c:pt idx="5">
                  <c:v>44</c:v>
                </c:pt>
                <c:pt idx="6">
                  <c:v>2599</c:v>
                </c:pt>
                <c:pt idx="7">
                  <c:v>24</c:v>
                </c:pt>
              </c:numCache>
            </c:numRef>
          </c:val>
          <c:extLst>
            <c:ext xmlns:c16="http://schemas.microsoft.com/office/drawing/2014/chart" uri="{C3380CC4-5D6E-409C-BE32-E72D297353CC}">
              <c16:uniqueId val="{00000001-5A35-442C-924D-5629B36606EF}"/>
            </c:ext>
          </c:extLst>
        </c:ser>
        <c:ser>
          <c:idx val="2"/>
          <c:order val="2"/>
          <c:tx>
            <c:strRef>
              <c:f>'Structura Ch_an'!$O$48:$P$48</c:f>
              <c:strCache>
                <c:ptCount val="2"/>
                <c:pt idx="0">
                  <c:v>2025</c:v>
                </c:pt>
                <c:pt idx="1">
                  <c:v>CA</c:v>
                </c:pt>
              </c:strCache>
            </c:strRef>
          </c:tx>
          <c:spPr>
            <a:solidFill>
              <a:schemeClr val="accent3"/>
            </a:solidFill>
            <a:ln>
              <a:noFill/>
            </a:ln>
            <a:effectLst/>
            <a:sp3d/>
          </c:spPr>
          <c:invertIfNegative val="0"/>
          <c:cat>
            <c:strRef>
              <c:f>'Structura Ch_an'!$Q$45:$X$45</c:f>
              <c:strCache>
                <c:ptCount val="8"/>
                <c:pt idx="0">
                  <c:v>Total</c:v>
                </c:pt>
                <c:pt idx="1">
                  <c:v>Cheltuieli de personal</c:v>
                </c:pt>
                <c:pt idx="2">
                  <c:v>Bunuri și servicii</c:v>
                </c:pt>
                <c:pt idx="3">
                  <c:v>Transferuri</c:v>
                </c:pt>
                <c:pt idx="4">
                  <c:v>Proiecte cu finanțare din FEN postaderare</c:v>
                </c:pt>
                <c:pt idx="5">
                  <c:v>Proiecte cu finanțare din FEN aferente
 cadrului financiar 2014-2020</c:v>
                </c:pt>
                <c:pt idx="6">
                  <c:v>Alte cheltuieli</c:v>
                </c:pt>
                <c:pt idx="7">
                  <c:v>Cheltuieli de capital</c:v>
                </c:pt>
              </c:strCache>
            </c:strRef>
          </c:cat>
          <c:val>
            <c:numRef>
              <c:f>'Structura Ch_an'!$Q$48:$X$48</c:f>
              <c:numCache>
                <c:formatCode>#,##0</c:formatCode>
                <c:ptCount val="8"/>
                <c:pt idx="0">
                  <c:v>20643</c:v>
                </c:pt>
                <c:pt idx="1">
                  <c:v>16230</c:v>
                </c:pt>
                <c:pt idx="2">
                  <c:v>1049</c:v>
                </c:pt>
                <c:pt idx="3">
                  <c:v>0</c:v>
                </c:pt>
                <c:pt idx="4">
                  <c:v>134</c:v>
                </c:pt>
                <c:pt idx="5">
                  <c:v>0</c:v>
                </c:pt>
                <c:pt idx="6">
                  <c:v>3205</c:v>
                </c:pt>
                <c:pt idx="7">
                  <c:v>25</c:v>
                </c:pt>
              </c:numCache>
            </c:numRef>
          </c:val>
          <c:extLst>
            <c:ext xmlns:c16="http://schemas.microsoft.com/office/drawing/2014/chart" uri="{C3380CC4-5D6E-409C-BE32-E72D297353CC}">
              <c16:uniqueId val="{00000002-5A35-442C-924D-5629B36606EF}"/>
            </c:ext>
          </c:extLst>
        </c:ser>
        <c:ser>
          <c:idx val="3"/>
          <c:order val="3"/>
          <c:tx>
            <c:strRef>
              <c:f>'Structura Ch_an'!$O$49:$P$49</c:f>
              <c:strCache>
                <c:ptCount val="2"/>
                <c:pt idx="0">
                  <c:v>2025</c:v>
                </c:pt>
                <c:pt idx="1">
                  <c:v>CB</c:v>
                </c:pt>
              </c:strCache>
            </c:strRef>
          </c:tx>
          <c:spPr>
            <a:solidFill>
              <a:schemeClr val="accent4"/>
            </a:solidFill>
            <a:ln>
              <a:noFill/>
            </a:ln>
            <a:effectLst/>
            <a:sp3d/>
          </c:spPr>
          <c:invertIfNegative val="0"/>
          <c:cat>
            <c:strRef>
              <c:f>'Structura Ch_an'!$Q$45:$X$45</c:f>
              <c:strCache>
                <c:ptCount val="8"/>
                <c:pt idx="0">
                  <c:v>Total</c:v>
                </c:pt>
                <c:pt idx="1">
                  <c:v>Cheltuieli de personal</c:v>
                </c:pt>
                <c:pt idx="2">
                  <c:v>Bunuri și servicii</c:v>
                </c:pt>
                <c:pt idx="3">
                  <c:v>Transferuri</c:v>
                </c:pt>
                <c:pt idx="4">
                  <c:v>Proiecte cu finanțare din FEN postaderare</c:v>
                </c:pt>
                <c:pt idx="5">
                  <c:v>Proiecte cu finanțare din FEN aferente
 cadrului financiar 2014-2020</c:v>
                </c:pt>
                <c:pt idx="6">
                  <c:v>Alte cheltuieli</c:v>
                </c:pt>
                <c:pt idx="7">
                  <c:v>Cheltuieli de capital</c:v>
                </c:pt>
              </c:strCache>
            </c:strRef>
          </c:cat>
          <c:val>
            <c:numRef>
              <c:f>'Structura Ch_an'!$Q$49:$X$49</c:f>
              <c:numCache>
                <c:formatCode>#,##0</c:formatCode>
                <c:ptCount val="8"/>
                <c:pt idx="0">
                  <c:v>20619</c:v>
                </c:pt>
                <c:pt idx="1">
                  <c:v>16230</c:v>
                </c:pt>
                <c:pt idx="2">
                  <c:v>1049</c:v>
                </c:pt>
                <c:pt idx="3">
                  <c:v>0</c:v>
                </c:pt>
                <c:pt idx="4">
                  <c:v>110</c:v>
                </c:pt>
                <c:pt idx="5">
                  <c:v>0</c:v>
                </c:pt>
                <c:pt idx="6">
                  <c:v>3205</c:v>
                </c:pt>
                <c:pt idx="7">
                  <c:v>25</c:v>
                </c:pt>
              </c:numCache>
            </c:numRef>
          </c:val>
          <c:extLst>
            <c:ext xmlns:c16="http://schemas.microsoft.com/office/drawing/2014/chart" uri="{C3380CC4-5D6E-409C-BE32-E72D297353CC}">
              <c16:uniqueId val="{00000003-5A35-442C-924D-5629B36606EF}"/>
            </c:ext>
          </c:extLst>
        </c:ser>
        <c:ser>
          <c:idx val="4"/>
          <c:order val="4"/>
          <c:tx>
            <c:strRef>
              <c:f>'Structura Ch_an'!$O$50:$P$50</c:f>
              <c:strCache>
                <c:ptCount val="2"/>
                <c:pt idx="0">
                  <c:v>2026</c:v>
                </c:pt>
                <c:pt idx="1">
                  <c:v>CA</c:v>
                </c:pt>
              </c:strCache>
            </c:strRef>
          </c:tx>
          <c:spPr>
            <a:solidFill>
              <a:schemeClr val="accent5"/>
            </a:solidFill>
            <a:ln>
              <a:noFill/>
            </a:ln>
            <a:effectLst/>
            <a:sp3d/>
          </c:spPr>
          <c:invertIfNegative val="0"/>
          <c:cat>
            <c:strRef>
              <c:f>'Structura Ch_an'!$Q$45:$X$45</c:f>
              <c:strCache>
                <c:ptCount val="8"/>
                <c:pt idx="0">
                  <c:v>Total</c:v>
                </c:pt>
                <c:pt idx="1">
                  <c:v>Cheltuieli de personal</c:v>
                </c:pt>
                <c:pt idx="2">
                  <c:v>Bunuri și servicii</c:v>
                </c:pt>
                <c:pt idx="3">
                  <c:v>Transferuri</c:v>
                </c:pt>
                <c:pt idx="4">
                  <c:v>Proiecte cu finanțare din FEN postaderare</c:v>
                </c:pt>
                <c:pt idx="5">
                  <c:v>Proiecte cu finanțare din FEN aferente
 cadrului financiar 2014-2020</c:v>
                </c:pt>
                <c:pt idx="6">
                  <c:v>Alte cheltuieli</c:v>
                </c:pt>
                <c:pt idx="7">
                  <c:v>Cheltuieli de capital</c:v>
                </c:pt>
              </c:strCache>
            </c:strRef>
          </c:cat>
          <c:val>
            <c:numRef>
              <c:f>'Structura Ch_an'!$Q$50:$X$50</c:f>
              <c:numCache>
                <c:formatCode>#,##0</c:formatCode>
                <c:ptCount val="8"/>
                <c:pt idx="0">
                  <c:v>39813</c:v>
                </c:pt>
                <c:pt idx="1">
                  <c:v>32800</c:v>
                </c:pt>
                <c:pt idx="2">
                  <c:v>2975</c:v>
                </c:pt>
                <c:pt idx="3">
                  <c:v>0</c:v>
                </c:pt>
                <c:pt idx="4">
                  <c:v>121</c:v>
                </c:pt>
                <c:pt idx="5">
                  <c:v>0</c:v>
                </c:pt>
                <c:pt idx="6">
                  <c:v>3292</c:v>
                </c:pt>
                <c:pt idx="7">
                  <c:v>625</c:v>
                </c:pt>
              </c:numCache>
            </c:numRef>
          </c:val>
          <c:extLst>
            <c:ext xmlns:c16="http://schemas.microsoft.com/office/drawing/2014/chart" uri="{C3380CC4-5D6E-409C-BE32-E72D297353CC}">
              <c16:uniqueId val="{00000004-5A35-442C-924D-5629B36606EF}"/>
            </c:ext>
          </c:extLst>
        </c:ser>
        <c:ser>
          <c:idx val="5"/>
          <c:order val="5"/>
          <c:tx>
            <c:strRef>
              <c:f>'Structura Ch_an'!$O$51:$P$51</c:f>
              <c:strCache>
                <c:ptCount val="2"/>
                <c:pt idx="0">
                  <c:v>2026</c:v>
                </c:pt>
                <c:pt idx="1">
                  <c:v>CB</c:v>
                </c:pt>
              </c:strCache>
            </c:strRef>
          </c:tx>
          <c:spPr>
            <a:solidFill>
              <a:schemeClr val="accent6"/>
            </a:solidFill>
            <a:ln>
              <a:noFill/>
            </a:ln>
            <a:effectLst/>
            <a:sp3d/>
          </c:spPr>
          <c:invertIfNegative val="0"/>
          <c:cat>
            <c:strRef>
              <c:f>'Structura Ch_an'!$Q$45:$X$45</c:f>
              <c:strCache>
                <c:ptCount val="8"/>
                <c:pt idx="0">
                  <c:v>Total</c:v>
                </c:pt>
                <c:pt idx="1">
                  <c:v>Cheltuieli de personal</c:v>
                </c:pt>
                <c:pt idx="2">
                  <c:v>Bunuri și servicii</c:v>
                </c:pt>
                <c:pt idx="3">
                  <c:v>Transferuri</c:v>
                </c:pt>
                <c:pt idx="4">
                  <c:v>Proiecte cu finanțare din FEN postaderare</c:v>
                </c:pt>
                <c:pt idx="5">
                  <c:v>Proiecte cu finanțare din FEN aferente
 cadrului financiar 2014-2020</c:v>
                </c:pt>
                <c:pt idx="6">
                  <c:v>Alte cheltuieli</c:v>
                </c:pt>
                <c:pt idx="7">
                  <c:v>Cheltuieli de capital</c:v>
                </c:pt>
              </c:strCache>
            </c:strRef>
          </c:cat>
          <c:val>
            <c:numRef>
              <c:f>'Structura Ch_an'!$Q$51:$X$51</c:f>
              <c:numCache>
                <c:formatCode>#,##0</c:formatCode>
                <c:ptCount val="8"/>
                <c:pt idx="0">
                  <c:v>39813</c:v>
                </c:pt>
                <c:pt idx="1">
                  <c:v>32800</c:v>
                </c:pt>
                <c:pt idx="2">
                  <c:v>2975</c:v>
                </c:pt>
                <c:pt idx="3">
                  <c:v>0</c:v>
                </c:pt>
                <c:pt idx="4">
                  <c:v>121</c:v>
                </c:pt>
                <c:pt idx="5">
                  <c:v>0</c:v>
                </c:pt>
                <c:pt idx="6">
                  <c:v>3292</c:v>
                </c:pt>
                <c:pt idx="7">
                  <c:v>625</c:v>
                </c:pt>
              </c:numCache>
            </c:numRef>
          </c:val>
          <c:extLst>
            <c:ext xmlns:c16="http://schemas.microsoft.com/office/drawing/2014/chart" uri="{C3380CC4-5D6E-409C-BE32-E72D297353CC}">
              <c16:uniqueId val="{00000005-5A35-442C-924D-5629B36606EF}"/>
            </c:ext>
          </c:extLst>
        </c:ser>
        <c:dLbls>
          <c:showLegendKey val="0"/>
          <c:showVal val="0"/>
          <c:showCatName val="0"/>
          <c:showSerName val="0"/>
          <c:showPercent val="0"/>
          <c:showBubbleSize val="0"/>
        </c:dLbls>
        <c:gapWidth val="150"/>
        <c:shape val="box"/>
        <c:axId val="568953168"/>
        <c:axId val="568954800"/>
        <c:axId val="553176624"/>
      </c:bar3DChart>
      <c:catAx>
        <c:axId val="5689531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8954800"/>
        <c:crosses val="autoZero"/>
        <c:auto val="1"/>
        <c:lblAlgn val="ctr"/>
        <c:lblOffset val="100"/>
        <c:noMultiLvlLbl val="0"/>
      </c:catAx>
      <c:valAx>
        <c:axId val="5689548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8953168"/>
        <c:crosses val="autoZero"/>
        <c:crossBetween val="between"/>
      </c:valAx>
      <c:serAx>
        <c:axId val="553176624"/>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8954800"/>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6C4FD-0566-447D-B5BA-C591BD43F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165</Pages>
  <Words>79076</Words>
  <Characters>450738</Characters>
  <Application>Microsoft Office Word</Application>
  <DocSecurity>0</DocSecurity>
  <Lines>3756</Lines>
  <Paragraphs>1057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528757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Raluca, PASCAL</dc:creator>
  <cp:keywords/>
  <dc:description/>
  <cp:lastModifiedBy>Ioana, STANCIOI</cp:lastModifiedBy>
  <cp:revision>12</cp:revision>
  <cp:lastPrinted>2026-01-09T07:23:00Z</cp:lastPrinted>
  <dcterms:created xsi:type="dcterms:W3CDTF">2026-01-26T08:28:00Z</dcterms:created>
  <dcterms:modified xsi:type="dcterms:W3CDTF">2026-01-26T09:20:00Z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9531a764f5aef5b79bbf34e06f9b6f7ea4befd9adda7f6c6acea613c7e45455b</vt:lpwstr>
  </property>
</Properties>
</file>