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0F8" w:rsidRPr="003950F8" w:rsidRDefault="003950F8" w:rsidP="003950F8">
      <w:pPr>
        <w:spacing w:after="0" w:line="276" w:lineRule="auto"/>
        <w:jc w:val="center"/>
        <w:rPr>
          <w:rFonts w:cstheme="minorHAnsi"/>
          <w:sz w:val="26"/>
          <w:szCs w:val="26"/>
          <w:lang w:val="ro-RO"/>
        </w:rPr>
      </w:pPr>
      <w:bookmarkStart w:id="0" w:name="_GoBack"/>
      <w:bookmarkEnd w:id="0"/>
      <w:r w:rsidRPr="003950F8">
        <w:rPr>
          <w:rFonts w:cstheme="minorHAnsi"/>
          <w:sz w:val="26"/>
          <w:szCs w:val="26"/>
          <w:lang w:val="ro-RO"/>
        </w:rPr>
        <w:t>PROIECT</w:t>
      </w:r>
    </w:p>
    <w:p w:rsidR="003950F8" w:rsidRPr="003950F8" w:rsidRDefault="003950F8" w:rsidP="003950F8">
      <w:pPr>
        <w:spacing w:after="0" w:line="276" w:lineRule="auto"/>
        <w:rPr>
          <w:rFonts w:cstheme="minorHAnsi"/>
          <w:sz w:val="26"/>
          <w:szCs w:val="26"/>
          <w:lang w:val="ro-RO"/>
        </w:rPr>
      </w:pPr>
      <w:r>
        <w:rPr>
          <w:rFonts w:cstheme="minorHAnsi"/>
          <w:sz w:val="26"/>
          <w:szCs w:val="26"/>
          <w:lang w:val="ro-RO"/>
        </w:rPr>
        <w:t>ANEXĂ</w:t>
      </w:r>
    </w:p>
    <w:p w:rsidR="003950F8" w:rsidRDefault="003950F8" w:rsidP="003950F8">
      <w:pPr>
        <w:spacing w:after="0" w:line="276" w:lineRule="auto"/>
        <w:jc w:val="center"/>
        <w:rPr>
          <w:rFonts w:cstheme="minorHAnsi"/>
          <w:sz w:val="26"/>
          <w:szCs w:val="26"/>
          <w:lang w:val="ro-RO"/>
        </w:rPr>
      </w:pPr>
    </w:p>
    <w:p w:rsidR="003950F8" w:rsidRPr="003950F8" w:rsidRDefault="003950F8" w:rsidP="003950F8">
      <w:pPr>
        <w:spacing w:after="0" w:line="276" w:lineRule="auto"/>
        <w:jc w:val="center"/>
        <w:rPr>
          <w:rFonts w:cstheme="minorHAnsi"/>
          <w:b/>
          <w:sz w:val="26"/>
          <w:szCs w:val="26"/>
          <w:lang w:val="ro-RO"/>
        </w:rPr>
      </w:pPr>
      <w:r w:rsidRPr="003950F8">
        <w:rPr>
          <w:rFonts w:cstheme="minorHAnsi"/>
          <w:b/>
          <w:sz w:val="26"/>
          <w:szCs w:val="26"/>
          <w:lang w:val="ro-RO"/>
        </w:rPr>
        <w:t>Metodologie privind detaşarea şi delegarea judecătorilor</w:t>
      </w:r>
    </w:p>
    <w:p w:rsidR="003950F8" w:rsidRPr="003950F8" w:rsidRDefault="003950F8" w:rsidP="003950F8">
      <w:pPr>
        <w:spacing w:after="0" w:line="276" w:lineRule="auto"/>
        <w:rPr>
          <w:rFonts w:cstheme="minorHAnsi"/>
          <w:sz w:val="26"/>
          <w:szCs w:val="26"/>
          <w:lang w:val="ro-RO"/>
        </w:rPr>
      </w:pPr>
    </w:p>
    <w:p w:rsidR="003950F8" w:rsidRPr="003950F8" w:rsidRDefault="003950F8" w:rsidP="003950F8">
      <w:pPr>
        <w:spacing w:after="0" w:line="276" w:lineRule="auto"/>
        <w:ind w:firstLine="720"/>
        <w:rPr>
          <w:rFonts w:cstheme="minorHAnsi"/>
          <w:b/>
          <w:sz w:val="26"/>
          <w:szCs w:val="26"/>
          <w:lang w:val="ro-RO"/>
        </w:rPr>
      </w:pPr>
      <w:r w:rsidRPr="003950F8">
        <w:rPr>
          <w:rFonts w:cstheme="minorHAnsi"/>
          <w:b/>
          <w:sz w:val="26"/>
          <w:szCs w:val="26"/>
          <w:lang w:val="ro-RO"/>
        </w:rPr>
        <w:t>Capitolul I</w:t>
      </w:r>
    </w:p>
    <w:p w:rsidR="003950F8" w:rsidRPr="003950F8" w:rsidRDefault="003950F8" w:rsidP="003950F8">
      <w:pPr>
        <w:spacing w:after="0" w:line="276" w:lineRule="auto"/>
        <w:ind w:firstLine="720"/>
        <w:rPr>
          <w:rFonts w:cstheme="minorHAnsi"/>
          <w:b/>
          <w:sz w:val="26"/>
          <w:szCs w:val="26"/>
          <w:lang w:val="ro-RO"/>
        </w:rPr>
      </w:pPr>
      <w:r w:rsidRPr="003950F8">
        <w:rPr>
          <w:rFonts w:cstheme="minorHAnsi"/>
          <w:b/>
          <w:sz w:val="26"/>
          <w:szCs w:val="26"/>
          <w:lang w:val="ro-RO"/>
        </w:rPr>
        <w:t>Detașarea judecătorilor</w:t>
      </w:r>
    </w:p>
    <w:p w:rsidR="003950F8" w:rsidRPr="003950F8" w:rsidRDefault="003950F8" w:rsidP="003950F8">
      <w:pPr>
        <w:spacing w:after="0" w:line="276" w:lineRule="auto"/>
        <w:rPr>
          <w:rFonts w:cstheme="minorHAnsi"/>
          <w:b/>
          <w:sz w:val="26"/>
          <w:szCs w:val="26"/>
          <w:lang w:val="ro-RO"/>
        </w:rPr>
      </w:pPr>
    </w:p>
    <w:p w:rsidR="003950F8" w:rsidRPr="003950F8" w:rsidRDefault="003950F8" w:rsidP="003950F8">
      <w:pPr>
        <w:spacing w:after="0" w:line="276" w:lineRule="auto"/>
        <w:ind w:firstLine="720"/>
        <w:rPr>
          <w:rFonts w:cstheme="minorHAnsi"/>
          <w:b/>
          <w:sz w:val="26"/>
          <w:szCs w:val="26"/>
          <w:lang w:val="ro-RO"/>
        </w:rPr>
      </w:pPr>
      <w:r w:rsidRPr="003950F8">
        <w:rPr>
          <w:rFonts w:cstheme="minorHAnsi"/>
          <w:b/>
          <w:sz w:val="26"/>
          <w:szCs w:val="26"/>
          <w:lang w:val="ro-RO"/>
        </w:rPr>
        <w:t>Secțiunea 1</w:t>
      </w:r>
    </w:p>
    <w:p w:rsidR="003950F8" w:rsidRPr="003950F8" w:rsidRDefault="003950F8" w:rsidP="003950F8">
      <w:pPr>
        <w:spacing w:after="0" w:line="276" w:lineRule="auto"/>
        <w:ind w:firstLine="720"/>
        <w:rPr>
          <w:rFonts w:cstheme="minorHAnsi"/>
          <w:b/>
          <w:sz w:val="26"/>
          <w:szCs w:val="26"/>
          <w:lang w:val="ro-RO"/>
        </w:rPr>
      </w:pPr>
      <w:r w:rsidRPr="003950F8">
        <w:rPr>
          <w:rFonts w:cstheme="minorHAnsi"/>
          <w:b/>
          <w:sz w:val="26"/>
          <w:szCs w:val="26"/>
          <w:lang w:val="ro-RO"/>
        </w:rPr>
        <w:t>Dispoziții comune</w:t>
      </w:r>
    </w:p>
    <w:p w:rsidR="003950F8" w:rsidRPr="003950F8" w:rsidRDefault="003950F8" w:rsidP="003950F8">
      <w:pPr>
        <w:spacing w:after="0" w:line="276" w:lineRule="auto"/>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t>Art. 1</w:t>
      </w:r>
      <w:r w:rsidRPr="003950F8">
        <w:rPr>
          <w:rFonts w:cstheme="minorHAnsi"/>
          <w:sz w:val="26"/>
          <w:szCs w:val="26"/>
          <w:lang w:val="ro-RO"/>
        </w:rPr>
        <w:t xml:space="preserve"> - (1) Judecătorii pot fi detaşaţi în condiţiile Legii nr. 303/2022 privind statutul judecătorilor și procurorilor și ale prezentei Metodologii, numai cu acordul scris al acestora.</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(2) Detașarea judecătorilor se dispune de Secţia pentru judecători a Consiliului Superior al Magistraturii, denumită în continuare Secţia pentru judecători, cu avizul președintelui curții de apel unde funcționează sau în circumscripția căreia funcționează judecătorul.</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(3) Detaşarea judecătorilor nu se poate dispune pe funcţii de demnitate publică sau pe funcţia de inspector judiciar.</w:t>
      </w:r>
    </w:p>
    <w:p w:rsid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(4) Durata detaşării nu poate depăşi 3 ani. Detaşarea se poate prelungi o singură dată, pentru o durată de până la încă 3 ani, în condiţiile prevăzute pentru detaşarea iniţială.</w:t>
      </w:r>
    </w:p>
    <w:p w:rsidR="003950F8" w:rsidRPr="003950F8" w:rsidRDefault="003950F8" w:rsidP="003950F8">
      <w:pPr>
        <w:spacing w:after="0" w:line="276" w:lineRule="auto"/>
        <w:ind w:firstLine="720"/>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Secțiunea a 2-a</w:t>
      </w: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 xml:space="preserve">Detașarea judecătorilor la alte instanțe </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t>Art. 2</w:t>
      </w:r>
      <w:r w:rsidRPr="003950F8">
        <w:rPr>
          <w:rFonts w:cstheme="minorHAnsi"/>
          <w:sz w:val="26"/>
          <w:szCs w:val="26"/>
          <w:lang w:val="ro-RO"/>
        </w:rPr>
        <w:t xml:space="preserve"> - (1) În interesul bunei funcţionări a instanţelor, judecătorii pot fi detaşaţi pe posturi vacante la alte instanţe, la propunerea motivată a preşedintelui instanţei la care se solicită detașarea.</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(2) Detașarea nu poate fi dispusă decât la o instanţă la care judecătorul are dreptul să funcţioneze potrivit gradului profesional avut.</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t>Art. 3</w:t>
      </w:r>
      <w:r w:rsidRPr="003950F8">
        <w:rPr>
          <w:rFonts w:cstheme="minorHAnsi"/>
          <w:sz w:val="26"/>
          <w:szCs w:val="26"/>
          <w:lang w:val="ro-RO"/>
        </w:rPr>
        <w:t xml:space="preserve"> - (1) Propunerea motivată prevăzută la art. 2 alin. (1), care cuprinde şi perioada pentru care se solicită detaşarea, însoţită de acordul scris al judecătorului a cărui detaşare se solicită, se transmite preşedintelui curţii de apel unde funcţionează sau în circumscripţia căreia funcţionează judecătorul.</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lastRenderedPageBreak/>
        <w:t>(2) Preşedintele curţii de apel transmite această cerere Consiliului Superior al Magistraturii, însoţită de avizul său și de punctul de vedere al preşedintelui instanţei la care funcţionează judecătorul, care va cuprinde informaţii inclusiv sub aspectul situaţiei posturilor vacante temporar şi a celor care se vor vacanta într-un interval de timp scurt; în exprimarea avizului, președintele curții de apel are în vedere și acest punct de vedere.</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(3) Detașarea se dispune avându-se în vedere elemente precum: motivele pe care se întemeiază cererea, specializarea judecătorului, situaţia posturilor ocupate, a posturilor vacante, a celor care urmează a se vacanta şi a posturilor temporar vacante la instanţa de la care se solicită detaşarea şi la care se solicită detaşarea, datele statistice din ultimele 12 luni privind volumul de activitate la aceste instanțe şi încărcătura efectivă pe judecător, inclusiv încărcătura pe schemă, raportate la media pe ţară, eventuale cereri de transfer formulate pentru acea instanţă şi incidenţa interdicţiilor prevăzute la art. 63 alin. (2) şi art. 141 alin. (4) din Legea nr. 303/2022.</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 xml:space="preserve">(4) În termen de cel mult 15 zile de la primirea cererii, Direcţia resurse umane şi organizare întocmeşte un referat care va cuprinde elementele prevăzute la alin. (3). </w:t>
      </w:r>
    </w:p>
    <w:p w:rsid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Secțiunea a 3-a</w:t>
      </w: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 xml:space="preserve">Detașarea judecătorilor la alte instituții </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t>Art. 4</w:t>
      </w:r>
      <w:r w:rsidRPr="003950F8">
        <w:rPr>
          <w:rFonts w:cstheme="minorHAnsi"/>
          <w:sz w:val="26"/>
          <w:szCs w:val="26"/>
          <w:lang w:val="ro-RO"/>
        </w:rPr>
        <w:t xml:space="preserve"> - (1) Judecătorii pot fi detaşaţi pe posturi vacante la Consiliul Superior al Magistraturii, Inspecţia Judiciară, Institutul Naţional al Magistraturii, Şcoala Naţională de Grefieri, Ministerul Justiţiei sau la unităţile subordonate acestuia, la solicitarea motivată a instituţiei respective care să justifice interesul detaşării acelui judecător.</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(2) Pentru Institutul Naţional al Magistraturii şi Şcoala Naţională de Grefieri, detaşarea se dispune doar în cazul în care cel detaşat îşi desfăşoară activitatea de formare profesională cu normă întreagă.</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(3) Solicitările de detașare se înaintează Consiliului Superior al Magistraturii de către instituţiile interesate, însoţite de acordul scris al judecătorului a cărui detaşare se solicită, şi cuprind motivele, perioada pentru care se solicită detaşarea, funcţia şi atribuţiile postului pe care se solicită detaşarea.</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 xml:space="preserve">(4) Direcţia resurse umane şi organizare solicită avizul preşedintelui curţii de apel în circumscripţia căreia funcţionează judecătorul, care este exprimat și transmis în condițiile art. 3 alin. (2), și întocmește un referat, care conţine şi menţiuni privind descrierea funcţiei pe care se solicită detaşarea, modul în care aceasta corespunde statutului funcţiei de judecător şi modul în care activitatea de judecător se va reflecta în activitatea specifică funcţiei pe care va fi detaşat. Dispozițiile art. 3 alin. (3) și (4) se aplică în mod corespunzător. </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lastRenderedPageBreak/>
        <w:t>Art. 5</w:t>
      </w:r>
      <w:r w:rsidRPr="003950F8">
        <w:rPr>
          <w:rFonts w:cstheme="minorHAnsi"/>
          <w:sz w:val="26"/>
          <w:szCs w:val="26"/>
          <w:lang w:val="ro-RO"/>
        </w:rPr>
        <w:t xml:space="preserve"> - (1) Judecătorii care intenţionează să participe la un concurs pentru ocuparea unui post de formator cu normă întreagă în cadrul Institutului Național al Magistraturii sau la o procedură de selecție pentru ocuparea unui post de personal de instruire în cadrul Şcolii Naţionale de Grefieri sunt obligaţi să solicite acordul Secției pentru judecători cu privire la eventuala detaşare, în termen de 10 zile de la publicarea anunţului privind declanşarea concursului, respectiv procedurii de recrutare a personalului de instruire. În procedura de exprimare a acordului, dispoziţiile art. 4 alin. (4) se aplică în mod corespunzător.  </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(2) În procedura de soluţionare a cererii de detaşare, în cazul judecătorilor prevăzuţi la alin. (1) pentru care Secţia pentru judecători şi-a exprimat acordul cu privire la eventuala detaşare, referatul întocmit de Direcţia resurse umane şi organizare conţine doar date relevante privind cariera judecătorului.</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t>Art. 6</w:t>
      </w:r>
      <w:r w:rsidRPr="003950F8">
        <w:rPr>
          <w:rFonts w:cstheme="minorHAnsi"/>
          <w:sz w:val="26"/>
          <w:szCs w:val="26"/>
          <w:lang w:val="ro-RO"/>
        </w:rPr>
        <w:t xml:space="preserve"> - Pentru mutarea judecătorului detaşat pe o altă funcţie decât cea pentru care s-a dispus detaşarea este necesar acordul prealabil al Secției pentru judecători a Consiliului Superior al Magistraturii. Dispozițiile art. 4 alin. (3) şi (4) se aplică în mod corespunzător, cu excepția prevederilor referitoare la exprimarea unui aviz de către președintele curții de apel în circumscripţia căreia funcţionează judecătorul.</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Secțiunea a 4-a</w:t>
      </w: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Prelungirea și încetarea detașării</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t>Art. 7</w:t>
      </w:r>
      <w:r w:rsidRPr="003950F8">
        <w:rPr>
          <w:rFonts w:cstheme="minorHAnsi"/>
          <w:sz w:val="26"/>
          <w:szCs w:val="26"/>
          <w:lang w:val="ro-RO"/>
        </w:rPr>
        <w:t xml:space="preserve"> – (1) Solutionarea cererilor de prelungire a detaşării se realizează în conformitate cu dispoziţiile art. 1-5, care se aplică în mod corespunzător.</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(2) Cererile de prelungire se înaintează Consiliului Superior al Magistraturii cu cel puțin 30 de zile anterior expirării detașării.</w:t>
      </w:r>
    </w:p>
    <w:p w:rsid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t>Art. 8</w:t>
      </w:r>
      <w:r w:rsidRPr="003950F8">
        <w:rPr>
          <w:rFonts w:cstheme="minorHAnsi"/>
          <w:sz w:val="26"/>
          <w:szCs w:val="26"/>
          <w:lang w:val="ro-RO"/>
        </w:rPr>
        <w:t xml:space="preserve"> - (1) Detașarea încetează la expirarea duratei pentru care a fost dispusă.</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(2) Detașarea poate înceta anterior duratei pentru care a fost dispusă, prin hotărâre a Secției pentru judecători, în următoarele situații:</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a) la cererea instituției care a solicitat detașarea ori a judecătorului detaşat;</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b) la pierderea gradului profesional corespunzător funcţiei în care s-a dispus detașarea, ca sancțiune disciplinară, în cazul detaşării la o altă instanţă;</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c) ca urmare a eliberării din funcția de judecător.</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Capitolul II</w:t>
      </w: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 xml:space="preserve">Delegarea judecătorilor </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Secțiunea 1</w:t>
      </w: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Dispoziții comune</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4B4984">
        <w:rPr>
          <w:rFonts w:cstheme="minorHAnsi"/>
          <w:b/>
          <w:sz w:val="26"/>
          <w:szCs w:val="26"/>
          <w:lang w:val="ro-RO"/>
        </w:rPr>
        <w:t>Art. 9</w:t>
      </w:r>
      <w:r w:rsidRPr="003950F8">
        <w:rPr>
          <w:rFonts w:cstheme="minorHAnsi"/>
          <w:sz w:val="26"/>
          <w:szCs w:val="26"/>
          <w:lang w:val="ro-RO"/>
        </w:rPr>
        <w:t xml:space="preserve"> - (1) Judecătorii pot fi delegați în condiţiile Legii nr. 303/2022 și ale prezentei Metodologii, numai cu acordul scris al acestora.</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 xml:space="preserve">(2) Delegarea judecătorilor, inclusiv în funcţii de conducere, nu poate fi dispusă decât la o instanţă la care aceștia au dreptul să funcţioneze potrivit gradului profesional avut. </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(3) Durata delegării este de cel mult 6 luni şi poate fi prelungită, în aceleaşi condiţii şi cu aceeaşi procedură, cu încă 6 luni.</w:t>
      </w:r>
    </w:p>
    <w:p w:rsid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 xml:space="preserve">Secțiunea a 2-a </w:t>
      </w: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Delegarea judecătorilor pe funcții de execuție</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t>Art. 10</w:t>
      </w:r>
      <w:r w:rsidRPr="003950F8">
        <w:rPr>
          <w:rFonts w:cstheme="minorHAnsi"/>
          <w:sz w:val="26"/>
          <w:szCs w:val="26"/>
          <w:lang w:val="ro-RO"/>
        </w:rPr>
        <w:t xml:space="preserve"> - (1) Delegarea judecătorilor de la curțile de apel, tribunale, tribunale specializate şi judecătorii,  pe funcţii de execuţie, la alte instanţe din circumscripţia aceleiaşi curţi de apel se dispune de preşedintele curţii de apel, la propunerea motivată a preşedintelui instanţei unde se deleagă, în cazuri obiective, temeinic justificate, legate exclusiv de necesitatea asigurării bunei funcţionări a instanţei unde se solicită delegarea.</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(2) Delegarea se dispune pe baza unei analize care va cuprinde elemente precum: motivele pe care se întemeiază propunerea/cererea, specializarea judecătorului, situaţia posturilor ocupate, a posturilor vacante, a celor care urmează a se vacanta şi a posturilor temporar vacante la instanţa unde funcţionează şi unde se solicită delegarea, datele statistice din ultimele 12 luni privind volumul de activitate şi încărcătura efectivă pe judecător, inclusiv încărcătura pe schemă raportate la media pe ţară la instanţa unde funcţionează şi unde se solicită delegarea, eventuale cereri de transfer formulate pentru acea instanţă, precum şi menţiuni privind incidenţa interdicţiilor prevăzute la art. 63 alin. (2) şi art. 141 alin. (4) din Legea nr. 303/2022.</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(3) În vederea realizării analizei prevăzute la alin. (2), se solicită și punctul de vedere al preşedintelui instanţei la care funcţionează judecătorul.</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(4) Preşedintele curţii de apel comunică Secţiei pentru judecători, în termen de 5 zile, deciziile emise cu privire la delegarea judecătorilor, prelungirea sau, după caz, încetarea delegării acestora, împreună cu documentele ce au stat la baza emiterii acestora, în format electronic.</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t>Art. 11</w:t>
      </w:r>
      <w:r w:rsidRPr="003950F8">
        <w:rPr>
          <w:rFonts w:cstheme="minorHAnsi"/>
          <w:sz w:val="26"/>
          <w:szCs w:val="26"/>
          <w:lang w:val="ro-RO"/>
        </w:rPr>
        <w:t xml:space="preserve"> - Delegarea judecătorilor de la judecătorii, tribunale specializate, tribunale şi curţi de apel la instanțe de acelaşi grad sau de grad inferior din afara circumscripţiei curţii de apel unde funcţionează, pe functii de execuţie, se dispune, pentru motivele prevăzute la art. 10 alin. (1), de Secţia pentru judecători, la solicitarea preşedintelui curţii de apel în circumscripţia căreia se află instanţa unde se solicită delegarea. Solicitarea de delegare se face la propunerea motivată a preşedintelui respectivei instanţe.</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t>Art. 12</w:t>
      </w:r>
      <w:r w:rsidRPr="003950F8">
        <w:rPr>
          <w:rFonts w:cstheme="minorHAnsi"/>
          <w:sz w:val="26"/>
          <w:szCs w:val="26"/>
          <w:lang w:val="ro-RO"/>
        </w:rPr>
        <w:t xml:space="preserve"> - (1) Solicitarea privind delegarea prevăzută la art. 11 se depune la Consiliul Superior al Magistraturii, însoţită de acordul scris al judecătorului, precum  și de punctul de vedere al preşedintelui curții de apel unde funcționează sau în circumscripția căreia funcţionează judecătorul și, respectiv,  al președintelui instanței unde funcționează judecătorul.</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(2) Delegarea se dispune pe baza unei analize care va cuprinde elementele prevăzute la art. 10 alin. (2). În acest sens, în termen de cel mult 15 zile de la primirea solicitării, Direcţia resurse umane şi organizare întocmește un referat care va cuprinde aceste elemente și în care vor fi consemnate și punctele de vedere prevăzute la alin. (1).</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 xml:space="preserve">Secțiunea a 3-a </w:t>
      </w: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Delegarea judecătorilor în funcții de conducere</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t>Art. 13</w:t>
      </w:r>
      <w:r w:rsidRPr="003950F8">
        <w:rPr>
          <w:rFonts w:cstheme="minorHAnsi"/>
          <w:sz w:val="26"/>
          <w:szCs w:val="26"/>
          <w:lang w:val="ro-RO"/>
        </w:rPr>
        <w:t xml:space="preserve"> - (1) Delegarea în funcții de conducere a judecătorilor de la judecătorii, tribunale, tribunale specializate şi curţi de apel se dispune de către Secţia pentru judecători, până la ocuparea funcţiei prin numire în condiţiile Legii nr. 303/2022 sau până la revenirea titularului pe post, după caz.</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(2) Pot fi delegaţi în funcţii de conducere judecătorii care funcţionează la instanţa unde este vacantă funcţia de conducere. În cazul în care la o instanţă unde este vacantă funcţia de conducere, niciun judecător nu îşi exprimă acordul în vederea delegării sau, din motive obiective, nu poate fi delegat niciun judecător de la aceeaşi instanţă, poate fi delegat în respectiva funcţie de conducere,  cu acordul său, oricare dintre judecătorii care funcţionează la altă instanţă din circumscripţia aceleiaşi curţi de apel.</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(3) Pentru delegarea în funcţii de conducere a judecătorilor de la judecătorii, tribunale, tribunale specializate şi curţi de apel nu este necesară îndeplinirea condiţiilor prevăzute la art. 151 alin. (1) și (3) din Legea nr. 303/2022.</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(4) Propunerea de delegare se prezintă, după caz, de către președintele instanței pentru vicepreședinți şi președinții de secție, de către colegiul de conducere al instanţei ierarhic superioare pentru președinții de judecătorii, tribunale și tribunale specializate și de către colegiul de conducere al curții de apel respective pentru președinții curților de apel.</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(5) Propunerea de delegare făcută de preşedintele judecătoriei se trimite preşedintelui tribunalului, care o prezintă, împreună cu punctul său de vedere, preşedintelui curţii de apel. Preşedintele curţii de apel transmite propunerea Consiliului Superior al Magistraturii, însoţită de propriul punct de vedere.</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(6) Propunerea de delegare făcută de preşedintele tribunalului sau al tribunalului specializat, respectiv de colegiul de conducere al tribunalului se prezintă preşedintelui curţii de apel, care o transmite Consiliului Superior al Magistraturii, însoţită de punctul său de vedere.</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t>Art. 14</w:t>
      </w:r>
      <w:r w:rsidRPr="003950F8">
        <w:rPr>
          <w:rFonts w:cstheme="minorHAnsi"/>
          <w:sz w:val="26"/>
          <w:szCs w:val="26"/>
          <w:lang w:val="ro-RO"/>
        </w:rPr>
        <w:t xml:space="preserve"> - (1) Propunerea de delegare formulată cu respectarea cerinţelor art. 13 se transmite Consiliului Superior al Magistraturii, însoţită de următoarele:</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a) acordul scris al judecătorului propus pentru delegarea într-o functie de conducere;</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b) motivarea propunerii de delegare;</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c) declaraţiile prevăzute la art. 150 alin. (5) din Legea nr. 303/2022.</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(2) Dacă este cazul, propunerea formulată va cuprinde şi menţiuni privind existenţa situaţiei prevăzute la art. 179 alin. (1) teza finală din Legea nr. 303/2022.</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 xml:space="preserve">(3) Direcţia resurse umane şi organizare întocmeşte, în cel mult 15 zile de la primirea propunerii, un referat în care prezintă documentele depuse potrivit alin. (1), un rezumat al carierei profesionale a celui propus spre delegare, precum şi situaţia funcţiei vacante sau temporar vacante pentru care se propune delegarea. </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(4) Dacă apreciază necesar, Secţia pentru judecători invită judecătorul a cărui delegare se propune să susţină cererea.</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(5) Hotărârile emise de Secţia pentru judecători cu privire la delegarea în funcţia de conducere, prelungirea şi încetarea acesteia se vor comunica preşedinţilor instanţelor, președinților curților de apel respective, precum și președintelui Înaltei Curți de Casație și Justiție.</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t>Art. 15</w:t>
      </w:r>
      <w:r w:rsidRPr="003950F8">
        <w:rPr>
          <w:rFonts w:cstheme="minorHAnsi"/>
          <w:sz w:val="26"/>
          <w:szCs w:val="26"/>
          <w:lang w:val="ro-RO"/>
        </w:rPr>
        <w:t xml:space="preserve"> - (1) La propunerea preşedintelui Înaltei Curți de Casaţie şi Justiţie, Secţia pentru judecători poate dispune delegarea judecătorilor în funcţiile de conducere vacante sau temporar vacante de la această instanţă, până la ocuparea funcției prin numire în condiţiile Legii nr. 303/2022.</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(2) Dispozițiile art. 14 alin. (1) și (3) - (5) se aplică în mod corespunzător.</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 xml:space="preserve">Secțiunea a 4-a </w:t>
      </w:r>
    </w:p>
    <w:p w:rsidR="003950F8" w:rsidRPr="003950F8" w:rsidRDefault="003950F8" w:rsidP="003950F8">
      <w:pPr>
        <w:spacing w:after="0" w:line="276" w:lineRule="auto"/>
        <w:ind w:firstLine="720"/>
        <w:jc w:val="both"/>
        <w:rPr>
          <w:rFonts w:cstheme="minorHAnsi"/>
          <w:b/>
          <w:sz w:val="26"/>
          <w:szCs w:val="26"/>
          <w:lang w:val="ro-RO"/>
        </w:rPr>
      </w:pPr>
      <w:r w:rsidRPr="003950F8">
        <w:rPr>
          <w:rFonts w:cstheme="minorHAnsi"/>
          <w:b/>
          <w:sz w:val="26"/>
          <w:szCs w:val="26"/>
          <w:lang w:val="ro-RO"/>
        </w:rPr>
        <w:t>Prelungirea și încetarea delegării</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t>Art. 16</w:t>
      </w:r>
      <w:r w:rsidRPr="003950F8">
        <w:rPr>
          <w:rFonts w:cstheme="minorHAnsi"/>
          <w:sz w:val="26"/>
          <w:szCs w:val="26"/>
          <w:lang w:val="ro-RO"/>
        </w:rPr>
        <w:t xml:space="preserve"> - (1) Solutionarea cererilor de prelungire a delegării se realizează în conformitate cu dispoziţiile art. 9-15, care se aplică în mod corespunzător.</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(2) Dispozițiile art. 7 alin. (2) se aplică în mod corespunzător.</w:t>
      </w:r>
    </w:p>
    <w:p w:rsidR="003950F8" w:rsidRPr="003950F8" w:rsidRDefault="003950F8" w:rsidP="003950F8">
      <w:pPr>
        <w:spacing w:after="0" w:line="276" w:lineRule="auto"/>
        <w:jc w:val="both"/>
        <w:rPr>
          <w:rFonts w:cstheme="minorHAnsi"/>
          <w:sz w:val="26"/>
          <w:szCs w:val="26"/>
          <w:lang w:val="ro-RO"/>
        </w:rPr>
      </w:pP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b/>
          <w:sz w:val="26"/>
          <w:szCs w:val="26"/>
          <w:lang w:val="ro-RO"/>
        </w:rPr>
        <w:t>Art. 17</w:t>
      </w:r>
      <w:r w:rsidRPr="003950F8">
        <w:rPr>
          <w:rFonts w:cstheme="minorHAnsi"/>
          <w:sz w:val="26"/>
          <w:szCs w:val="26"/>
          <w:lang w:val="ro-RO"/>
        </w:rPr>
        <w:t xml:space="preserve"> - (1) Delegarea încetează la expirarea termenului pentru care a fost dispusă.</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(2) Delegarea poate înceta înainte de termen în următoarele situații:</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a) la cererea motivată a celui delegat, a preşedintelui instanţei unde este delegat sau a celui de unde este delegat;</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b) la pierderea gradului profesional corespunzător functiei în care s-a dispus delegarea, ca sancțiune disciplinară;</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c) ca urmare a eliberării din funcţia de judecător.</w:t>
      </w:r>
    </w:p>
    <w:p w:rsidR="003950F8" w:rsidRPr="003950F8" w:rsidRDefault="003950F8" w:rsidP="003950F8">
      <w:pPr>
        <w:spacing w:after="0" w:line="276" w:lineRule="auto"/>
        <w:ind w:firstLine="720"/>
        <w:jc w:val="both"/>
        <w:rPr>
          <w:rFonts w:cstheme="minorHAnsi"/>
          <w:sz w:val="26"/>
          <w:szCs w:val="26"/>
          <w:lang w:val="ro-RO"/>
        </w:rPr>
      </w:pPr>
      <w:r w:rsidRPr="003950F8">
        <w:rPr>
          <w:rFonts w:cstheme="minorHAnsi"/>
          <w:sz w:val="26"/>
          <w:szCs w:val="26"/>
          <w:lang w:val="ro-RO"/>
        </w:rPr>
        <w:t>(3) Delegarea în funcţia de conducere încetează și la data la care funcţia este ocupată prin numire, în condiţiile Legii nr. 303/2022, precum și la data revenirii  titularului pe post.</w:t>
      </w:r>
    </w:p>
    <w:p w:rsidR="001C01B6" w:rsidRPr="003950F8" w:rsidRDefault="001C01B6" w:rsidP="003950F8">
      <w:pPr>
        <w:spacing w:after="0" w:line="276" w:lineRule="auto"/>
        <w:jc w:val="both"/>
        <w:rPr>
          <w:rFonts w:cstheme="minorHAnsi"/>
          <w:sz w:val="26"/>
          <w:szCs w:val="26"/>
          <w:lang w:val="ro-RO"/>
        </w:rPr>
      </w:pPr>
    </w:p>
    <w:sectPr w:rsidR="001C01B6" w:rsidRPr="003950F8" w:rsidSect="00D0384C">
      <w:footerReference w:type="default" r:id="rId6"/>
      <w:pgSz w:w="12240" w:h="15840"/>
      <w:pgMar w:top="630" w:right="1440" w:bottom="81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13D" w:rsidRDefault="0093513D" w:rsidP="003950F8">
      <w:pPr>
        <w:spacing w:after="0" w:line="240" w:lineRule="auto"/>
      </w:pPr>
      <w:r>
        <w:separator/>
      </w:r>
    </w:p>
  </w:endnote>
  <w:endnote w:type="continuationSeparator" w:id="0">
    <w:p w:rsidR="0093513D" w:rsidRDefault="0093513D" w:rsidP="00395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585716"/>
      <w:docPartObj>
        <w:docPartGallery w:val="Page Numbers (Bottom of Page)"/>
        <w:docPartUnique/>
      </w:docPartObj>
    </w:sdtPr>
    <w:sdtEndPr>
      <w:rPr>
        <w:noProof/>
      </w:rPr>
    </w:sdtEndPr>
    <w:sdtContent>
      <w:p w:rsidR="003950F8" w:rsidRDefault="003950F8">
        <w:pPr>
          <w:pStyle w:val="Footer"/>
          <w:jc w:val="center"/>
        </w:pPr>
        <w:r>
          <w:fldChar w:fldCharType="begin"/>
        </w:r>
        <w:r>
          <w:instrText xml:space="preserve"> PAGE   \* MERGEFORMAT </w:instrText>
        </w:r>
        <w:r>
          <w:fldChar w:fldCharType="separate"/>
        </w:r>
        <w:r w:rsidR="00AD1C04">
          <w:rPr>
            <w:noProof/>
          </w:rPr>
          <w:t>1</w:t>
        </w:r>
        <w:r>
          <w:rPr>
            <w:noProof/>
          </w:rPr>
          <w:fldChar w:fldCharType="end"/>
        </w:r>
      </w:p>
    </w:sdtContent>
  </w:sdt>
  <w:p w:rsidR="003950F8" w:rsidRDefault="003950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13D" w:rsidRDefault="0093513D" w:rsidP="003950F8">
      <w:pPr>
        <w:spacing w:after="0" w:line="240" w:lineRule="auto"/>
      </w:pPr>
      <w:r>
        <w:separator/>
      </w:r>
    </w:p>
  </w:footnote>
  <w:footnote w:type="continuationSeparator" w:id="0">
    <w:p w:rsidR="0093513D" w:rsidRDefault="0093513D" w:rsidP="003950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6E3"/>
    <w:rsid w:val="001C01B6"/>
    <w:rsid w:val="00347837"/>
    <w:rsid w:val="003950F8"/>
    <w:rsid w:val="004B4984"/>
    <w:rsid w:val="007D56E3"/>
    <w:rsid w:val="0093513D"/>
    <w:rsid w:val="00A13F39"/>
    <w:rsid w:val="00AD1C04"/>
    <w:rsid w:val="00D03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5D6251-CA53-4721-802D-A3FE2F2B6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5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0F8"/>
  </w:style>
  <w:style w:type="paragraph" w:styleId="Footer">
    <w:name w:val="footer"/>
    <w:basedOn w:val="Normal"/>
    <w:link w:val="FooterChar"/>
    <w:uiPriority w:val="99"/>
    <w:unhideWhenUsed/>
    <w:rsid w:val="00395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2165</Words>
  <Characters>12558</Characters>
  <Application>Microsoft Office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Consiliul Superior al Magistraturii</Company>
  <LinksUpToDate>false</LinksUpToDate>
  <CharactersWithSpaces>14694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POENARU Andreea</dc:creator>
  <cp:keywords/>
  <dc:description/>
  <cp:lastModifiedBy>Iulian, HAGIU</cp:lastModifiedBy>
  <cp:revision>2</cp:revision>
  <dcterms:created xsi:type="dcterms:W3CDTF">2023-03-23T14:12:00Z</dcterms:created>
  <dcterms:modified xsi:type="dcterms:W3CDTF">2023-03-23T14:12:00Z</dcterms:modified>
</cp:coreProperties>
</file>